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职业生涯发展报告 - 董俊毅</w:t>
      </w:r>
    </w:p>
    <w:p>
      <w:pPr>
        <w:pStyle w:val="Heading1"/>
      </w:pPr>
      <w:r>
        <w:t>一、学生基本信息</w:t>
      </w:r>
    </w:p>
    <w:p>
      <w:r>
        <w:t>姓名：董俊毅</w:t>
      </w:r>
    </w:p>
    <w:p>
      <w:r>
        <w:t>学历：本科</w:t>
      </w:r>
    </w:p>
    <w:p>
      <w:r>
        <w:t>专业：计算机科学与技术</w:t>
      </w:r>
    </w:p>
    <w:p>
      <w:r>
        <w:t>技能：Java, Python, SpringBoot, MyBatis, HTML, CSS, JavaScript, Vue, MySQL, Git</w:t>
      </w:r>
    </w:p>
    <w:p>
      <w:r>
        <w:t>证书：</w:t>
      </w:r>
    </w:p>
    <w:p>
      <w:r>
        <w:t>综合竞争力评分：90分</w:t>
      </w:r>
    </w:p>
    <w:p>
      <w:r>
        <w:t>评分理由：专业技能扎实，有丰富的项目和实习经验，具备独立开发能力和团队协作能力。</w:t>
      </w:r>
    </w:p>
    <w:p>
      <w:pPr>
        <w:pStyle w:val="Heading1"/>
      </w:pPr>
      <w:r>
        <w:t>二、人岗匹配分析</w:t>
      </w:r>
    </w:p>
    <w:p>
      <w:r>
        <w:t>目标岗位：科研人员</w:t>
      </w:r>
    </w:p>
    <w:p>
      <w:r>
        <w:t>综合匹配度：85.7%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匹配度</w:t>
            </w:r>
          </w:p>
        </w:tc>
      </w:tr>
      <w:tr>
        <w:tc>
          <w:tcPr>
            <w:tcW w:type="dxa" w:w="4320"/>
          </w:tcPr>
          <w:p>
            <w:r>
              <w:t>基础要求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职业技能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职业素养</w:t>
            </w:r>
          </w:p>
        </w:tc>
        <w:tc>
          <w:tcPr>
            <w:tcW w:type="dxa" w:w="4320"/>
          </w:tcPr>
          <w:p>
            <w:r>
              <w:t>72.2%</w:t>
            </w:r>
          </w:p>
        </w:tc>
      </w:tr>
      <w:tr>
        <w:tc>
          <w:tcPr>
            <w:tcW w:type="dxa" w:w="4320"/>
          </w:tcPr>
          <w:p>
            <w:r>
              <w:t>发展潜力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技能匹配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证书匹配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创新匹配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  <w:tr>
        <w:tc>
          <w:tcPr>
            <w:tcW w:type="dxa" w:w="4320"/>
          </w:tcPr>
          <w:p>
            <w:r>
              <w:t>学习匹配</w:t>
            </w:r>
          </w:p>
        </w:tc>
        <w:tc>
          <w:tcPr>
            <w:tcW w:type="dxa" w:w="4320"/>
          </w:tcPr>
          <w:p>
            <w:r>
              <w:t>75.6%</w:t>
            </w:r>
          </w:p>
        </w:tc>
      </w:tr>
      <w:tr>
        <w:tc>
          <w:tcPr>
            <w:tcW w:type="dxa" w:w="4320"/>
          </w:tcPr>
          <w:p>
            <w:r>
              <w:t>抗压匹配</w:t>
            </w:r>
          </w:p>
        </w:tc>
        <w:tc>
          <w:tcPr>
            <w:tcW w:type="dxa" w:w="4320"/>
          </w:tcPr>
          <w:p>
            <w:r>
              <w:t>71.6%</w:t>
            </w:r>
          </w:p>
        </w:tc>
      </w:tr>
      <w:tr>
        <w:tc>
          <w:tcPr>
            <w:tcW w:type="dxa" w:w="4320"/>
          </w:tcPr>
          <w:p>
            <w:r>
              <w:t>沟通匹配</w:t>
            </w:r>
          </w:p>
        </w:tc>
        <w:tc>
          <w:tcPr>
            <w:tcW w:type="dxa" w:w="4320"/>
          </w:tcPr>
          <w:p>
            <w:r>
              <w:t>59.6%</w:t>
            </w:r>
          </w:p>
        </w:tc>
      </w:tr>
      <w:tr>
        <w:tc>
          <w:tcPr>
            <w:tcW w:type="dxa" w:w="4320"/>
          </w:tcPr>
          <w:p>
            <w:r>
              <w:t>学历匹配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专业匹配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经验匹配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语言匹配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4329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29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三、职业目标与路径规划</w:t>
      </w:r>
    </w:p>
    <w:p>
      <w:r>
        <w:t>推荐职业目标：科研人员</w:t>
      </w:r>
    </w:p>
    <w:p>
      <w:pPr>
        <w:pStyle w:val="Heading2"/>
      </w:pPr>
      <w:r>
        <w:t>晋升路径</w:t>
      </w:r>
    </w:p>
    <w:p>
      <w:r>
        <w:t>助理研究员 → 副研究员 → 研究员</w:t>
      </w:r>
    </w:p>
    <w:p>
      <w:pPr>
        <w:pStyle w:val="Heading2"/>
      </w:pPr>
      <w:r>
        <w:t>横向换岗路径</w:t>
      </w:r>
    </w:p>
    <w:p>
      <w:r>
        <w:t>科研管理、项目负责人、技术经理</w:t>
      </w:r>
    </w:p>
    <w:p>
      <w:pPr>
        <w:pStyle w:val="Heading1"/>
      </w:pPr>
      <w:r>
        <w:t>四、区域机会分析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区域</w:t>
            </w:r>
          </w:p>
        </w:tc>
        <w:tc>
          <w:tcPr>
            <w:tcW w:type="dxa" w:w="2160"/>
          </w:tcPr>
          <w:p>
            <w:r>
              <w:t>招聘数量</w:t>
            </w:r>
          </w:p>
        </w:tc>
        <w:tc>
          <w:tcPr>
            <w:tcW w:type="dxa" w:w="2160"/>
          </w:tcPr>
          <w:p>
            <w:r>
              <w:t>平均薪资(K)</w:t>
            </w:r>
          </w:p>
        </w:tc>
        <w:tc>
          <w:tcPr>
            <w:tcW w:type="dxa" w:w="2160"/>
          </w:tcPr>
          <w:p>
            <w:r>
              <w:t>主要城市</w:t>
            </w:r>
          </w:p>
        </w:tc>
      </w:tr>
      <w:tr>
        <w:tc>
          <w:tcPr>
            <w:tcW w:type="dxa" w:w="2160"/>
          </w:tcPr>
          <w:p>
            <w:r>
              <w:t>东部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18.7 - 28.6K</w:t>
            </w:r>
          </w:p>
        </w:tc>
        <w:tc>
          <w:tcPr>
            <w:tcW w:type="dxa" w:w="2160"/>
          </w:tcPr>
          <w:p>
            <w:r>
              <w:t>北京-海淀区, 无锡-滨湖区, 青岛-崂山区</w:t>
            </w:r>
          </w:p>
        </w:tc>
      </w:tr>
      <w:tr>
        <w:tc>
          <w:tcPr>
            <w:tcW w:type="dxa" w:w="2160"/>
          </w:tcPr>
          <w:p>
            <w:r>
              <w:t>东北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12.5 - 21.0K</w:t>
            </w:r>
          </w:p>
        </w:tc>
        <w:tc>
          <w:tcPr>
            <w:tcW w:type="dxa" w:w="2160"/>
          </w:tcPr>
          <w:p>
            <w:r>
              <w:t>哈尔滨-南岗区, 沈阳-沈河区, 沈阳-浑南区</w:t>
            </w:r>
          </w:p>
        </w:tc>
      </w:tr>
      <w:tr>
        <w:tc>
          <w:tcPr>
            <w:tcW w:type="dxa" w:w="2160"/>
          </w:tcPr>
          <w:p>
            <w:r>
              <w:t>中部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18.8 - 29.0K</w:t>
            </w:r>
          </w:p>
        </w:tc>
        <w:tc>
          <w:tcPr>
            <w:tcW w:type="dxa" w:w="2160"/>
          </w:tcPr>
          <w:p>
            <w:r>
              <w:t>合肥-蜀山区, 南昌-青山湖区, 武汉-江夏区</w:t>
            </w:r>
          </w:p>
        </w:tc>
      </w:tr>
      <w:tr>
        <w:tc>
          <w:tcPr>
            <w:tcW w:type="dxa" w:w="2160"/>
          </w:tcPr>
          <w:p>
            <w:r>
              <w:t>西部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17.2 - 23.3K</w:t>
            </w:r>
          </w:p>
        </w:tc>
        <w:tc>
          <w:tcPr>
            <w:tcW w:type="dxa" w:w="2160"/>
          </w:tcPr>
          <w:p>
            <w:r>
              <w:t>成都-双流区, 成都-郫都区, 成都-金牛区</w:t>
            </w:r>
          </w:p>
        </w:tc>
      </w:tr>
    </w:tbl>
    <w:p>
      <w:pPr>
        <w:pStyle w:val="Heading1"/>
      </w:pPr>
      <w:r>
        <w:t>五、差距分析</w:t>
      </w:r>
    </w:p>
    <w:p>
      <w:r>
        <w:t>学历要求不匹配，可考虑提升学历或通过项目经验弥补。</w:t>
      </w:r>
    </w:p>
    <w:p>
      <w:pPr>
        <w:pStyle w:val="Heading1"/>
      </w:pPr>
      <w:r>
        <w:t>六、PDCA发展计划</w:t>
      </w:r>
    </w:p>
    <w:p>
      <w:r>
        <w:t xml:space="preserve">**Plan**  </w:t>
        <w:br/>
        <w:t xml:space="preserve">- **职业目标**：成功申请攻读计算机科学与技术专业博士学位，并进入科研机构或高校从事科研工作  </w:t>
        <w:br/>
        <w:t xml:space="preserve">- **学术/技能目标**：  </w:t>
        <w:br/>
        <w:t xml:space="preserve">  - 提升科研能力，掌握文献综述、论文撰写及实验设计方法  </w:t>
        <w:br/>
        <w:t xml:space="preserve">  - 学习Python高级编程、机器学习算法及数据处理技术  </w:t>
        <w:br/>
        <w:t xml:space="preserve">  - 考取英语六级（CET-6）或雅思（IELTS）以满足博士申请语言要求  </w:t>
        <w:br/>
        <w:t xml:space="preserve">- **平台/资源**：  </w:t>
        <w:br/>
        <w:t xml:space="preserve">  - 参与高校或科研机构的暑期科研项目  </w:t>
        <w:br/>
        <w:t xml:space="preserve">  - 建立与导师、学长学姐的联系，获取科研方向建议  </w:t>
        <w:br/>
        <w:t xml:space="preserve">  - 加入科研类社群（如ResearchGate、GitHub科研项目组）</w:t>
        <w:br/>
        <w:br/>
        <w:t>---</w:t>
        <w:br/>
        <w:br/>
        <w:t xml:space="preserve">**Do**  </w:t>
        <w:br/>
        <w:t xml:space="preserve">- **具体行动1**：每月阅读5篇高质量英文论文，撰写读书笔记并参与线上讨论  </w:t>
        <w:br/>
        <w:t xml:space="preserve">- **具体行动2**：报名参加高校或科研机构的暑期科研实习项目，争取参与实际课题研究  </w:t>
        <w:br/>
        <w:t xml:space="preserve">- **具体行动3**：每周投入8小时学习Python高级编程和机器学习相关课程（如Coursera上的《Machine Learning》）  </w:t>
        <w:br/>
        <w:t xml:space="preserve">- **具体行动4**：准备英语考试，每日坚持30分钟听力与阅读训练，每月模拟一次考试  </w:t>
        <w:br/>
        <w:t xml:space="preserve">- **具体行动5**：主动联系本校或外校导师，了解科研方向并寻求推荐信机会  </w:t>
        <w:br/>
        <w:br/>
        <w:t>---</w:t>
        <w:br/>
        <w:br/>
        <w:t xml:space="preserve">**Check**  </w:t>
        <w:br/>
        <w:t xml:space="preserve">- **评估周期**：每季度进行一次全面复盘  </w:t>
        <w:br/>
        <w:t xml:space="preserve">- **评估指标**：  </w:t>
        <w:br/>
        <w:t xml:space="preserve">  - 论文阅读量与理解深度  </w:t>
        <w:br/>
        <w:t xml:space="preserve">  - 科研项目参与情况与成果产出  </w:t>
        <w:br/>
        <w:t xml:space="preserve">  - 英语成绩提升情况  </w:t>
        <w:br/>
        <w:t xml:space="preserve">  - 导师反馈与推荐信进展  </w:t>
        <w:br/>
        <w:t xml:space="preserve">- **偏差识别**：  </w:t>
        <w:br/>
        <w:t xml:space="preserve">  - 若论文阅读进度滞后，分析是否因时间管理不当或兴趣不足  </w:t>
        <w:br/>
        <w:t xml:space="preserve">  - 若科研项目未获得机会，考虑拓展申请渠道或提升自身竞争力  </w:t>
        <w:br/>
        <w:t xml:space="preserve">  - 若英语成绩未达预期，调整学习方法或增加辅导资源  </w:t>
        <w:br/>
        <w:br/>
        <w:t>---</w:t>
        <w:br/>
        <w:br/>
        <w:t xml:space="preserve">**Act**  </w:t>
        <w:br/>
        <w:t xml:space="preserve">- **备选方案**：  </w:t>
        <w:br/>
        <w:t xml:space="preserve">  - 若短期内无法获得博士申请资格，可先申请硕士项目，积累科研经验后再申请博士  </w:t>
        <w:br/>
        <w:t xml:space="preserve">  - 若科研项目申请受阻，可转向参与开源项目或独立完成小型科研课题以增强简历  </w:t>
        <w:br/>
        <w:t xml:space="preserve">- **资源补充**：  </w:t>
        <w:br/>
        <w:t xml:space="preserve">  - 遇到科研难题时，向导师或学长请教，或加入科研指导小组  </w:t>
        <w:br/>
        <w:t xml:space="preserve">  - 如需语言提升，可报名语言培训课程或使用在线学习平台（如Duolingo、B站科研英语系列）  </w:t>
        <w:br/>
        <w:t xml:space="preserve">  - 若缺乏科研经验，可尝试在GitHub上参与开源项目，提升代码能力和团队协作经验</w:t>
      </w:r>
    </w:p>
    <w:p>
      <w:pPr>
        <w:pStyle w:val="Heading1"/>
      </w:pPr>
      <w:r>
        <w:t>七、岗位调动建议</w:t>
      </w:r>
    </w:p>
    <w:p>
      <w:r>
        <w:t xml:space="preserve">1. **如何晋升到更高岗位（助理研究员 → 副研究员 → 研究员）**  </w:t>
        <w:br/>
        <w:t>要从当前的本科背景向科研人员方向发展，首先需要明确的是，科研岗位通常要求更高的学历，尤其是博士学历。因此，建议学生优先考虑攻读计算机科学或相关领域的硕士学位，甚至博士学位。在研究生阶段，应注重培养科研能力，包括文献阅读、实验设计、数据分析和论文撰写等。同时，可以尝试参与导师的科研项目，积累实际研究经验，并争取发表学术论文，这是晋升的重要依据。此外，建议学习一些科研相关的工具和技能，如Python的数据分析库（Pandas、NumPy）、机器学习框架（TensorFlow、PyTorch）、以及科研写作工具（LaTeX）。虽然目前没有明确的证书要求，但如果有条件，可以考取与科研相关的资格认证，如国家自然科学基金项目的申请培训或科研管理类课程。在积累科研成果的同时，也应关注行业动态，了解前沿技术，为未来的研究方向做好准备。</w:t>
        <w:br/>
        <w:br/>
        <w:t xml:space="preserve">2. **如何转换到相关岗位（科研管理、项目负责人、技术经理）**  </w:t>
        <w:br/>
        <w:t>若希望从技术岗位转向科研管理或项目管理类岗位，需要补充一定的管理与沟通能力。建议学生在实习或校内工作中主动承担更多协调与组织任务，例如在计算机协会担任技术部部长期间，可以尝试策划技术讲座、组织项目竞赛等，提升项目管理和团队协作能力。同时，可以学习项目管理知识，如PMP认证或Scrum认证，这些证书能增强在项目管理岗位上的竞争力。此外，建议参与一些跨部门合作的项目，提升沟通能力和对科研流程的理解。在技术方面，可以进一步深化对人工智能、大数据等前沿技术的学习，以适应科研管理中对技术趋势的把控。人脉拓展方面，可积极参加学术会议、行业论坛或加入相关专业社群，与科研人员、企业研发人员建立联系，获取更多职业机会和信息资源。</w:t>
      </w:r>
    </w:p>
    <w:p>
      <w:pPr>
        <w:pStyle w:val="Heading1"/>
      </w:pPr>
      <w:r>
        <w:t>八、学习资源推荐</w:t>
      </w:r>
    </w:p>
    <w:p>
      <w:r>
        <w:t>Python for Everybody (https://www.coursera.org/specializations/python) - 由密歇根大学提供的Python入门课程，适合提升Python编程能力，尤其适合科研领域的数据分析和自动化任务。课程链接 (https://www.coursera.org/specializations/python)</w:t>
        <w:br/>
        <w:br/>
        <w:t>Deep Learning Specialization (https://www.coursera.org/specializations/deep-learning) - 由Andrew Ng教授主讲的深度学习专项课程，涵盖神经网络、卷积网络、循环网络等，是进入人工智能研究的重要起点。课程链接 (https://www.coursera.org/specializations/deep-learning)</w:t>
        <w:br/>
        <w:br/>
        <w:t>Artificial Intelligence: A Modern Approach (https://www.amazon.com/Artificial-Intelligence-Modern-Approach-3rd/dp/0136042597) - 人工智能领域的经典教材，全面介绍AI的基本概念、算法与应用，适合深入理解人工智能理论。购买链接 (https://www.amazon.com/Artificial-Intelligence-Modern-Approach-3rd/dp/0136042597)</w:t>
        <w:br/>
        <w:br/>
        <w:t>Machine Learning (https://www.coursera.org/learn/machine-learning) - 由Andrew Ng教授开设的机器学习入门课程，涵盖监督学习、非监督学习、深度学习等内容，是科研人员必备的基础知识。课程链接 (https://www.coursera.org/learn/machine-learning)</w:t>
        <w:br/>
        <w:br/>
        <w:t>Hands-On Machine Learning with Scikit-Learn, Keras, and TensorFlow (https://www.amazon.com/Hands-Machine-Learning-Scikit-Learn-TensorFlow/dp/1098115264) - 一本实践性强的机器学习书籍，适合通过代码实践掌握ML模型的构建与调优。购买链接 (https://www.amazon.com/Hands-Machine-Learning-Scikit-Learn-TensorFlow/dp/1098115264)</w:t>
        <w:br/>
        <w:br/>
        <w:t>GitHub - TensorFlow Examples (https://github.com/tensorflow/examples) - TensorFlow官方提供的示例项目，涵盖图像识别、自然语言处理等多个领域，适合进行实战练习。开源项目链接 (https://github.com/tensorflow/examples)</w:t>
        <w:br/>
        <w:br/>
        <w:t>GitHub - PyTorch Tutorials (https://github.com/pytorch/tutorials) - PyTorch官方教程仓库，包含从基础到高级的深度学习项目，适合提高PyTorch使用能力。开源项目链接 (https://github.com/pytorch/tutorials)</w:t>
        <w:br/>
        <w:br/>
        <w:t>Coursera - Research Methods for Scientists (https://www.coursera.org/learn/research-methods-scientists) - 该课程帮助学生掌握科学研究的方法论，包括实验设计、数据收集与分析，对科研工作非常有帮助。课程链接 (https://www.coursera.org/learn/research-methods-scientists)</w:t>
        <w:br/>
        <w:br/>
        <w:t>ResearchGate (https://www.researchgate.net/) - 科研人员常用的学术社交平台，可以关注领域内的学者、查找论文、参与讨论。平台链接 (https://www.researchgate.net/)</w:t>
        <w:br/>
        <w:br/>
        <w:t>IEEE Xplore Digital Library (https://ieeexplore.ieee.org/) - 提供大量计算机科学、人工智能、电子工程等领域的学术论文，是科研人员获取最新研究成果的重要资源。平台链接 (https://ieeexplore.ieee.org/)</w:t>
      </w:r>
    </w:p>
    <w:p>
      <w:pPr>
        <w:pStyle w:val="Heading1"/>
      </w:pPr>
      <w:r>
        <w:t>九、评估周期与动态调整</w:t>
      </w:r>
    </w:p>
    <w:p>
      <w:r>
        <w:t>建议每3-6个月进行一次自我评估，根据学习进度和行业变化调整计划。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