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微软雅黑"/>
          <w:b/>
          <w:color w:val="003366"/>
          <w:sz w:val="48"/>
        </w:rPr>
        <w:t>职业生涯发展报告 - 董俊毅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一、学生基本信息</w:t>
      </w:r>
    </w:p>
    <w:p>
      <w:pPr>
        <w:shd w:val="clear" w:color="auto" w:fill="E0F2FE"/>
      </w:pPr>
      <w:r>
        <w:rPr>
          <w:rFonts w:ascii="Times New Roman" w:hAnsi="Times New Roman" w:eastAsia="楷体"/>
          <w:sz w:val="24"/>
        </w:rPr>
        <w:t>姓名：董俊毅</w:t>
        <w:br/>
        <w:t>学历：本科</w:t>
        <w:br/>
        <w:t>专业：计算机科学与技术</w:t>
        <w:br/>
        <w:t>技能：Java, Python, SpringBoot, MyBatis, HTML, CSS, JavaScript, Vue, MySQL, Git</w:t>
        <w:br/>
        <w:t>证书：</w:t>
        <w:br/>
        <w:t>综合竞争力评分：65分</w:t>
        <w:br/>
        <w:t>评分理由：具备扎实的技术基础和一定的组织能力，但缺乏项目、竞赛和证书等关键竞争力要素，综合竞争力中等。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二、人岗匹配分析</w:t>
      </w:r>
    </w:p>
    <w:p>
      <w:pPr>
        <w:shd w:val="clear" w:color="auto" w:fill="FFEDD5"/>
      </w:pPr>
      <w:r>
        <w:rPr>
          <w:rFonts w:ascii="Times New Roman" w:hAnsi="Times New Roman" w:eastAsia="楷体"/>
          <w:sz w:val="24"/>
        </w:rPr>
        <w:t>目标岗位：软件测试</w:t>
        <w:br/>
        <w:t>综合匹配度：90.7%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微软雅黑"/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微软雅黑"/>
                <w:b/>
              </w:rPr>
              <w:t>匹配度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基础要求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70.0%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职业技能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100.0%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职业素养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92.5%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发展潜力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90.0%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技能匹配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100.0%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证书匹配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100.0%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创新匹配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98.7%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学习匹配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85.0%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抗压匹配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87.4%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沟通匹配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98.9%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学历匹配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100.0%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专业匹配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经验匹配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100.0%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语言匹配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楷体"/>
                <w:sz w:val="24"/>
              </w:rPr>
              <w:t>100.0%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38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38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三、职业目标与路径规划</w:t>
      </w:r>
    </w:p>
    <w:p>
      <w:pPr>
        <w:shd w:val="clear" w:color="auto" w:fill="DBEAFE"/>
        <w:pBdr>
          <w:left w:val="single" w:sz="12" w:color="3B82F6"/>
        </w:pBdr>
      </w:pPr>
      <w:r>
        <w:rPr>
          <w:rFonts w:ascii="Times New Roman" w:hAnsi="Times New Roman" w:eastAsia="楷体"/>
          <w:sz w:val="24"/>
        </w:rPr>
        <w:t>推荐职业目标：软件测试</w:t>
      </w:r>
    </w:p>
    <w:p>
      <w:pPr>
        <w:shd w:val="clear" w:color="auto" w:fill="DCFCE7"/>
        <w:pBdr>
          <w:left w:val="single" w:sz="12" w:color="10B981"/>
        </w:pBdr>
      </w:pPr>
      <w:r>
        <w:rPr>
          <w:rFonts w:ascii="Times New Roman" w:hAnsi="Times New Roman" w:eastAsia="楷体"/>
          <w:sz w:val="24"/>
        </w:rPr>
        <w:t>晋升路径：高级软件测试工程师 → 测试经理 → 质量保障总监</w:t>
      </w:r>
    </w:p>
    <w:p>
      <w:pPr>
        <w:shd w:val="clear" w:color="auto" w:fill="FEF3C7"/>
        <w:pBdr>
          <w:left w:val="single" w:sz="12" w:color="F59E0B"/>
        </w:pBdr>
      </w:pPr>
      <w:r>
        <w:rPr>
          <w:rFonts w:ascii="Times New Roman" w:hAnsi="Times New Roman" w:eastAsia="楷体"/>
          <w:sz w:val="24"/>
        </w:rPr>
        <w:t>横向换岗路径：DevOps工程师、自动化测试工程师、软件开发工程师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四、区域机会分析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微软雅黑"/>
                <w:b/>
              </w:rPr>
              <w:t>区域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微软雅黑"/>
                <w:b/>
              </w:rPr>
              <w:t>招聘数量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微软雅黑"/>
                <w:b/>
              </w:rPr>
              <w:t>平均薪资(K)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微软雅黑"/>
                <w:b/>
              </w:rPr>
              <w:t>主要城市</w:t>
            </w:r>
          </w:p>
        </w:tc>
      </w:tr>
      <w:tr>
        <w:tc>
          <w:tcPr>
            <w:tcW w:type="dxa" w:w="2160"/>
            <w:shd w:fill="FFF7ED"/>
          </w:tcPr>
          <w:p>
            <w:r>
              <w:rPr>
                <w:rFonts w:ascii="Times New Roman" w:hAnsi="Times New Roman" w:eastAsia="楷体"/>
                <w:sz w:val="24"/>
              </w:rPr>
              <w:t>西部</w:t>
            </w:r>
          </w:p>
        </w:tc>
        <w:tc>
          <w:tcPr>
            <w:tcW w:type="dxa" w:w="2160"/>
            <w:shd w:fill="FFF7ED"/>
          </w:tcPr>
          <w:p>
            <w:r>
              <w:rPr>
                <w:rFonts w:ascii="Times New Roman" w:hAnsi="Times New Roman" w:eastAsia="楷体"/>
                <w:sz w:val="24"/>
              </w:rPr>
              <w:t>106</w:t>
            </w:r>
          </w:p>
        </w:tc>
        <w:tc>
          <w:tcPr>
            <w:tcW w:type="dxa" w:w="2160"/>
            <w:shd w:fill="FFF7ED"/>
          </w:tcPr>
          <w:p>
            <w:r>
              <w:rPr>
                <w:rFonts w:ascii="Times New Roman" w:hAnsi="Times New Roman" w:eastAsia="楷体"/>
                <w:sz w:val="24"/>
              </w:rPr>
              <w:t>7.2 - 10.6K</w:t>
            </w:r>
          </w:p>
        </w:tc>
        <w:tc>
          <w:tcPr>
            <w:tcW w:type="dxa" w:w="2160"/>
            <w:shd w:fill="FFF7ED"/>
          </w:tcPr>
          <w:p>
            <w:r>
              <w:rPr>
                <w:rFonts w:ascii="Times New Roman" w:hAnsi="Times New Roman" w:eastAsia="楷体"/>
                <w:sz w:val="24"/>
              </w:rPr>
              <w:t>西安-雁塔区, 重庆-渝北区, 成都-锦江区</w:t>
            </w:r>
          </w:p>
        </w:tc>
      </w:tr>
      <w:tr>
        <w:tc>
          <w:tcPr>
            <w:tcW w:type="dxa" w:w="2160"/>
            <w:shd w:fill="F0FDFA"/>
          </w:tcPr>
          <w:p>
            <w:r>
              <w:rPr>
                <w:rFonts w:ascii="Times New Roman" w:hAnsi="Times New Roman" w:eastAsia="楷体"/>
                <w:sz w:val="24"/>
              </w:rPr>
              <w:t>东部</w:t>
            </w:r>
          </w:p>
        </w:tc>
        <w:tc>
          <w:tcPr>
            <w:tcW w:type="dxa" w:w="2160"/>
            <w:shd w:fill="F0FDFA"/>
          </w:tcPr>
          <w:p>
            <w:r>
              <w:rPr>
                <w:rFonts w:ascii="Times New Roman" w:hAnsi="Times New Roman" w:eastAsia="楷体"/>
                <w:sz w:val="24"/>
              </w:rPr>
              <w:t>182</w:t>
            </w:r>
          </w:p>
        </w:tc>
        <w:tc>
          <w:tcPr>
            <w:tcW w:type="dxa" w:w="2160"/>
            <w:shd w:fill="F0FDFA"/>
          </w:tcPr>
          <w:p>
            <w:r>
              <w:rPr>
                <w:rFonts w:ascii="Times New Roman" w:hAnsi="Times New Roman" w:eastAsia="楷体"/>
                <w:sz w:val="24"/>
              </w:rPr>
              <w:t>8.3 - 13.0K</w:t>
            </w:r>
          </w:p>
        </w:tc>
        <w:tc>
          <w:tcPr>
            <w:tcW w:type="dxa" w:w="2160"/>
            <w:shd w:fill="F0FDFA"/>
          </w:tcPr>
          <w:p>
            <w:r>
              <w:rPr>
                <w:rFonts w:ascii="Times New Roman" w:hAnsi="Times New Roman" w:eastAsia="楷体"/>
                <w:sz w:val="24"/>
              </w:rPr>
              <w:t>深圳-龙岗区, 北京-海淀区, 深圳-南山区</w:t>
            </w:r>
          </w:p>
        </w:tc>
      </w:tr>
      <w:tr>
        <w:tc>
          <w:tcPr>
            <w:tcW w:type="dxa" w:w="2160"/>
            <w:shd w:fill="FAF5FF"/>
          </w:tcPr>
          <w:p>
            <w:r>
              <w:rPr>
                <w:rFonts w:ascii="Times New Roman" w:hAnsi="Times New Roman" w:eastAsia="楷体"/>
                <w:sz w:val="24"/>
              </w:rPr>
              <w:t>中部</w:t>
            </w:r>
          </w:p>
        </w:tc>
        <w:tc>
          <w:tcPr>
            <w:tcW w:type="dxa" w:w="2160"/>
            <w:shd w:fill="FAF5FF"/>
          </w:tcPr>
          <w:p>
            <w:r>
              <w:rPr>
                <w:rFonts w:ascii="Times New Roman" w:hAnsi="Times New Roman" w:eastAsia="楷体"/>
                <w:sz w:val="24"/>
              </w:rPr>
              <w:t>67</w:t>
            </w:r>
          </w:p>
        </w:tc>
        <w:tc>
          <w:tcPr>
            <w:tcW w:type="dxa" w:w="2160"/>
            <w:shd w:fill="FAF5FF"/>
          </w:tcPr>
          <w:p>
            <w:r>
              <w:rPr>
                <w:rFonts w:ascii="Times New Roman" w:hAnsi="Times New Roman" w:eastAsia="楷体"/>
                <w:sz w:val="24"/>
              </w:rPr>
              <w:t>7.3 - 11.1K</w:t>
            </w:r>
          </w:p>
        </w:tc>
        <w:tc>
          <w:tcPr>
            <w:tcW w:type="dxa" w:w="2160"/>
            <w:shd w:fill="FAF5FF"/>
          </w:tcPr>
          <w:p>
            <w:r>
              <w:rPr>
                <w:rFonts w:ascii="Times New Roman" w:hAnsi="Times New Roman" w:eastAsia="楷体"/>
                <w:sz w:val="24"/>
              </w:rPr>
              <w:t>郑州-管城回族区, 郑州-金水区, 南昌-红谷滩区</w:t>
            </w:r>
          </w:p>
        </w:tc>
      </w:tr>
      <w:tr>
        <w:tc>
          <w:tcPr>
            <w:tcW w:type="dxa" w:w="2160"/>
            <w:shd w:fill="FDF2F8"/>
          </w:tcPr>
          <w:p>
            <w:r>
              <w:rPr>
                <w:rFonts w:ascii="Times New Roman" w:hAnsi="Times New Roman" w:eastAsia="楷体"/>
                <w:sz w:val="24"/>
              </w:rPr>
              <w:t>东北</w:t>
            </w:r>
          </w:p>
        </w:tc>
        <w:tc>
          <w:tcPr>
            <w:tcW w:type="dxa" w:w="2160"/>
            <w:shd w:fill="FDF2F8"/>
          </w:tcPr>
          <w:p>
            <w:r>
              <w:rPr>
                <w:rFonts w:ascii="Times New Roman" w:hAnsi="Times New Roman" w:eastAsia="楷体"/>
                <w:sz w:val="24"/>
              </w:rPr>
              <w:t>22</w:t>
            </w:r>
          </w:p>
        </w:tc>
        <w:tc>
          <w:tcPr>
            <w:tcW w:type="dxa" w:w="2160"/>
            <w:shd w:fill="FDF2F8"/>
          </w:tcPr>
          <w:p>
            <w:r>
              <w:rPr>
                <w:rFonts w:ascii="Times New Roman" w:hAnsi="Times New Roman" w:eastAsia="楷体"/>
                <w:sz w:val="24"/>
              </w:rPr>
              <w:t>6.2 - 8.8K</w:t>
            </w:r>
          </w:p>
        </w:tc>
        <w:tc>
          <w:tcPr>
            <w:tcW w:type="dxa" w:w="2160"/>
            <w:shd w:fill="FDF2F8"/>
          </w:tcPr>
          <w:p>
            <w:r>
              <w:rPr>
                <w:rFonts w:ascii="Times New Roman" w:hAnsi="Times New Roman" w:eastAsia="楷体"/>
                <w:sz w:val="24"/>
              </w:rPr>
              <w:t>大连-甘井子区, 沈阳-浑南区, 哈尔滨-南岗区</w:t>
            </w:r>
          </w:p>
        </w:tc>
      </w:tr>
    </w:tbl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五、差距分析</w:t>
      </w:r>
    </w:p>
    <w:p>
      <w:pPr>
        <w:shd w:val="clear" w:color="auto" w:fill="F1F5F9"/>
      </w:pPr>
      <w:r>
        <w:rPr>
          <w:rFonts w:ascii="Times New Roman" w:hAnsi="Times New Roman" w:eastAsia="楷体"/>
          <w:sz w:val="24"/>
        </w:rPr>
        <w:t>学生能力与岗位要求基本匹配，但仍需在细节上进一步优化。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六、PDCA发展计划</w:t>
      </w:r>
    </w:p>
    <w:p>
      <w:pPr>
        <w:shd w:val="clear" w:color="auto" w:fill="F0F9FF"/>
        <w:pBdr>
          <w:left w:val="single" w:sz="12" w:color="3B82F6"/>
        </w:pBdr>
      </w:pPr>
      <w:r>
        <w:rPr>
          <w:rFonts w:ascii="Times New Roman" w:hAnsi="Times New Roman" w:eastAsia="楷体"/>
          <w:sz w:val="24"/>
        </w:rPr>
        <w:t>Plan：</w:t>
        <w:br/>
        <w:t>1. 职业目标：获得软件测试岗位的offer</w:t>
        <w:br/>
        <w:t>2. 学术/技能目标：掌握软件测试相关知识，提升测试用例设计和自动化测试能力</w:t>
        <w:br/>
        <w:t>3. 平台/资源：利用LeetCode、牛客网等平台进行练习，关注测试相关的公众号和论坛</w:t>
        <w:br/>
        <w:t>4. 个人能力提升目标：提高创新能力至4/5，增强沟通能力至4/5，提升抗压能力至4/5</w:t>
        <w:br/>
        <w:t>5. 时间规划：在接下来的3个月内完成技能提升和求职准备</w:t>
      </w:r>
    </w:p>
    <w:p>
      <w:pPr>
        <w:shd w:val="clear" w:color="auto" w:fill="F0FDF4"/>
        <w:pBdr>
          <w:left w:val="single" w:sz="12" w:color="10B981"/>
        </w:pBdr>
      </w:pPr>
      <w:r>
        <w:rPr>
          <w:rFonts w:ascii="Times New Roman" w:hAnsi="Times New Roman" w:eastAsia="楷体"/>
          <w:sz w:val="24"/>
        </w:rPr>
        <w:t>Do：</w:t>
        <w:br/>
        <w:t>1. 具体行动1：学习软件测试理论知识，包括测试流程、测试类型、测试工具等</w:t>
        <w:br/>
        <w:t>2. 具体行动2：实践测试用例设计，每周完成至少5个测试用例编写任务</w:t>
        <w:br/>
        <w:t>3. 具体行动3：学习自动化测试工具如Postman、Selenium、JMeter等，并完成相关项目练习</w:t>
        <w:br/>
        <w:t>4. 具体行动4：参加线上或线下的软件测试相关培训课程，提升专业技能</w:t>
        <w:br/>
        <w:t>5. 具体行动5：每天保持2小时的技能学习时间，周末进行综合复习和总结</w:t>
      </w:r>
    </w:p>
    <w:p>
      <w:pPr>
        <w:shd w:val="clear" w:color="auto" w:fill="FEFCE8"/>
        <w:pBdr>
          <w:left w:val="single" w:sz="12" w:color="F59E0B"/>
        </w:pBdr>
      </w:pPr>
      <w:r>
        <w:rPr>
          <w:rFonts w:ascii="Times New Roman" w:hAnsi="Times New Roman" w:eastAsia="楷体"/>
          <w:sz w:val="24"/>
        </w:rPr>
        <w:t>Check：</w:t>
        <w:br/>
        <w:t>1. 评估周期：每两周进行一次进度检查</w:t>
        <w:br/>
        <w:t>2. 评估指标：测试用例设计正确率、自动化测试项目完成情况、技能测试成绩</w:t>
        <w:br/>
        <w:t>3. 偏差识别：分析在测试用例设计中出现的问题，查找自动化测试中的技术难点</w:t>
        <w:br/>
        <w:t>4. 个人能力评估：每月进行一次自我评估，记录创新能力、沟通能力和抗压能力的变化</w:t>
      </w:r>
    </w:p>
    <w:p>
      <w:pPr>
        <w:shd w:val="clear" w:color="auto" w:fill="F5F3FF"/>
        <w:pBdr>
          <w:left w:val="single" w:sz="12" w:color="8B5CF6"/>
        </w:pBdr>
      </w:pPr>
      <w:r>
        <w:rPr>
          <w:rFonts w:ascii="Times New Roman" w:hAnsi="Times New Roman" w:eastAsia="楷体"/>
          <w:sz w:val="24"/>
        </w:rPr>
        <w:t>Act：</w:t>
        <w:br/>
        <w:t>1. 备选方案：若在测试工具使用上遇到困难，可寻求导师或同行帮助，或调整学习计划</w:t>
        <w:br/>
        <w:t>2. 资源补充：加入软件测试相关的社群，获取更多学习资料和求职信息</w:t>
        <w:br/>
        <w:t>3. 调整策略：根据评估结果优化学习内容，增加实战项目经验，提升综合竞争力</w:t>
        <w:br/>
        <w:t>4. 心态调整：面对压力时采用合理的时间管理和放松方式，保持良好心态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七、岗位调动建议</w:t>
      </w:r>
    </w:p>
    <w:p>
      <w:pPr>
        <w:shd w:val="clear" w:color="auto" w:fill="F8FAFC"/>
      </w:pPr>
      <w:r>
        <w:rPr>
          <w:rFonts w:ascii="Times New Roman" w:hAnsi="Times New Roman" w:eastAsia="楷体"/>
          <w:sz w:val="24"/>
        </w:rPr>
        <w:t>学生目前具备扎实的编程基础和开发经验，但目标岗位是软件测试，因此需要调整技能方向并补充相关知识。为了实现职业发展，可以从以下两方面入手</w:t>
      </w:r>
    </w:p>
    <w:p>
      <w:pPr>
        <w:shd w:val="clear" w:color="auto" w:fill="DCFCE7"/>
        <w:pBdr>
          <w:left w:val="single" w:sz="12" w:color="4ADE80"/>
        </w:pBdr>
      </w:pPr>
      <w:r>
        <w:rPr>
          <w:rFonts w:ascii="Times New Roman" w:hAnsi="Times New Roman" w:eastAsia="楷体"/>
          <w:sz w:val="24"/>
        </w:rPr>
        <w:t xml:space="preserve">1. 如何晋升到更高岗位  </w:t>
        <w:br/>
        <w:t>首先需要掌握软件测试的核心技能，包括测试理论、测试用例设计、测试流程管理以及缺陷跟踪工具的使用。建议学习软件测试基础课程，了解黑盒测试、白盒测试、自动化测试等概念。同时可以学习常用的测试工具如Postman、JMeter、Selenium、Appium等，提升自动化测试能力。在积累经验方面，可以参与公司或学校的测试项目，负责编写测试用例、执行测试、记录缺陷并协助开发人员修复问题。此外，考取相关证书如ISTQB（国际软件测试资格认证）将有助于提升专业度。随着经验增长，逐步承担更多测试管理职责，如测试计划制定、测试团队协作与沟通，最终向测试经理甚至质量保障总监方向发展。</w:t>
      </w:r>
    </w:p>
    <w:p>
      <w:pPr>
        <w:shd w:val="clear" w:color="auto" w:fill="FEF3C7"/>
        <w:pBdr>
          <w:left w:val="single" w:sz="12" w:color="FBBF24"/>
        </w:pBdr>
      </w:pPr>
      <w:r>
        <w:rPr>
          <w:rFonts w:ascii="Times New Roman" w:hAnsi="Times New Roman" w:eastAsia="楷体"/>
          <w:sz w:val="24"/>
        </w:rPr>
        <w:t xml:space="preserve">2. 如何转换到相关岗位  </w:t>
        <w:br/>
        <w:t>如果希望转向DevOps工程师、自动化测试工程师或软件开发工程师等岗位，需要根据具体方向补充相应技能。例如转向DevOps需要学习持续集成/持续交付（CI/CD）、容器化技术（如Docker、Kubernetes）、云平台（如AWS、阿里云）等知识。转向自动化测试则需深入学习Python脚本编写、自动化测试框架搭建、接口测试等。若考虑转为软件开发工程师，可进一步强化Java后端开发能力，学习微服务架构、分布式系统设计等内容。同时建议参与开源项目或实际开发项目，积累实战经验。拓展人脉方面，可以加入相关技术社区、参加行业会议或线上论坛，与从业者交流获取最新信息和机会。通过不断学习和实践，逐步实现岗位转型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八、学习资源推荐</w:t>
      </w:r>
    </w:p>
    <w:p>
      <w:pPr>
        <w:shd w:val="clear" w:color="auto" w:fill="F8FAFC"/>
      </w:pPr>
      <w:r>
        <w:rPr>
          <w:rFonts w:ascii="Times New Roman" w:hAnsi="Times New Roman" w:eastAsia="楷体"/>
          <w:sz w:val="24"/>
        </w:rPr>
        <w:t>您的能力与岗位要求基本匹配，建议通过项目实践进一步提升综合能力。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九、评估周期与动态调整</w:t>
      </w:r>
    </w:p>
    <w:p>
      <w:pPr>
        <w:shd w:val="clear" w:color="auto" w:fill="F1F5F9"/>
      </w:pPr>
      <w:r>
        <w:rPr>
          <w:rFonts w:ascii="Times New Roman" w:hAnsi="Times New Roman" w:eastAsia="楷体"/>
          <w:sz w:val="24"/>
        </w:rPr>
        <w:t>建议每3-6个月进行一次自我评估，根据学习进度和行业变化调整计划。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