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微软雅黑"/>
          <w:b/>
          <w:color w:val="003366"/>
          <w:sz w:val="48"/>
        </w:rPr>
        <w:t>职业生涯发展报告 - test02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一、学生基本信息</w:t>
      </w:r>
    </w:p>
    <w:p>
      <w:pPr>
        <w:shd w:val="clear" w:color="auto" w:fill="E0F2FE"/>
      </w:pPr>
      <w:r>
        <w:rPr>
          <w:rFonts w:ascii="Times New Roman" w:hAnsi="Times New Roman" w:eastAsia="楷体"/>
          <w:sz w:val="24"/>
        </w:rPr>
        <w:t>姓名：test02</w:t>
        <w:br/>
        <w:t>学历：本科</w:t>
        <w:br/>
        <w:t>专业：计算机科学与技术</w:t>
        <w:br/>
        <w:t>技能：Java, Python, SpringBoot, MyBatis, HTML, CSS, JavaScript, Vue, MySQL, Git</w:t>
        <w:br/>
        <w:t>证书：</w:t>
        <w:br/>
        <w:t>综合竞争力评分：65分</w:t>
        <w:br/>
        <w:t>评分理由：具备扎实的技术基础和一定组织经验，但缺乏实际项目、竞赛和证书支撑，综合竞争力中等。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二、人岗匹配分析</w:t>
      </w:r>
    </w:p>
    <w:p>
      <w:pPr>
        <w:shd w:val="clear" w:color="auto" w:fill="FFEDD5"/>
      </w:pPr>
      <w:r>
        <w:rPr>
          <w:rFonts w:ascii="Times New Roman" w:hAnsi="Times New Roman" w:eastAsia="楷体"/>
          <w:sz w:val="24"/>
        </w:rPr>
        <w:t>目标岗位：软件测试</w:t>
        <w:br/>
        <w:t>综合匹配度：90.7%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维度</w:t>
            </w:r>
          </w:p>
        </w:tc>
        <w:tc>
          <w:tcPr>
            <w:tcW w:type="dxa" w:w="5400"/>
          </w:tcPr>
          <w:p>
            <w:r>
              <w:t>匹配度</w:t>
            </w:r>
          </w:p>
        </w:tc>
      </w:tr>
      <w:tr>
        <w:tc>
          <w:tcPr>
            <w:tcW w:type="dxa" w:w="5400"/>
          </w:tcPr>
          <w:p>
            <w:r>
              <w:t>基础要求</w:t>
            </w:r>
          </w:p>
        </w:tc>
        <w:tc>
          <w:tcPr>
            <w:tcW w:type="dxa" w:w="5400"/>
          </w:tcPr>
          <w:p>
            <w:r>
              <w:t>70.0%</w:t>
            </w:r>
          </w:p>
        </w:tc>
      </w:tr>
      <w:tr>
        <w:tc>
          <w:tcPr>
            <w:tcW w:type="dxa" w:w="5400"/>
          </w:tcPr>
          <w:p>
            <w:r>
              <w:t>职业技能</w:t>
            </w:r>
          </w:p>
        </w:tc>
        <w:tc>
          <w:tcPr>
            <w:tcW w:type="dxa" w:w="5400"/>
          </w:tcPr>
          <w:p>
            <w:r>
              <w:t>100.0%</w:t>
            </w:r>
          </w:p>
        </w:tc>
      </w:tr>
      <w:tr>
        <w:tc>
          <w:tcPr>
            <w:tcW w:type="dxa" w:w="5400"/>
          </w:tcPr>
          <w:p>
            <w:r>
              <w:t>职业素养</w:t>
            </w:r>
          </w:p>
        </w:tc>
        <w:tc>
          <w:tcPr>
            <w:tcW w:type="dxa" w:w="5400"/>
          </w:tcPr>
          <w:p>
            <w:r>
              <w:t>92.5%</w:t>
            </w:r>
          </w:p>
        </w:tc>
      </w:tr>
      <w:tr>
        <w:tc>
          <w:tcPr>
            <w:tcW w:type="dxa" w:w="5400"/>
          </w:tcPr>
          <w:p>
            <w:r>
              <w:t>发展潜力</w:t>
            </w:r>
          </w:p>
        </w:tc>
        <w:tc>
          <w:tcPr>
            <w:tcW w:type="dxa" w:w="5400"/>
          </w:tcPr>
          <w:p>
            <w:r>
              <w:t>90.0%</w:t>
            </w:r>
          </w:p>
        </w:tc>
      </w:tr>
      <w:tr>
        <w:tc>
          <w:tcPr>
            <w:tcW w:type="dxa" w:w="5400"/>
          </w:tcPr>
          <w:p>
            <w:r>
              <w:t>技能匹配</w:t>
            </w:r>
          </w:p>
        </w:tc>
        <w:tc>
          <w:tcPr>
            <w:tcW w:type="dxa" w:w="5400"/>
          </w:tcPr>
          <w:p>
            <w:r>
              <w:t>100.0%</w:t>
            </w:r>
          </w:p>
        </w:tc>
      </w:tr>
      <w:tr>
        <w:tc>
          <w:tcPr>
            <w:tcW w:type="dxa" w:w="5400"/>
          </w:tcPr>
          <w:p>
            <w:r>
              <w:t>证书匹配</w:t>
            </w:r>
          </w:p>
        </w:tc>
        <w:tc>
          <w:tcPr>
            <w:tcW w:type="dxa" w:w="5400"/>
          </w:tcPr>
          <w:p>
            <w:r>
              <w:t>100.0%</w:t>
            </w:r>
          </w:p>
        </w:tc>
      </w:tr>
      <w:tr>
        <w:tc>
          <w:tcPr>
            <w:tcW w:type="dxa" w:w="5400"/>
          </w:tcPr>
          <w:p>
            <w:r>
              <w:t>创新匹配</w:t>
            </w:r>
          </w:p>
        </w:tc>
        <w:tc>
          <w:tcPr>
            <w:tcW w:type="dxa" w:w="5400"/>
          </w:tcPr>
          <w:p>
            <w:r>
              <w:t>98.7%</w:t>
            </w:r>
          </w:p>
        </w:tc>
      </w:tr>
      <w:tr>
        <w:tc>
          <w:tcPr>
            <w:tcW w:type="dxa" w:w="5400"/>
          </w:tcPr>
          <w:p>
            <w:r>
              <w:t>学习匹配</w:t>
            </w:r>
          </w:p>
        </w:tc>
        <w:tc>
          <w:tcPr>
            <w:tcW w:type="dxa" w:w="5400"/>
          </w:tcPr>
          <w:p>
            <w:r>
              <w:t>85.0%</w:t>
            </w:r>
          </w:p>
        </w:tc>
      </w:tr>
      <w:tr>
        <w:tc>
          <w:tcPr>
            <w:tcW w:type="dxa" w:w="5400"/>
          </w:tcPr>
          <w:p>
            <w:r>
              <w:t>抗压匹配</w:t>
            </w:r>
          </w:p>
        </w:tc>
        <w:tc>
          <w:tcPr>
            <w:tcW w:type="dxa" w:w="5400"/>
          </w:tcPr>
          <w:p>
            <w:r>
              <w:t>87.4%</w:t>
            </w:r>
          </w:p>
        </w:tc>
      </w:tr>
      <w:tr>
        <w:tc>
          <w:tcPr>
            <w:tcW w:type="dxa" w:w="5400"/>
          </w:tcPr>
          <w:p>
            <w:r>
              <w:t>沟通匹配</w:t>
            </w:r>
          </w:p>
        </w:tc>
        <w:tc>
          <w:tcPr>
            <w:tcW w:type="dxa" w:w="5400"/>
          </w:tcPr>
          <w:p>
            <w:r>
              <w:t>98.9%</w:t>
            </w:r>
          </w:p>
        </w:tc>
      </w:tr>
      <w:tr>
        <w:tc>
          <w:tcPr>
            <w:tcW w:type="dxa" w:w="5400"/>
          </w:tcPr>
          <w:p>
            <w:r>
              <w:t>学历匹配</w:t>
            </w:r>
          </w:p>
        </w:tc>
        <w:tc>
          <w:tcPr>
            <w:tcW w:type="dxa" w:w="5400"/>
          </w:tcPr>
          <w:p>
            <w:r>
              <w:t>100.0%</w:t>
            </w:r>
          </w:p>
        </w:tc>
      </w:tr>
      <w:tr>
        <w:tc>
          <w:tcPr>
            <w:tcW w:type="dxa" w:w="5400"/>
          </w:tcPr>
          <w:p>
            <w:r>
              <w:t>专业匹配</w:t>
            </w:r>
          </w:p>
        </w:tc>
        <w:tc>
          <w:tcPr>
            <w:tcW w:type="dxa" w:w="5400"/>
          </w:tcPr>
          <w:p>
            <w:r>
              <w:t>0.0%</w:t>
            </w:r>
          </w:p>
        </w:tc>
      </w:tr>
      <w:tr>
        <w:tc>
          <w:tcPr>
            <w:tcW w:type="dxa" w:w="5400"/>
          </w:tcPr>
          <w:p>
            <w:r>
              <w:t>经验匹配</w:t>
            </w:r>
          </w:p>
        </w:tc>
        <w:tc>
          <w:tcPr>
            <w:tcW w:type="dxa" w:w="5400"/>
          </w:tcPr>
          <w:p>
            <w:r>
              <w:t>100.0%</w:t>
            </w:r>
          </w:p>
        </w:tc>
      </w:tr>
      <w:tr>
        <w:tc>
          <w:tcPr>
            <w:tcW w:type="dxa" w:w="5400"/>
          </w:tcPr>
          <w:p>
            <w:r>
              <w:t>语言匹配</w:t>
            </w:r>
          </w:p>
        </w:tc>
        <w:tc>
          <w:tcPr>
            <w:tcW w:type="dxa" w:w="5400"/>
          </w:tcPr>
          <w:p>
            <w:r>
              <w:t>100.0%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1384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38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三、职业目标与路径规划</w:t>
      </w:r>
    </w:p>
    <w:p>
      <w:pPr>
        <w:shd w:val="clear" w:color="auto" w:fill="DBEAFE"/>
        <w:pBdr>
          <w:left w:val="single" w:sz="12" w:color="3B82F6"/>
        </w:pBdr>
      </w:pPr>
      <w:r>
        <w:rPr>
          <w:rFonts w:ascii="Times New Roman" w:hAnsi="Times New Roman" w:eastAsia="楷体"/>
          <w:sz w:val="24"/>
        </w:rPr>
        <w:t>推荐职业目标：软件测试</w:t>
      </w:r>
    </w:p>
    <w:p>
      <w:pPr>
        <w:shd w:val="clear" w:color="auto" w:fill="DCFCE7"/>
        <w:pBdr>
          <w:left w:val="single" w:sz="12" w:color="10B981"/>
        </w:pBdr>
      </w:pPr>
      <w:r>
        <w:rPr>
          <w:rFonts w:ascii="Times New Roman" w:hAnsi="Times New Roman" w:eastAsia="楷体"/>
          <w:sz w:val="24"/>
        </w:rPr>
        <w:t>晋升路径：高级软件测试工程师 → 测试经理 → 质量保障总监</w:t>
      </w:r>
    </w:p>
    <w:p>
      <w:pPr>
        <w:shd w:val="clear" w:color="auto" w:fill="FEF3C7"/>
        <w:pBdr>
          <w:left w:val="single" w:sz="12" w:color="F59E0B"/>
        </w:pBdr>
      </w:pPr>
      <w:r>
        <w:rPr>
          <w:rFonts w:ascii="Times New Roman" w:hAnsi="Times New Roman" w:eastAsia="楷体"/>
          <w:sz w:val="24"/>
        </w:rPr>
        <w:t>横向换岗路径：DevOps工程师、自动化测试工程师、软件开发工程师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四、区域机会分析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区域</w:t>
            </w:r>
          </w:p>
        </w:tc>
        <w:tc>
          <w:tcPr>
            <w:tcW w:type="dxa" w:w="2700"/>
          </w:tcPr>
          <w:p>
            <w:r>
              <w:t>招聘数量</w:t>
            </w:r>
          </w:p>
        </w:tc>
        <w:tc>
          <w:tcPr>
            <w:tcW w:type="dxa" w:w="2700"/>
          </w:tcPr>
          <w:p>
            <w:r>
              <w:t>平均薪资(K)</w:t>
            </w:r>
          </w:p>
        </w:tc>
        <w:tc>
          <w:tcPr>
            <w:tcW w:type="dxa" w:w="2700"/>
          </w:tcPr>
          <w:p>
            <w:r>
              <w:t>主要城市</w:t>
            </w:r>
          </w:p>
        </w:tc>
      </w:tr>
      <w:tr>
        <w:tc>
          <w:tcPr>
            <w:tcW w:type="dxa" w:w="2700"/>
            <w:shd w:fill="FFF7ED"/>
          </w:tcPr>
          <w:p>
            <w:r>
              <w:t>西部</w:t>
            </w:r>
          </w:p>
        </w:tc>
        <w:tc>
          <w:tcPr>
            <w:tcW w:type="dxa" w:w="2700"/>
            <w:shd w:fill="FFF7ED"/>
          </w:tcPr>
          <w:p>
            <w:r>
              <w:t>106</w:t>
            </w:r>
          </w:p>
        </w:tc>
        <w:tc>
          <w:tcPr>
            <w:tcW w:type="dxa" w:w="2700"/>
            <w:shd w:fill="FFF7ED"/>
          </w:tcPr>
          <w:p>
            <w:r>
              <w:t>7.2 - 10.6K</w:t>
            </w:r>
          </w:p>
        </w:tc>
        <w:tc>
          <w:tcPr>
            <w:tcW w:type="dxa" w:w="2700"/>
            <w:shd w:fill="FFF7ED"/>
          </w:tcPr>
          <w:p>
            <w:r>
              <w:t>西安-雁塔区, 重庆-渝北区, 成都-锦江区</w:t>
            </w:r>
          </w:p>
        </w:tc>
      </w:tr>
      <w:tr>
        <w:tc>
          <w:tcPr>
            <w:tcW w:type="dxa" w:w="2700"/>
            <w:shd w:fill="F0FDFA"/>
          </w:tcPr>
          <w:p>
            <w:r>
              <w:t>东部</w:t>
            </w:r>
          </w:p>
        </w:tc>
        <w:tc>
          <w:tcPr>
            <w:tcW w:type="dxa" w:w="2700"/>
            <w:shd w:fill="F0FDFA"/>
          </w:tcPr>
          <w:p>
            <w:r>
              <w:t>182</w:t>
            </w:r>
          </w:p>
        </w:tc>
        <w:tc>
          <w:tcPr>
            <w:tcW w:type="dxa" w:w="2700"/>
            <w:shd w:fill="F0FDFA"/>
          </w:tcPr>
          <w:p>
            <w:r>
              <w:t>8.3 - 13.0K</w:t>
            </w:r>
          </w:p>
        </w:tc>
        <w:tc>
          <w:tcPr>
            <w:tcW w:type="dxa" w:w="2700"/>
            <w:shd w:fill="F0FDFA"/>
          </w:tcPr>
          <w:p>
            <w:r>
              <w:t>深圳-龙岗区, 北京-海淀区, 深圳-南山区</w:t>
            </w:r>
          </w:p>
        </w:tc>
      </w:tr>
      <w:tr>
        <w:tc>
          <w:tcPr>
            <w:tcW w:type="dxa" w:w="2700"/>
            <w:shd w:fill="FAF5FF"/>
          </w:tcPr>
          <w:p>
            <w:r>
              <w:t>中部</w:t>
            </w:r>
          </w:p>
        </w:tc>
        <w:tc>
          <w:tcPr>
            <w:tcW w:type="dxa" w:w="2700"/>
            <w:shd w:fill="FAF5FF"/>
          </w:tcPr>
          <w:p>
            <w:r>
              <w:t>67</w:t>
            </w:r>
          </w:p>
        </w:tc>
        <w:tc>
          <w:tcPr>
            <w:tcW w:type="dxa" w:w="2700"/>
            <w:shd w:fill="FAF5FF"/>
          </w:tcPr>
          <w:p>
            <w:r>
              <w:t>7.3 - 11.1K</w:t>
            </w:r>
          </w:p>
        </w:tc>
        <w:tc>
          <w:tcPr>
            <w:tcW w:type="dxa" w:w="2700"/>
            <w:shd w:fill="FAF5FF"/>
          </w:tcPr>
          <w:p>
            <w:r>
              <w:t>郑州-管城回族区, 郑州-金水区, 南昌-红谷滩区</w:t>
            </w:r>
          </w:p>
        </w:tc>
      </w:tr>
      <w:tr>
        <w:tc>
          <w:tcPr>
            <w:tcW w:type="dxa" w:w="2700"/>
            <w:shd w:fill="FDF2F8"/>
          </w:tcPr>
          <w:p>
            <w:r>
              <w:t>东北</w:t>
            </w:r>
          </w:p>
        </w:tc>
        <w:tc>
          <w:tcPr>
            <w:tcW w:type="dxa" w:w="2700"/>
            <w:shd w:fill="FDF2F8"/>
          </w:tcPr>
          <w:p>
            <w:r>
              <w:t>22</w:t>
            </w:r>
          </w:p>
        </w:tc>
        <w:tc>
          <w:tcPr>
            <w:tcW w:type="dxa" w:w="2700"/>
            <w:shd w:fill="FDF2F8"/>
          </w:tcPr>
          <w:p>
            <w:r>
              <w:t>6.2 - 8.8K</w:t>
            </w:r>
          </w:p>
        </w:tc>
        <w:tc>
          <w:tcPr>
            <w:tcW w:type="dxa" w:w="2700"/>
            <w:shd w:fill="FDF2F8"/>
          </w:tcPr>
          <w:p>
            <w:r>
              <w:t>大连-甘井子区, 沈阳-浑南区, 哈尔滨-南岗区</w:t>
            </w:r>
          </w:p>
        </w:tc>
      </w:tr>
    </w:tbl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五、差距分析</w:t>
      </w:r>
    </w:p>
    <w:p>
      <w:pPr>
        <w:shd w:val="clear" w:color="auto" w:fill="F1F5F9"/>
      </w:pPr>
      <w:r>
        <w:rPr>
          <w:rFonts w:ascii="Times New Roman" w:hAnsi="Times New Roman" w:eastAsia="楷体"/>
          <w:sz w:val="24"/>
        </w:rPr>
        <w:t>学生能力与岗位要求基本匹配，但仍需在细节上进一步优化。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六、PDCA发展计划</w:t>
      </w:r>
    </w:p>
    <w:p>
      <w:pPr>
        <w:shd w:val="clear" w:color="auto" w:fill="F0F9FF"/>
        <w:pBdr>
          <w:left w:val="single" w:sz="12" w:color="3B82F6"/>
        </w:pBdr>
      </w:pPr>
      <w:r>
        <w:rPr>
          <w:rFonts w:ascii="Times New Roman" w:hAnsi="Times New Roman" w:eastAsia="楷体"/>
          <w:sz w:val="24"/>
        </w:rPr>
        <w:t>Plan：</w:t>
        <w:br/>
        <w:t>1. 职业目标：获得软件测试岗位的offer</w:t>
        <w:br/>
        <w:t>2. 学术/技能目标：掌握软件测试相关知识和工具，提升测试用例设计能力</w:t>
        <w:br/>
        <w:t>3. 平台/资源：参与测试相关的在线课程和社区，关注招聘平台动态</w:t>
        <w:br/>
        <w:t>4. 时间规划：在3个月内完成准备并投递简历</w:t>
        <w:br/>
        <w:t>5. 个人优势：具备Java和Python编程基础，熟悉数据库和版本控制工具</w:t>
        <w:br/>
        <w:t>6. 需要提升的能力：提高创新能力，加强沟通表达能力</w:t>
      </w:r>
    </w:p>
    <w:p>
      <w:pPr>
        <w:shd w:val="clear" w:color="auto" w:fill="F0FDF4"/>
        <w:pBdr>
          <w:left w:val="single" w:sz="12" w:color="10B981"/>
        </w:pBdr>
      </w:pPr>
      <w:r>
        <w:rPr>
          <w:rFonts w:ascii="Times New Roman" w:hAnsi="Times New Roman" w:eastAsia="楷体"/>
          <w:sz w:val="24"/>
        </w:rPr>
        <w:t>Do：</w:t>
        <w:br/>
        <w:t>1. 具体行动1：学习软件测试理论知识，包括测试流程、测试类型和测试方法</w:t>
        <w:br/>
        <w:t>2. 具体行动2：学习自动化测试工具如Selenium、Postman和JMeter</w:t>
        <w:br/>
        <w:t>3. 具体行动3：参与测试相关的在线课程，如Coursera或网易云课堂上的测试课程</w:t>
        <w:br/>
        <w:t>4. 具体行动4：每周进行3次以上测试用例设计练习，提升实际操作能力</w:t>
        <w:br/>
        <w:t>5. 具体行动5：关注招聘网站如BOSS直聘、拉勾网等，收集软件测试岗位信息</w:t>
        <w:br/>
        <w:t>6. 具体行动6：完善简历，突出编程能力和实习经历，强调对测试工作的兴趣</w:t>
      </w:r>
    </w:p>
    <w:p>
      <w:pPr>
        <w:shd w:val="clear" w:color="auto" w:fill="FEFCE8"/>
        <w:pBdr>
          <w:left w:val="single" w:sz="12" w:color="F59E0B"/>
        </w:pBdr>
      </w:pPr>
      <w:r>
        <w:rPr>
          <w:rFonts w:ascii="Times New Roman" w:hAnsi="Times New Roman" w:eastAsia="楷体"/>
          <w:sz w:val="24"/>
        </w:rPr>
        <w:t>Check：</w:t>
        <w:br/>
        <w:t>1. 评估周期：每两周进行一次进度检查</w:t>
        <w:br/>
        <w:t>2. 评估指标：测试知识掌握情况、测试工具使用熟练度、简历优化程度</w:t>
        <w:br/>
        <w:t>3. 偏差识别：分析学习进度是否滞后，测试工具使用是否熟练，简历是否符合岗位要求</w:t>
        <w:br/>
        <w:t>4. 反馈来源：通过在线测试平台或同学朋友获取反馈意见</w:t>
      </w:r>
    </w:p>
    <w:p>
      <w:pPr>
        <w:shd w:val="clear" w:color="auto" w:fill="F5F3FF"/>
        <w:pBdr>
          <w:left w:val="single" w:sz="12" w:color="8B5CF6"/>
        </w:pBdr>
      </w:pPr>
      <w:r>
        <w:rPr>
          <w:rFonts w:ascii="Times New Roman" w:hAnsi="Times New Roman" w:eastAsia="楷体"/>
          <w:sz w:val="24"/>
        </w:rPr>
        <w:t>Act：</w:t>
        <w:br/>
        <w:t>1. 备选方案：若测试工具学习遇到困难，可寻求导师或技术社区的帮助</w:t>
        <w:br/>
        <w:t>2. 资源补充：加入测试相关的微信群或QQ群，获取最新资讯和学习资料</w:t>
        <w:br/>
        <w:t>3. 调整计划：根据评估结果调整学习重点，增加实践环节的时间投入</w:t>
        <w:br/>
        <w:t>4. 心态调整：增强抗压能力，保持积极心态面对求职过程中的挑战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七、岗位调动建议</w:t>
      </w:r>
    </w:p>
    <w:p>
      <w:pPr>
        <w:shd w:val="clear" w:color="auto" w:fill="F8FAFC"/>
      </w:pPr>
      <w:r>
        <w:rPr>
          <w:rFonts w:ascii="Times New Roman" w:hAnsi="Times New Roman" w:eastAsia="楷体"/>
          <w:sz w:val="24"/>
        </w:rPr>
        <w:t>学生目前具备扎实的编程基础和开发经验，但目标岗位是软件测试，因此需要从开发思维向测试思维转变。首先建议学生系统学习软件测试理论知识，包括测试流程、测试方法、测试用例设计等。同时可以考取相关证书如ISTQB（国际软件测试资格认证）以提升专业性。在技能方面，应补充自动化测试工具如Selenium、Postman、JMeter等的使用，并掌握持续集成与持续交付（CI/CD）的基本概念。此外，了解缺陷管理工具如Jira和Bugzilla也是必要的。</w:t>
        <w:br/>
        <w:br/>
        <w:t>积累项目经验方面，学生可以主动参与学校的测试项目或开源项目的测试工作，或者在实习期间争取参与测试相关的任务。同时建议加入测试相关的社群或论坛，拓展人脉资源，获取行业动态和招聘信息。如果希望转换到DevOps工程师或自动化测试工程师等岗位，还需要学习Linux系统、Docker、Kubernetes等技术，并尝试搭建测试环境。对于转向软件开发工程师，可以进一步深入学习前端框架和后端架构设计，提升全栈能力。通过不断学习和实践，学生可以逐步实现职业目标。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八、学习资源推荐</w:t>
      </w:r>
    </w:p>
    <w:p>
      <w:pPr>
        <w:shd w:val="clear" w:color="auto" w:fill="F8FAFC"/>
      </w:pPr>
      <w:r>
        <w:rPr>
          <w:rFonts w:ascii="Times New Roman" w:hAnsi="Times New Roman" w:eastAsia="楷体"/>
          <w:sz w:val="24"/>
        </w:rPr>
        <w:t>您的能力与岗位要求基本匹配，建议通过项目实践进一步提升综合能力。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九、评估周期与动态调整</w:t>
      </w:r>
    </w:p>
    <w:p>
      <w:pPr>
        <w:shd w:val="clear" w:color="auto" w:fill="F1F5F9"/>
      </w:pPr>
      <w:r>
        <w:rPr>
          <w:rFonts w:ascii="Times New Roman" w:hAnsi="Times New Roman" w:eastAsia="楷体"/>
          <w:sz w:val="24"/>
        </w:rPr>
        <w:t>建议每3-6个月进行一次自我评估，根据学习进度和行业变化调整计划。</w:t>
      </w:r>
    </w:p>
    <w:p/>
    <w:p>
      <w:pPr>
        <w:jc w:val="center"/>
      </w:pPr>
      <w:r>
        <w:rPr>
          <w:rFonts w:ascii="Times New Roman" w:hAnsi="Times New Roman" w:eastAsia="楷体"/>
          <w:i/>
          <w:color w:val="808080"/>
          <w:sz w:val="20"/>
        </w:rPr>
        <w:t>内容由AI生成，请仔细甄别</w:t>
      </w:r>
    </w:p>
    <w:sectPr w:rsidR="00FC693F" w:rsidRPr="0006063C" w:rsidSect="00034616">
      <w:headerReference w:type="default" r:id="rId9"/>
      <w:pgSz w:w="12240" w:h="15840"/>
      <w:pgMar w:top="720" w:right="720" w:bottom="720" w:left="720" w:header="227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640" w:val="right"/>
      </w:tabs>
    </w:pPr>
    <w:r>
      <w:rPr>
        <w:rFonts w:ascii="Times New Roman" w:hAnsi="Times New Roman" w:eastAsia="微软雅黑"/>
        <w:sz w:val="20"/>
      </w:rPr>
      <w:t>「智途」— 你的私人职业规划助手</w:t>
    </w:r>
    <w:r>
      <w:tab/>
    </w:r>
    <w:r>
      <w:rPr>
        <w:rFonts w:ascii="Times New Roman" w:hAnsi="Times New Roman" w:eastAsia="微软雅黑"/>
        <w:sz w:val="20"/>
      </w:rPr>
      <w:t>2026-04-14 20:33:19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