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560" w:lineRule="atLeast"/>
        <w:rPr>
          <w:rFonts w:ascii="Times New Roman" w:eastAsia="Times New Roman" w:hAnsi="Times New Roman" w:cs="Times New Roman"/>
        </w:rPr>
      </w:pPr>
    </w:p>
    <w:p>
      <w:pPr>
        <w:spacing w:before="0" w:after="0" w:line="560" w:lineRule="atLeast"/>
        <w:rPr>
          <w:rFonts w:ascii="Times New Roman" w:eastAsia="Times New Roman" w:hAnsi="Times New Roman" w:cs="Times New Roman"/>
        </w:rPr>
      </w:pPr>
      <w:r>
        <w:rPr>
          <w:rFonts w:ascii="宋体" w:eastAsia="宋体" w:hAnsi="宋体" w:cs="宋体"/>
          <w:b/>
          <w:bCs/>
          <w:color w:val="1D2824"/>
          <w:sz w:val="28"/>
          <w:szCs w:val="28"/>
        </w:rPr>
        <w:t>BTHF-2019-0301</w:t>
      </w:r>
      <w:r>
        <w:rPr>
          <w:rFonts w:ascii="宋体" w:eastAsia="宋体" w:hAnsi="宋体" w:cs="宋体"/>
          <w:sz w:val="28"/>
          <w:szCs w:val="28"/>
        </w:rPr>
        <w:t xml:space="preserve">                            </w:t>
      </w:r>
      <w:r>
        <w:rPr>
          <w:rFonts w:ascii="宋体" w:eastAsia="宋体" w:hAnsi="宋体" w:cs="宋体"/>
          <w:sz w:val="28"/>
          <w:szCs w:val="28"/>
        </w:rPr>
        <w:t>合同编号</w:t>
      </w:r>
      <w:r>
        <w:rPr>
          <w:rFonts w:ascii="宋体" w:eastAsia="宋体" w:hAnsi="宋体" w:cs="宋体"/>
          <w:sz w:val="28"/>
          <w:szCs w:val="28"/>
          <w:u w:val="single"/>
        </w:rPr>
        <w:t xml:space="preserve">         </w:t>
      </w:r>
    </w:p>
    <w:p>
      <w:pPr>
        <w:widowControl w:val="0"/>
        <w:spacing w:before="0" w:after="0"/>
        <w:ind w:firstLine="567"/>
        <w:jc w:val="both"/>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京津冀地区电子产品维修服务合同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（不适用三包期内）</w:t>
      </w:r>
    </w:p>
    <w:p>
      <w:pPr>
        <w:widowControl w:val="0"/>
        <w:spacing w:before="0" w:after="0" w:line="240" w:lineRule="atLeast"/>
        <w:ind w:firstLine="482"/>
        <w:jc w:val="both"/>
        <w:rPr>
          <w:rFonts w:ascii="Times New Roman" w:eastAsia="Times New Roman" w:hAnsi="Times New Roman" w:cs="Times New Roman"/>
        </w:rPr>
      </w:pP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一、基本信息：</w:t>
      </w:r>
      <w:r>
        <w:rPr>
          <w:rFonts w:ascii="宋体" w:eastAsia="宋体" w:hAnsi="宋体" w:cs="宋体"/>
          <w:sz w:val="22"/>
          <w:szCs w:val="22"/>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23"/>
        <w:gridCol w:w="1035"/>
        <w:gridCol w:w="1667"/>
        <w:gridCol w:w="1035"/>
        <w:gridCol w:w="2614"/>
        <w:gridCol w:w="103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31"/>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108"/>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牌</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right="108"/>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right="10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right="108"/>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right="10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主机序列号</w:t>
            </w:r>
          </w:p>
        </w:tc>
        <w:tc>
          <w:tcPr>
            <w:tcBorders>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right="108"/>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3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108"/>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附</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件</w:t>
            </w:r>
          </w:p>
        </w:tc>
        <w:tc>
          <w:tcPr>
            <w:gridSpan w:val="5"/>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ind w:right="10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电池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充电</w:t>
            </w:r>
            <w:r>
              <w:rPr>
                <w:rFonts w:ascii="宋体" w:eastAsia="宋体" w:hAnsi="宋体" w:cs="宋体"/>
                <w:b w:val="0"/>
                <w:bCs w:val="0"/>
                <w:i w:val="0"/>
                <w:iCs w:val="0"/>
                <w:smallCaps w:val="0"/>
                <w:color w:val="000000"/>
                <w:spacing w:val="-30"/>
                <w:sz w:val="18"/>
                <w:szCs w:val="18"/>
              </w:rPr>
              <w:t>器（线）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遥控器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耳机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储存卡</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val="431"/>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108"/>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外观情况</w:t>
            </w:r>
          </w:p>
        </w:tc>
        <w:tc>
          <w:tcPr>
            <w:gridSpan w:val="5"/>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ind w:right="108"/>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二、维修内容、期限、费用、支付方式、保修：</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07"/>
        <w:gridCol w:w="750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451"/>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105"/>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故障现象</w:t>
            </w:r>
          </w:p>
        </w:tc>
        <w:tc>
          <w:tcPr>
            <w:tcBorders>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right="105"/>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5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105"/>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维修要求及标准</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right="105"/>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38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维修期限</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105"/>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日至</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w:t>
            </w:r>
          </w:p>
        </w:tc>
      </w:tr>
      <w:tr>
        <w:tblPrEx>
          <w:tblW w:w="5000" w:type="pct"/>
          <w:tblCellMar>
            <w:top w:w="0" w:type="dxa"/>
            <w:left w:w="0" w:type="dxa"/>
            <w:bottom w:w="0" w:type="dxa"/>
            <w:right w:w="0" w:type="dxa"/>
          </w:tblCellMar>
        </w:tblPrEx>
        <w:trPr>
          <w:trHeight w:val="4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取件时间</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105"/>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18"/>
                <w:szCs w:val="18"/>
              </w:rPr>
              <w:t>最迟于</w:t>
            </w:r>
            <w:r>
              <w:rPr>
                <w:rFonts w:ascii="宋体" w:eastAsia="宋体" w:hAnsi="宋体" w:cs="宋体"/>
                <w:b w:val="0"/>
                <w:bCs w:val="0"/>
                <w:i w:val="0"/>
                <w:iCs w:val="0"/>
                <w:smallCaps w:val="0"/>
                <w:color w:val="000000"/>
                <w:spacing w:val="-20"/>
                <w:sz w:val="18"/>
                <w:szCs w:val="18"/>
                <w:u w:val="single" w:color="000000"/>
              </w:rPr>
              <w:t xml:space="preserve">       </w:t>
            </w:r>
            <w:r>
              <w:rPr>
                <w:rFonts w:ascii="宋体" w:eastAsia="宋体" w:hAnsi="宋体" w:cs="宋体"/>
                <w:b w:val="0"/>
                <w:bCs w:val="0"/>
                <w:i w:val="0"/>
                <w:iCs w:val="0"/>
                <w:smallCaps w:val="0"/>
                <w:color w:val="000000"/>
                <w:spacing w:val="-20"/>
                <w:sz w:val="18"/>
                <w:szCs w:val="18"/>
              </w:rPr>
              <w:t>年</w:t>
            </w:r>
            <w:r>
              <w:rPr>
                <w:rFonts w:ascii="宋体" w:eastAsia="宋体" w:hAnsi="宋体" w:cs="宋体"/>
                <w:b w:val="0"/>
                <w:bCs w:val="0"/>
                <w:i w:val="0"/>
                <w:iCs w:val="0"/>
                <w:smallCaps w:val="0"/>
                <w:color w:val="000000"/>
                <w:spacing w:val="-20"/>
                <w:sz w:val="18"/>
                <w:szCs w:val="18"/>
                <w:u w:val="single" w:color="000000"/>
              </w:rPr>
              <w:t xml:space="preserve">     </w:t>
            </w:r>
            <w:r>
              <w:rPr>
                <w:rFonts w:ascii="宋体" w:eastAsia="宋体" w:hAnsi="宋体" w:cs="宋体"/>
                <w:b w:val="0"/>
                <w:bCs w:val="0"/>
                <w:i w:val="0"/>
                <w:iCs w:val="0"/>
                <w:smallCaps w:val="0"/>
                <w:color w:val="000000"/>
                <w:spacing w:val="-20"/>
                <w:sz w:val="18"/>
                <w:szCs w:val="18"/>
              </w:rPr>
              <w:t>月</w:t>
            </w:r>
            <w:r>
              <w:rPr>
                <w:rFonts w:ascii="宋体" w:eastAsia="宋体" w:hAnsi="宋体" w:cs="宋体"/>
                <w:b w:val="0"/>
                <w:bCs w:val="0"/>
                <w:i w:val="0"/>
                <w:iCs w:val="0"/>
                <w:smallCaps w:val="0"/>
                <w:color w:val="000000"/>
                <w:spacing w:val="-20"/>
                <w:sz w:val="18"/>
                <w:szCs w:val="18"/>
                <w:u w:val="single" w:color="000000"/>
              </w:rPr>
              <w:t xml:space="preserve">     </w:t>
            </w:r>
            <w:r>
              <w:rPr>
                <w:rFonts w:ascii="宋体" w:eastAsia="宋体" w:hAnsi="宋体" w:cs="宋体"/>
                <w:b w:val="0"/>
                <w:bCs w:val="0"/>
                <w:i w:val="0"/>
                <w:iCs w:val="0"/>
                <w:smallCaps w:val="0"/>
                <w:color w:val="000000"/>
                <w:spacing w:val="-20"/>
                <w:sz w:val="18"/>
                <w:szCs w:val="18"/>
              </w:rPr>
              <w:t>日前，将维修好的产品取走。每迟延一日，甲方支付</w:t>
            </w:r>
            <w:r>
              <w:rPr>
                <w:rFonts w:ascii="宋体" w:eastAsia="宋体" w:hAnsi="宋体" w:cs="宋体"/>
                <w:b w:val="0"/>
                <w:bCs w:val="0"/>
                <w:i w:val="0"/>
                <w:iCs w:val="0"/>
                <w:smallCaps w:val="0"/>
                <w:color w:val="000000"/>
                <w:spacing w:val="-20"/>
                <w:sz w:val="18"/>
                <w:szCs w:val="18"/>
                <w:u w:val="single" w:color="000000"/>
              </w:rPr>
              <w:t xml:space="preserve">       </w:t>
            </w:r>
            <w:r>
              <w:rPr>
                <w:rFonts w:ascii="宋体" w:eastAsia="宋体" w:hAnsi="宋体" w:cs="宋体"/>
                <w:b w:val="0"/>
                <w:bCs w:val="0"/>
                <w:i w:val="0"/>
                <w:iCs w:val="0"/>
                <w:smallCaps w:val="0"/>
                <w:color w:val="000000"/>
                <w:spacing w:val="-20"/>
                <w:sz w:val="18"/>
                <w:szCs w:val="18"/>
              </w:rPr>
              <w:t>元保管费。</w:t>
            </w:r>
          </w:p>
        </w:tc>
      </w:tr>
      <w:tr>
        <w:tblPrEx>
          <w:tblW w:w="5000" w:type="pct"/>
          <w:tblCellMar>
            <w:top w:w="0" w:type="dxa"/>
            <w:left w:w="0" w:type="dxa"/>
            <w:bottom w:w="0" w:type="dxa"/>
            <w:right w:w="0" w:type="dxa"/>
          </w:tblCellMar>
        </w:tblPrEx>
        <w:trPr>
          <w:trHeight w:val="55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费用</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20"/>
                <w:sz w:val="18"/>
                <w:szCs w:val="18"/>
              </w:rPr>
              <w:t>（人民币）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维修费用（预计）</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元，包括</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，维修费用应以维修项目清单为准。</w:t>
            </w:r>
          </w:p>
          <w:p>
            <w:pPr>
              <w:widowControl w:val="0"/>
              <w:spacing w:before="0" w:after="0" w:line="420" w:lineRule="atLeast"/>
              <w:ind w:right="105"/>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乙方总维修费用超出</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元后，须征求甲方的意见，决定是否继续维修。</w:t>
            </w:r>
          </w:p>
        </w:tc>
      </w:tr>
      <w:tr>
        <w:tblPrEx>
          <w:tblW w:w="5000" w:type="pct"/>
          <w:tblCellMar>
            <w:top w:w="0" w:type="dxa"/>
            <w:left w:w="0" w:type="dxa"/>
            <w:bottom w:w="0" w:type="dxa"/>
            <w:right w:w="0" w:type="dxa"/>
          </w:tblCellMar>
        </w:tblPrEx>
        <w:trPr>
          <w:trHeight w:hRule="exact" w:val="42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备机提供</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不提供</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乙方提供</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供甲方备用，甲方应于取件时归还。</w:t>
            </w:r>
          </w:p>
        </w:tc>
      </w:tr>
      <w:tr>
        <w:tblPrEx>
          <w:tblW w:w="5000" w:type="pct"/>
          <w:tblCellMar>
            <w:top w:w="0" w:type="dxa"/>
            <w:left w:w="0" w:type="dxa"/>
            <w:bottom w:w="0" w:type="dxa"/>
            <w:right w:w="0" w:type="dxa"/>
          </w:tblCellMar>
        </w:tblPrEx>
        <w:trPr>
          <w:trHeight w:hRule="exact" w:val="72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支付方式</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1.维修产品交付时，经双方验收合格，一次性以</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现金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信用卡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其他方式支付。</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2.合同订立时，预付维修费</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元，以</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现金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信用卡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其他方式支付；</w:t>
            </w:r>
          </w:p>
          <w:p>
            <w:pPr>
              <w:widowControl w:val="0"/>
              <w:spacing w:before="0" w:after="0" w:line="420" w:lineRule="atLeast"/>
              <w:ind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经验收合格，余款以</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现金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信用卡</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其他方式支付。</w:t>
            </w:r>
          </w:p>
        </w:tc>
      </w:tr>
      <w:tr>
        <w:tblPrEx>
          <w:tblW w:w="5000" w:type="pct"/>
          <w:tblCellMar>
            <w:top w:w="0" w:type="dxa"/>
            <w:left w:w="0" w:type="dxa"/>
            <w:bottom w:w="0" w:type="dxa"/>
            <w:right w:w="0" w:type="dxa"/>
          </w:tblCellMar>
        </w:tblPrEx>
        <w:trPr>
          <w:trHeight w:hRule="exact" w:val="561"/>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保修</w:t>
            </w: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乙方对维修后产品的相同故障保修</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月（天）。但因</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等原因再次引起故障的，不在保修范围内。</w:t>
            </w:r>
          </w:p>
        </w:tc>
      </w:tr>
    </w:tbl>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三、双方特别约定</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四、解决争议的方法：</w:t>
      </w:r>
    </w:p>
    <w:p>
      <w:pPr>
        <w:widowControl w:val="0"/>
        <w:spacing w:before="0" w:after="0" w:line="420" w:lineRule="atLeast"/>
        <w:ind w:firstLine="398"/>
        <w:jc w:val="both"/>
        <w:rPr>
          <w:rFonts w:ascii="Times New Roman" w:eastAsia="Times New Roman" w:hAnsi="Times New Roman" w:cs="Times New Roman"/>
        </w:rPr>
      </w:pPr>
      <w:r>
        <w:rPr>
          <w:rFonts w:ascii="宋体" w:eastAsia="宋体" w:hAnsi="宋体" w:cs="宋体"/>
          <w:sz w:val="22"/>
          <w:szCs w:val="22"/>
        </w:rPr>
        <w:t xml:space="preserve">双方在履行本合同过程中发生争议，应协商解决，协商不成时，选择（不选定的划除）： </w:t>
      </w:r>
    </w:p>
    <w:p>
      <w:pPr>
        <w:widowControl w:val="0"/>
        <w:spacing w:before="0" w:after="0" w:line="420" w:lineRule="atLeast"/>
        <w:ind w:firstLine="398"/>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向</w:t>
      </w:r>
      <w:r>
        <w:rPr>
          <w:rFonts w:ascii="宋体" w:eastAsia="宋体" w:hAnsi="宋体" w:cs="宋体"/>
          <w:sz w:val="22"/>
          <w:szCs w:val="22"/>
          <w:u w:val="single"/>
        </w:rPr>
        <w:t xml:space="preserve">         </w:t>
      </w:r>
      <w:r>
        <w:rPr>
          <w:rFonts w:ascii="宋体" w:eastAsia="宋体" w:hAnsi="宋体" w:cs="宋体"/>
          <w:sz w:val="22"/>
          <w:szCs w:val="22"/>
        </w:rPr>
        <w:t>仲裁委员会仲裁；</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依法向人民法院起诉。</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托修人（甲方）：</w:t>
      </w:r>
      <w:r>
        <w:rPr>
          <w:rFonts w:ascii="宋体" w:eastAsia="宋体" w:hAnsi="宋体" w:cs="宋体"/>
          <w:sz w:val="22"/>
          <w:szCs w:val="22"/>
        </w:rPr>
        <w:t xml:space="preserve">                            </w:t>
      </w:r>
      <w:r>
        <w:rPr>
          <w:rFonts w:ascii="宋体" w:eastAsia="宋体" w:hAnsi="宋体" w:cs="宋体"/>
          <w:sz w:val="22"/>
          <w:szCs w:val="22"/>
        </w:rPr>
        <w:t>承修人（乙方）：（盖章）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rPr>
        <w:t xml:space="preserve">                                     </w:t>
      </w:r>
      <w:r>
        <w:rPr>
          <w:rFonts w:ascii="宋体" w:eastAsia="宋体" w:hAnsi="宋体" w:cs="宋体"/>
          <w:sz w:val="22"/>
          <w:szCs w:val="22"/>
        </w:rPr>
        <w:t>地址：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0" w:line="420" w:lineRule="atLeast"/>
        <w:ind w:firstLine="15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15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pacing w:val="-20"/>
          <w:sz w:val="22"/>
          <w:szCs w:val="22"/>
        </w:rPr>
        <w:t>注：请在签字前充分了解有关事宜，认真填写以上内容，仔细阅读并认可背面相关合同条款。</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22"/>
          <w:szCs w:val="22"/>
        </w:rPr>
        <w:t>电子产品维修服务通用条款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一、适用范围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本合同适用于京津冀地区超出三包期限的生活消费类电子产品的维修服务。消费类电子产品包括手机、电话、电视机、电脑、游戏机、移动通信产品、数码相机、录像机等。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1.甲方应如实提供维修产品相关资料信息。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2.维修服务前，甲方应对其维修产品中数据进行备份。甲方需要乙方协助的，乙方应当予以协助。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3.维修过程中换下的零配件归甲方所有。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4.甲方应按取件时间办理取件手续，如逾期不领取，乙方可收取保管费。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5.若甲方使用乙方提供的备用机，甲方应妥善保管。如在使用过程中，因甲方原因造成备用机损坏或灭失的，甲方应承担赔偿责任。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三、乙方权利义务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1.乙方应具有维修资质证书，维修人员应当具有执业资格，持证上岗。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2.乙方维修费标准及零配件价格应在经营场所内予以公示。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3.乙方应使用与产品技术和质量标准要求相符的新的零配件。认真记录修理前故障情况、故障处理情况和修理后的质量状况。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4.在维修过程中，如遇到费用超出预算、备件断货等问题，乙方应及时与甲方沟通，征求甲方的意见，决定是否继续维修；维修后，乙方应及时通知甲方提取维修产品。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5.乙方不得复制、泄漏或不正当使用甲方维修产品中的信息，并承担保密义务。乙方擅自复制或泄漏甲方的信息，给甲方造成损失的，应当予以赔偿，并承担其他相应的法律责任。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6.乙方在维修过程中造成维修产品毁损丢失的，或由于乙方自身原因造成数据损坏或灭失的，应承担赔偿责任。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维修产品必须符合国家质量标准或合同规定的标准。交付维修后产品时,由甲方对维修产品进行检验, 确认原故障修复或排除。如不符合国家质量标准或合同规定的标准,甲方有权拒绝接收，不承担保管费用。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五、其他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本合同自双方签字、盖章确认之日起生效。本合同未尽事宜以及在履行中需要变更等内容，通过订立补充协议进行约定。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本合同及补充协议，具有同等法律效力。</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right="338"/>
      <w:jc w:val="right"/>
      <w:rPr>
        <w:rFonts w:ascii="Times New Roman" w:eastAsia="Times New Roman" w:hAnsi="Times New Roman" w:cs="Times New Roman"/>
        <w:sz w:val="28"/>
        <w:szCs w:val="28"/>
      </w:rPr>
    </w:pPr>
    <w:r>
      <w:rPr>
        <w:rFonts w:ascii="宋体" w:eastAsia="宋体" w:hAnsi="宋体" w:cs="宋体"/>
        <w:sz w:val="28"/>
        <w:szCs w:val="28"/>
      </w:rPr>
      <w:t>—</w:t>
    </w:r>
    <w:r>
      <w:rPr>
        <w:rFonts w:ascii="仿宋_GB2312" w:eastAsia="仿宋_GB2312" w:hAnsi="仿宋_GB2312" w:cs="仿宋_GB2312"/>
        <w:sz w:val="28"/>
        <w:szCs w:val="28"/>
      </w:rPr>
      <w:fldChar w:fldCharType="begin"/>
    </w:r>
    <w:r>
      <w:rPr>
        <w:rFonts w:ascii="宋体" w:eastAsia="宋体" w:hAnsi="宋体" w:cs="宋体"/>
        <w:sz w:val="28"/>
        <w:szCs w:val="28"/>
      </w:rPr>
      <w:instrText xml:space="preserve"> PAGE \* MERGEFORMAT </w:instrText>
    </w:r>
    <w:r>
      <w:rPr>
        <w:rFonts w:ascii="仿宋_GB2312" w:eastAsia="仿宋_GB2312" w:hAnsi="仿宋_GB2312" w:cs="仿宋_GB2312"/>
        <w:sz w:val="28"/>
        <w:szCs w:val="28"/>
      </w:rPr>
      <w:fldChar w:fldCharType="separate"/>
    </w:r>
    <w:r>
      <w:rPr>
        <w:rFonts w:ascii="宋体" w:eastAsia="宋体" w:hAnsi="宋体" w:cs="宋体"/>
        <w:sz w:val="28"/>
        <w:szCs w:val="28"/>
      </w:rPr>
      <w:t>1</w:t>
    </w:r>
    <w:r>
      <w:rPr>
        <w:sz w:val="28"/>
        <w:szCs w:val="28"/>
      </w:rPr>
      <w:fldChar w:fldCharType="end"/>
    </w:r>
    <w:r>
      <w:rPr>
        <w:rFonts w:ascii="宋体" w:eastAsia="宋体" w:hAnsi="宋体" w:cs="宋体"/>
        <w:sz w:val="28"/>
        <w:szCs w:val="28"/>
      </w:rPr>
      <w:t>—</w:t>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天津市市场和质量监督管理委员会文件</dc:title>
  <cp:revision>1</cp:revision>
</cp:coreProperties>
</file>