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0.4 -->
  <w:body>
    <w:p>
      <w:pPr>
        <w:widowControl w:val="0"/>
        <w:spacing w:before="74" w:after="0"/>
        <w:ind w:left="117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b/>
          <w:bCs/>
          <w:color w:val="231F20"/>
          <w:sz w:val="28"/>
          <w:szCs w:val="28"/>
        </w:rPr>
        <w:t>GF—2000—0801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8" w:after="0"/>
        <w:rPr>
          <w:rFonts w:ascii="Times New Roman" w:eastAsia="Times New Roman" w:hAnsi="Times New Roman" w:cs="Times New Roman"/>
          <w:sz w:val="27"/>
          <w:szCs w:val="27"/>
        </w:rPr>
      </w:pPr>
    </w:p>
    <w:p>
      <w:pPr>
        <w:widowControl w:val="0"/>
        <w:spacing w:before="0" w:after="0" w:line="577" w:lineRule="atLeast"/>
        <w:ind w:left="3795" w:right="3795"/>
        <w:jc w:val="center"/>
        <w:rPr>
          <w:rFonts w:ascii="Times New Roman" w:eastAsia="Times New Roman" w:hAnsi="Times New Roman" w:cs="Times New Roman"/>
        </w:rPr>
      </w:pPr>
      <w:r>
        <w:rPr>
          <w:rFonts w:ascii="宋体" w:eastAsia="宋体" w:hAnsi="宋体" w:cs="宋体"/>
          <w:color w:val="231F20"/>
          <w:sz w:val="40"/>
          <w:szCs w:val="40"/>
        </w:rPr>
        <w:t>保管合同</w:t>
      </w:r>
    </w:p>
    <w:p>
      <w:pPr>
        <w:widowControl w:val="0"/>
        <w:spacing w:before="152" w:after="0"/>
        <w:ind w:left="3795" w:right="3795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宋体" w:eastAsia="宋体" w:hAnsi="宋体" w:cs="宋体"/>
          <w:color w:val="231F20"/>
          <w:sz w:val="28"/>
          <w:szCs w:val="28"/>
        </w:rPr>
        <w:t>（示范文本）</w:t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  <w:sz w:val="30"/>
          <w:szCs w:val="30"/>
        </w:rPr>
      </w:pPr>
    </w:p>
    <w:p>
      <w:pPr>
        <w:widowControl w:val="0"/>
        <w:tabs>
          <w:tab w:val="left" w:pos="8882"/>
        </w:tabs>
        <w:spacing w:before="0" w:after="0"/>
        <w:ind w:left="541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合同编号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417"/>
          <w:tab w:val="left" w:pos="8882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保管人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签订地点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tabs>
          <w:tab w:val="left" w:pos="3362"/>
          <w:tab w:val="left" w:pos="5417"/>
          <w:tab w:val="left" w:pos="7342"/>
        </w:tabs>
        <w:spacing w:before="89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寄存人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签订时间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</w:t>
      </w:r>
      <w:r>
        <w:rPr>
          <w:rFonts w:ascii="宋体" w:eastAsia="宋体" w:hAnsi="宋体" w:cs="宋体"/>
          <w:color w:val="231F20"/>
          <w:spacing w:val="1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widowControl w:val="0"/>
        <w:spacing w:before="6" w:after="0"/>
        <w:rPr>
          <w:rFonts w:ascii="Times New Roman" w:eastAsia="Times New Roman" w:hAnsi="Times New Roman" w:cs="Times New Roman"/>
          <w:sz w:val="35"/>
          <w:szCs w:val="35"/>
        </w:rPr>
      </w:pPr>
    </w:p>
    <w:p>
      <w:pPr>
        <w:widowControl w:val="0"/>
        <w:spacing w:before="0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保管物</w:t>
      </w:r>
    </w:p>
    <w:p>
      <w:pPr>
        <w:widowControl w:val="0"/>
        <w:tabs>
          <w:tab w:val="left" w:pos="9188"/>
        </w:tabs>
        <w:spacing w:before="89" w:after="0" w:line="302" w:lineRule="auto"/>
        <w:ind w:left="557" w:right="115"/>
        <w:jc w:val="both"/>
        <w:rPr>
          <w:rFonts w:ascii="Lucida Console" w:eastAsia="Lucida Console" w:hAnsi="Lucida Console" w:cs="Lucida Console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保管物名称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性质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数量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价值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保管场所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保管方法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第四条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保管物（是 / 否）有瑕疵。瑕疵是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3" w:after="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trike w:val="0"/>
          <w:sz w:val="20"/>
          <w:szCs w:val="20"/>
          <w:u w:val="none"/>
        </w:rPr>
        <w:drawing>
          <wp:anchor simplePos="0" relativeHeight="25165824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219710</wp:posOffset>
            </wp:positionV>
            <wp:extent cx="5772150" cy="9525"/>
            <wp:wrapTopAndBottom/>
            <wp:docPr id="10000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tabs>
          <w:tab w:val="left" w:pos="9188"/>
        </w:tabs>
        <w:spacing w:before="57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第五条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保管物（是 / 否）需要采取特殊保管措施。特殊保管措施是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5926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0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57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第六条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保管物（是 / 否）有货币、有价证券或者其他贵重物。</w:t>
      </w:r>
    </w:p>
    <w:p>
      <w:pPr>
        <w:widowControl w:val="0"/>
        <w:tabs>
          <w:tab w:val="left" w:pos="3417"/>
          <w:tab w:val="left" w:pos="6057"/>
        </w:tabs>
        <w:spacing w:before="8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第七条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保管期限自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</w:t>
      </w:r>
      <w:r>
        <w:rPr>
          <w:rFonts w:ascii="宋体" w:eastAsia="宋体" w:hAnsi="宋体" w:cs="宋体"/>
          <w:color w:val="231F20"/>
          <w:spacing w:val="1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日至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   </w:t>
      </w:r>
      <w:r>
        <w:rPr>
          <w:rFonts w:ascii="宋体" w:eastAsia="宋体" w:hAnsi="宋体" w:cs="宋体"/>
          <w:color w:val="231F20"/>
          <w:sz w:val="22"/>
          <w:szCs w:val="22"/>
        </w:rPr>
        <w:t>月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    </w:t>
      </w:r>
      <w:r>
        <w:rPr>
          <w:rFonts w:ascii="宋体" w:eastAsia="宋体" w:hAnsi="宋体" w:cs="宋体"/>
          <w:color w:val="231F20"/>
          <w:spacing w:val="12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日 止 。</w:t>
      </w:r>
    </w:p>
    <w:p>
      <w:pPr>
        <w:widowControl w:val="0"/>
        <w:spacing w:before="82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第八条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寄存人交付保管物时，保管人应当验收，并给付保管凭证。</w:t>
      </w:r>
    </w:p>
    <w:p>
      <w:pPr>
        <w:widowControl w:val="0"/>
        <w:spacing w:before="82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第九条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保管人（是 / 否）允许保管人将保管物转交他人保管。</w:t>
      </w:r>
    </w:p>
    <w:p>
      <w:pPr>
        <w:widowControl w:val="0"/>
        <w:tabs>
          <w:tab w:val="left" w:pos="5507"/>
        </w:tabs>
        <w:spacing w:before="8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保管费（大写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）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元。</w:t>
      </w:r>
    </w:p>
    <w:p>
      <w:pPr>
        <w:widowControl w:val="0"/>
        <w:tabs>
          <w:tab w:val="left" w:pos="9188"/>
        </w:tabs>
        <w:spacing w:before="8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第十一条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保管费的支付方式与时间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028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57" w:after="0"/>
        <w:ind w:left="557"/>
        <w:jc w:val="both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第十二条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 </w:t>
      </w:r>
      <w:r>
        <w:rPr>
          <w:rFonts w:ascii="宋体" w:eastAsia="宋体" w:hAnsi="宋体" w:cs="宋体"/>
          <w:color w:val="231F20"/>
          <w:sz w:val="22"/>
          <w:szCs w:val="22"/>
        </w:rPr>
        <w:t>寄存人未向保管人支付保管费的，保管人（是 / 否）可以留置保管物。</w:t>
      </w:r>
    </w:p>
    <w:p>
      <w:pPr>
        <w:widowControl w:val="0"/>
        <w:tabs>
          <w:tab w:val="left" w:pos="9188"/>
        </w:tabs>
        <w:spacing w:before="82" w:after="0"/>
        <w:ind w:left="557"/>
        <w:jc w:val="both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第十三条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pacing w:val="35"/>
          <w:sz w:val="22"/>
          <w:szCs w:val="22"/>
        </w:rPr>
        <w:t xml:space="preserve"> </w:t>
      </w:r>
      <w:r>
        <w:rPr>
          <w:rFonts w:ascii="宋体" w:eastAsia="宋体" w:hAnsi="宋体" w:cs="宋体"/>
          <w:color w:val="231F20"/>
          <w:sz w:val="22"/>
          <w:szCs w:val="22"/>
        </w:rPr>
        <w:t>违约责任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0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1312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262255</wp:posOffset>
            </wp:positionV>
            <wp:extent cx="5772150" cy="9525"/>
            <wp:wrapTopAndBottom/>
            <wp:docPr id="100007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8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2336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528955</wp:posOffset>
            </wp:positionV>
            <wp:extent cx="5772150" cy="9525"/>
            <wp:wrapTopAndBottom/>
            <wp:docPr id="100009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4" w:after="0"/>
        <w:rPr>
          <w:rFonts w:ascii="Times New Roman" w:eastAsia="Times New Roman" w:hAnsi="Times New Roman" w:cs="Times New Roman"/>
          <w:sz w:val="21"/>
          <w:szCs w:val="21"/>
        </w:rPr>
      </w:pPr>
    </w:p>
    <w:p>
      <w:pPr>
        <w:widowControl w:val="0"/>
        <w:spacing w:before="92" w:after="0"/>
        <w:ind w:right="115"/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1</w:t>
      </w:r>
    </w:p>
    <w:p>
      <w:pPr>
        <w:rPr>
          <w:rFonts w:ascii="Times New Roman" w:eastAsia="Times New Roman" w:hAnsi="Times New Roman" w:cs="Times New Roman"/>
        </w:rPr>
        <w:sectPr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</w:p>
    <w:p>
      <w:pPr>
        <w:widowControl w:val="0"/>
        <w:tabs>
          <w:tab w:val="left" w:pos="1669"/>
        </w:tabs>
        <w:spacing w:before="18" w:after="0" w:line="305" w:lineRule="auto"/>
        <w:ind w:left="117" w:right="110" w:firstLine="440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第十四条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合同争议的解决方式</w:t>
      </w:r>
      <w:r>
        <w:rPr>
          <w:rFonts w:ascii="宋体" w:eastAsia="宋体" w:hAnsi="宋体" w:cs="宋体"/>
          <w:color w:val="231F20"/>
          <w:spacing w:val="-52"/>
          <w:sz w:val="22"/>
          <w:szCs w:val="22"/>
        </w:rPr>
        <w:t>：</w:t>
      </w:r>
      <w:r>
        <w:rPr>
          <w:rFonts w:ascii="宋体" w:eastAsia="宋体" w:hAnsi="宋体" w:cs="宋体"/>
          <w:color w:val="231F20"/>
          <w:sz w:val="22"/>
          <w:szCs w:val="22"/>
        </w:rPr>
        <w:t>本合同在履行过程中发生的争议，由双方当事人协商解</w:t>
      </w:r>
      <w:r>
        <w:rPr>
          <w:rFonts w:ascii="宋体" w:eastAsia="宋体" w:hAnsi="宋体" w:cs="宋体"/>
          <w:color w:val="231F20"/>
          <w:sz w:val="22"/>
          <w:szCs w:val="22"/>
        </w:rPr>
        <w:t xml:space="preserve">  </w:t>
      </w:r>
      <w:r>
        <w:rPr>
          <w:rFonts w:ascii="宋体" w:eastAsia="宋体" w:hAnsi="宋体" w:cs="宋体"/>
          <w:color w:val="231F20"/>
          <w:sz w:val="22"/>
          <w:szCs w:val="22"/>
        </w:rPr>
        <w:t>决</w:t>
      </w:r>
      <w:r>
        <w:rPr>
          <w:rFonts w:ascii="宋体" w:eastAsia="宋体" w:hAnsi="宋体" w:cs="宋体"/>
          <w:color w:val="231F20"/>
          <w:spacing w:val="-55"/>
          <w:sz w:val="22"/>
          <w:szCs w:val="22"/>
        </w:rPr>
        <w:t>；</w:t>
      </w:r>
      <w:r>
        <w:rPr>
          <w:rFonts w:ascii="宋体" w:eastAsia="宋体" w:hAnsi="宋体" w:cs="宋体"/>
          <w:color w:val="231F20"/>
          <w:sz w:val="22"/>
          <w:szCs w:val="22"/>
        </w:rPr>
        <w:t>协商不成的，按下列第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sz w:val="20"/>
          <w:szCs w:val="20"/>
          <w:u w:val="single"/>
        </w:rPr>
        <w:t>          </w:t>
      </w:r>
      <w:r>
        <w:rPr>
          <w:rFonts w:ascii="宋体" w:eastAsia="宋体" w:hAnsi="宋体" w:cs="宋体"/>
          <w:color w:val="231F20"/>
          <w:sz w:val="22"/>
          <w:szCs w:val="22"/>
        </w:rPr>
        <w:t>种方式解决：</w:t>
      </w:r>
    </w:p>
    <w:p>
      <w:pPr>
        <w:widowControl w:val="0"/>
        <w:tabs>
          <w:tab w:val="left" w:pos="2427"/>
        </w:tabs>
        <w:spacing w:before="21" w:after="0"/>
        <w:ind w:left="44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（一）提交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仲裁委员会仲裁；</w:t>
      </w:r>
    </w:p>
    <w:p>
      <w:pPr>
        <w:widowControl w:val="0"/>
        <w:spacing w:before="89" w:after="0"/>
        <w:ind w:left="44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（二）依法向人民法院起诉。</w:t>
      </w:r>
    </w:p>
    <w:p>
      <w:pPr>
        <w:widowControl w:val="0"/>
        <w:tabs>
          <w:tab w:val="left" w:pos="1657"/>
          <w:tab w:val="left" w:pos="4517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第十五条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本合同自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 xml:space="preserve"> 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时成立。</w:t>
      </w:r>
    </w:p>
    <w:p>
      <w:pPr>
        <w:widowControl w:val="0"/>
        <w:tabs>
          <w:tab w:val="left" w:pos="1657"/>
          <w:tab w:val="left" w:pos="9188"/>
        </w:tabs>
        <w:spacing w:before="83" w:after="0"/>
        <w:ind w:left="557"/>
        <w:rPr>
          <w:rFonts w:ascii="方正书宋_GBK" w:eastAsia="方正书宋_GBK" w:hAnsi="方正书宋_GBK" w:cs="方正书宋_GBK"/>
          <w:sz w:val="20"/>
          <w:szCs w:val="20"/>
          <w:u w:val="single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第十六条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其他约定事项</w:t>
      </w:r>
      <w:r>
        <w:rPr>
          <w:rFonts w:ascii="宋体" w:eastAsia="宋体" w:hAnsi="宋体" w:cs="宋体"/>
          <w:color w:val="231F20"/>
          <w:sz w:val="22"/>
          <w:szCs w:val="22"/>
          <w:u w:val="single" w:color="231F20"/>
        </w:rPr>
        <w:t>：</w:t>
      </w:r>
      <w:r>
        <w:rPr>
          <w:rFonts w:ascii="宋体" w:eastAsia="宋体" w:hAnsi="宋体" w:cs="宋体"/>
          <w:color w:val="231F20"/>
          <w:sz w:val="20"/>
          <w:szCs w:val="20"/>
          <w:u w:val="single" w:color="231F20"/>
        </w:rPr>
        <w:tab/>
      </w:r>
    </w:p>
    <w:p>
      <w:pPr>
        <w:widowControl w:val="0"/>
        <w:spacing w:before="11" w:after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3360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262890</wp:posOffset>
            </wp:positionV>
            <wp:extent cx="5772150" cy="9525"/>
            <wp:wrapTopAndBottom/>
            <wp:docPr id="100011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2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4384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529590</wp:posOffset>
            </wp:positionV>
            <wp:extent cx="5772150" cy="9525"/>
            <wp:wrapTopAndBottom/>
            <wp:docPr id="100013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4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/>
          <w:strike w:val="0"/>
          <w:u w:val="none"/>
        </w:rPr>
        <w:br/>
      </w:r>
      <w:r>
        <w:rPr>
          <w:rFonts w:ascii="Times New Roman" w:eastAsia="Times New Roman" w:hAnsi="Times New Roman" w:cs="Times New Roman"/>
          <w:strike w:val="0"/>
          <w:u w:val="none"/>
        </w:rPr>
        <w:drawing>
          <wp:anchor simplePos="0" relativeHeight="251665408" behindDoc="0" locked="0" layoutInCell="1" allowOverlap="1">
            <wp:simplePos x="0" y="0"/>
            <wp:positionH relativeFrom="page">
              <wp:posOffset>899795</wp:posOffset>
            </wp:positionH>
            <wp:positionV relativeFrom="paragraph">
              <wp:posOffset>796290</wp:posOffset>
            </wp:positionV>
            <wp:extent cx="5772150" cy="9525"/>
            <wp:wrapTopAndBottom/>
            <wp:docPr id="100015" nam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6" name=""/>
                    <pic:cNvPicPr>
                      <a:picLocks noChangeAspect="1"/>
                    </pic:cNvPicPr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9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3"/>
          <w:szCs w:val="23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6"/>
          <w:szCs w:val="26"/>
        </w:rPr>
      </w:pPr>
    </w:p>
    <w:p>
      <w:pPr>
        <w:widowControl w:val="0"/>
        <w:spacing w:before="1" w:after="0"/>
        <w:rPr>
          <w:rFonts w:ascii="Times New Roman" w:eastAsia="Times New Roman" w:hAnsi="Times New Roman" w:cs="Times New Roman"/>
          <w:sz w:val="34"/>
          <w:szCs w:val="34"/>
        </w:rPr>
      </w:pPr>
    </w:p>
    <w:p>
      <w:pPr>
        <w:widowControl w:val="0"/>
        <w:tabs>
          <w:tab w:val="left" w:pos="4617"/>
        </w:tabs>
        <w:spacing w:before="1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保管人：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寄存人：</w:t>
      </w:r>
    </w:p>
    <w:p>
      <w:pPr>
        <w:widowControl w:val="0"/>
        <w:spacing w:before="13" w:after="0"/>
        <w:rPr>
          <w:rFonts w:ascii="Times New Roman" w:eastAsia="Times New Roman" w:hAnsi="Times New Roman" w:cs="Times New Roman"/>
          <w:sz w:val="33"/>
          <w:szCs w:val="33"/>
        </w:rPr>
      </w:pPr>
    </w:p>
    <w:p>
      <w:pPr>
        <w:widowControl w:val="0"/>
        <w:tabs>
          <w:tab w:val="left" w:pos="4677"/>
        </w:tabs>
        <w:spacing w:before="0" w:after="0"/>
        <w:ind w:left="557"/>
        <w:rPr>
          <w:rFonts w:ascii="Times New Roman" w:eastAsia="Times New Roman" w:hAnsi="Times New Roman" w:cs="Times New Roman"/>
          <w:sz w:val="22"/>
          <w:szCs w:val="22"/>
        </w:rPr>
      </w:pPr>
      <w:r>
        <w:rPr>
          <w:rFonts w:ascii="宋体" w:eastAsia="宋体" w:hAnsi="宋体" w:cs="宋体"/>
          <w:color w:val="231F20"/>
          <w:sz w:val="22"/>
          <w:szCs w:val="22"/>
        </w:rPr>
        <w:t>监制部门：</w:t>
      </w:r>
      <w:r>
        <w:rPr>
          <w:rFonts w:ascii="宋体" w:eastAsia="宋体" w:hAnsi="宋体" w:cs="宋体"/>
          <w:color w:val="231F20"/>
          <w:sz w:val="22"/>
          <w:szCs w:val="22"/>
        </w:rPr>
        <w:tab/>
      </w:r>
      <w:r>
        <w:rPr>
          <w:rFonts w:ascii="宋体" w:eastAsia="宋体" w:hAnsi="宋体" w:cs="宋体"/>
          <w:color w:val="231F20"/>
          <w:sz w:val="22"/>
          <w:szCs w:val="22"/>
        </w:rPr>
        <w:t>印制单位：</w:t>
      </w: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0" w:after="0"/>
        <w:rPr>
          <w:rFonts w:ascii="Times New Roman" w:eastAsia="Times New Roman" w:hAnsi="Times New Roman" w:cs="Times New Roman"/>
          <w:sz w:val="20"/>
          <w:szCs w:val="20"/>
        </w:rPr>
      </w:pPr>
    </w:p>
    <w:p>
      <w:pPr>
        <w:widowControl w:val="0"/>
        <w:spacing w:before="12" w:after="0"/>
        <w:rPr>
          <w:rFonts w:ascii="Times New Roman" w:eastAsia="Times New Roman" w:hAnsi="Times New Roman" w:cs="Times New Roman"/>
          <w:sz w:val="17"/>
          <w:szCs w:val="17"/>
        </w:rPr>
      </w:pPr>
    </w:p>
    <w:p>
      <w:pPr>
        <w:widowControl w:val="0"/>
        <w:spacing w:before="1" w:after="0"/>
        <w:ind w:left="117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宋体" w:eastAsia="宋体" w:hAnsi="宋体" w:cs="宋体"/>
          <w:color w:val="231F20"/>
          <w:sz w:val="20"/>
          <w:szCs w:val="20"/>
        </w:rPr>
        <w:t>2</w:t>
      </w:r>
    </w:p>
    <w:p w:rsidR="00A77B3E"/>
    <w:sectPr>
      <w:type w:val="nextPage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