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420" w:lineRule="atLeast"/>
        <w:rPr>
          <w:rFonts w:ascii="Times New Roman" w:eastAsia="Times New Roman" w:hAnsi="Times New Roman" w:cs="Times New Roman"/>
        </w:rPr>
      </w:pPr>
      <w:r>
        <w:rPr>
          <w:rFonts w:ascii="宋体" w:eastAsia="宋体" w:hAnsi="宋体" w:cs="宋体"/>
          <w:sz w:val="28"/>
          <w:szCs w:val="28"/>
        </w:rPr>
        <w:t>BF</w:t>
      </w:r>
      <w:r>
        <w:rPr>
          <w:rFonts w:ascii="宋体" w:eastAsia="宋体" w:hAnsi="宋体" w:cs="宋体"/>
          <w:sz w:val="28"/>
          <w:szCs w:val="28"/>
        </w:rPr>
        <w:t>—</w:t>
      </w:r>
      <w:r>
        <w:rPr>
          <w:rFonts w:ascii="宋体" w:eastAsia="宋体" w:hAnsi="宋体" w:cs="宋体"/>
          <w:sz w:val="28"/>
          <w:szCs w:val="28"/>
        </w:rPr>
        <w:t>2020</w:t>
      </w:r>
      <w:r>
        <w:rPr>
          <w:rFonts w:ascii="宋体" w:eastAsia="宋体" w:hAnsi="宋体" w:cs="宋体"/>
          <w:sz w:val="28"/>
          <w:szCs w:val="28"/>
        </w:rPr>
        <w:t>—</w:t>
      </w:r>
      <w:r>
        <w:rPr>
          <w:rFonts w:ascii="宋体" w:eastAsia="宋体" w:hAnsi="宋体" w:cs="宋体"/>
          <w:sz w:val="28"/>
          <w:szCs w:val="28"/>
        </w:rPr>
        <w:t>0506</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合同编号：</w:t>
      </w:r>
    </w:p>
    <w:p>
      <w:pPr>
        <w:widowControl w:val="0"/>
        <w:spacing w:before="0" w:after="0" w:line="420" w:lineRule="atLeast"/>
        <w:ind w:firstLine="440"/>
        <w:jc w:val="center"/>
        <w:rPr>
          <w:rFonts w:ascii="Times New Roman" w:eastAsia="Times New Roman" w:hAnsi="Times New Roman" w:cs="Times New Roman"/>
        </w:rPr>
      </w:pPr>
    </w:p>
    <w:p>
      <w:pPr>
        <w:keepNext/>
        <w:keepLines/>
        <w:widowControl w:val="0"/>
        <w:spacing w:before="0" w:after="0" w:line="420" w:lineRule="atLeast"/>
        <w:jc w:val="center"/>
        <w:rPr>
          <w:rFonts w:ascii="Times New Roman" w:eastAsia="Times New Roman" w:hAnsi="Times New Roman" w:cs="Times New Roman"/>
        </w:rPr>
      </w:pPr>
      <w:r>
        <w:rPr>
          <w:rFonts w:ascii="宋体" w:eastAsia="宋体" w:hAnsi="宋体" w:cs="宋体"/>
          <w:sz w:val="40"/>
          <w:szCs w:val="40"/>
        </w:rPr>
        <w:t>北京市居民天然气供用合同</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240" w:lineRule="atLeast"/>
        <w:ind w:firstLine="420"/>
        <w:jc w:val="both"/>
        <w:rPr>
          <w:rFonts w:ascii="Times New Roman" w:eastAsia="Times New Roman" w:hAnsi="Times New Roman" w:cs="Times New Roman"/>
        </w:rPr>
      </w:pPr>
      <w:r>
        <w:rPr>
          <w:rFonts w:ascii="宋体" w:eastAsia="宋体" w:hAnsi="宋体" w:cs="宋体"/>
          <w:sz w:val="21"/>
          <w:szCs w:val="21"/>
        </w:rPr>
        <w:t>根据《中华人民共和国民法典》《中华人民共和国消费者权益保护法》《北京市燃气管理条例》等国家和本市有关法律法规的规定，甲乙双方在自愿、公平和诚信的基础上，订立本合同。</w:t>
      </w:r>
    </w:p>
    <w:p>
      <w:pPr>
        <w:widowControl w:val="0"/>
        <w:spacing w:before="0" w:after="0" w:line="240" w:lineRule="atLeast"/>
        <w:ind w:firstLine="420"/>
        <w:jc w:val="both"/>
        <w:rPr>
          <w:rFonts w:ascii="Times New Roman" w:eastAsia="Times New Roman" w:hAnsi="Times New Roman" w:cs="Times New Roman"/>
        </w:rPr>
      </w:pPr>
      <w:r>
        <w:rPr>
          <w:rFonts w:ascii="宋体" w:eastAsia="宋体" w:hAnsi="宋体" w:cs="宋体"/>
          <w:sz w:val="21"/>
          <w:szCs w:val="21"/>
        </w:rPr>
        <w:t>第一条</w:t>
      </w:r>
      <w:r>
        <w:rPr>
          <w:rFonts w:ascii="宋体" w:eastAsia="宋体" w:hAnsi="宋体" w:cs="宋体"/>
          <w:sz w:val="21"/>
          <w:szCs w:val="21"/>
        </w:rPr>
        <w:t xml:space="preserve">  </w:t>
      </w:r>
      <w:r>
        <w:rPr>
          <w:rFonts w:ascii="宋体" w:eastAsia="宋体" w:hAnsi="宋体" w:cs="宋体"/>
          <w:sz w:val="21"/>
          <w:szCs w:val="21"/>
        </w:rPr>
        <w:t>气源种类、用气地点、室（户）内燃气燃烧器具、燃气计量表信息</w:t>
      </w:r>
    </w:p>
    <w:p>
      <w:pPr>
        <w:widowControl w:val="0"/>
        <w:spacing w:before="0" w:after="0" w:line="240" w:lineRule="atLeast"/>
        <w:ind w:firstLine="420"/>
        <w:jc w:val="both"/>
        <w:rPr>
          <w:rFonts w:ascii="Times New Roman" w:eastAsia="Times New Roman" w:hAnsi="Times New Roman" w:cs="Times New Roman"/>
        </w:rPr>
      </w:pPr>
      <w:r>
        <w:rPr>
          <w:rFonts w:ascii="宋体" w:eastAsia="宋体" w:hAnsi="宋体" w:cs="宋体"/>
          <w:sz w:val="21"/>
          <w:szCs w:val="21"/>
        </w:rPr>
        <w:t>1.气源种类：□天然气</w:t>
      </w:r>
      <w:r>
        <w:rPr>
          <w:rFonts w:ascii="宋体" w:eastAsia="宋体" w:hAnsi="宋体" w:cs="宋体"/>
          <w:sz w:val="21"/>
          <w:szCs w:val="21"/>
        </w:rPr>
        <w:t xml:space="preserve">  </w:t>
      </w:r>
      <w:r>
        <w:rPr>
          <w:rFonts w:ascii="宋体" w:eastAsia="宋体" w:hAnsi="宋体" w:cs="宋体"/>
          <w:sz w:val="21"/>
          <w:szCs w:val="21"/>
        </w:rPr>
        <w:t>□压缩天然气（CNG）</w:t>
      </w:r>
      <w:r>
        <w:rPr>
          <w:rFonts w:ascii="宋体" w:eastAsia="宋体" w:hAnsi="宋体" w:cs="宋体"/>
          <w:sz w:val="21"/>
          <w:szCs w:val="21"/>
        </w:rPr>
        <w:t xml:space="preserve">  </w:t>
      </w:r>
      <w:r>
        <w:rPr>
          <w:rFonts w:ascii="宋体" w:eastAsia="宋体" w:hAnsi="宋体" w:cs="宋体"/>
          <w:sz w:val="21"/>
          <w:szCs w:val="21"/>
        </w:rPr>
        <w:t>□液化天然气（LNG）</w:t>
      </w:r>
      <w:r>
        <w:rPr>
          <w:rFonts w:ascii="宋体" w:eastAsia="宋体" w:hAnsi="宋体" w:cs="宋体"/>
          <w:sz w:val="21"/>
          <w:szCs w:val="21"/>
        </w:rPr>
        <w:t xml:space="preserve">  </w:t>
      </w:r>
      <w:r>
        <w:rPr>
          <w:rFonts w:ascii="宋体" w:eastAsia="宋体" w:hAnsi="宋体" w:cs="宋体"/>
          <w:sz w:val="21"/>
          <w:szCs w:val="21"/>
        </w:rPr>
        <w:t>□其他</w:t>
      </w:r>
    </w:p>
    <w:p>
      <w:pPr>
        <w:widowControl w:val="0"/>
        <w:spacing w:before="0" w:after="0" w:line="240" w:lineRule="atLeast"/>
        <w:ind w:firstLine="420"/>
        <w:jc w:val="both"/>
        <w:rPr>
          <w:rFonts w:ascii="Times New Roman" w:eastAsia="Times New Roman" w:hAnsi="Times New Roman" w:cs="Times New Roman"/>
        </w:rPr>
      </w:pPr>
      <w:r>
        <w:rPr>
          <w:rFonts w:ascii="宋体" w:eastAsia="宋体" w:hAnsi="宋体" w:cs="宋体"/>
          <w:sz w:val="21"/>
          <w:szCs w:val="21"/>
        </w:rPr>
        <w:t>乙方保证提供的气体质量符合国家和本市的质量标准。</w:t>
      </w:r>
    </w:p>
    <w:p>
      <w:pPr>
        <w:widowControl w:val="0"/>
        <w:spacing w:before="0" w:after="0" w:line="240" w:lineRule="atLeast"/>
        <w:ind w:firstLine="420"/>
        <w:jc w:val="both"/>
        <w:rPr>
          <w:rFonts w:ascii="Times New Roman" w:eastAsia="Times New Roman" w:hAnsi="Times New Roman" w:cs="Times New Roman"/>
        </w:rPr>
      </w:pPr>
      <w:r>
        <w:rPr>
          <w:rFonts w:ascii="宋体" w:eastAsia="宋体" w:hAnsi="宋体" w:cs="宋体"/>
          <w:sz w:val="21"/>
          <w:szCs w:val="21"/>
        </w:rPr>
        <w:t>2.用气地点（地点填写到甲方楼门牌、单元、房间号或农村的院落号）：</w:t>
      </w:r>
      <w:r>
        <w:rPr>
          <w:rFonts w:ascii="宋体" w:eastAsia="宋体" w:hAnsi="宋体" w:cs="宋体"/>
          <w:sz w:val="21"/>
          <w:szCs w:val="21"/>
          <w:u w:val="single"/>
        </w:rPr>
        <w:t xml:space="preserve">                 </w:t>
      </w:r>
    </w:p>
    <w:p>
      <w:pPr>
        <w:widowControl w:val="0"/>
        <w:spacing w:before="0" w:after="0" w:line="240" w:lineRule="atLeast"/>
        <w:ind w:firstLine="420"/>
        <w:jc w:val="both"/>
        <w:rPr>
          <w:rFonts w:ascii="Times New Roman" w:eastAsia="Times New Roman" w:hAnsi="Times New Roman" w:cs="Times New Roman"/>
        </w:rPr>
      </w:pPr>
      <w:r>
        <w:rPr>
          <w:rFonts w:ascii="宋体" w:eastAsia="宋体" w:hAnsi="宋体" w:cs="宋体"/>
          <w:sz w:val="21"/>
          <w:szCs w:val="21"/>
        </w:rPr>
        <w:t>3.燃气燃烧器具及户内安全防护装置清单</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933"/>
        <w:gridCol w:w="887"/>
        <w:gridCol w:w="887"/>
        <w:gridCol w:w="1306"/>
        <w:gridCol w:w="1306"/>
        <w:gridCol w:w="2291"/>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11"/>
          <w:jc w:val="center"/>
        </w:trPr>
        <w:tc>
          <w:tcPr>
            <w:tcBorders>
              <w:bottom w:val="single" w:sz="6" w:space="0" w:color="000000"/>
              <w:right w:val="single" w:sz="6" w:space="0" w:color="000000"/>
            </w:tcBorders>
            <w:noWrap w:val="0"/>
            <w:tcMar>
              <w:top w:w="8" w:type="dxa"/>
              <w:left w:w="106" w:type="dxa"/>
              <w:bottom w:w="8" w:type="dxa"/>
              <w:right w:w="10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器具名称</w:t>
            </w:r>
          </w:p>
        </w:tc>
        <w:tc>
          <w:tcPr>
            <w:tcBorders>
              <w:left w:val="single" w:sz="6" w:space="0" w:color="000000"/>
              <w:bottom w:val="single" w:sz="6" w:space="0" w:color="000000"/>
              <w:right w:val="single" w:sz="6" w:space="0" w:color="000000"/>
            </w:tcBorders>
            <w:noWrap w:val="0"/>
            <w:tcMar>
              <w:top w:w="8" w:type="dxa"/>
              <w:left w:w="106" w:type="dxa"/>
              <w:bottom w:w="8" w:type="dxa"/>
              <w:right w:w="10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品牌</w:t>
            </w:r>
          </w:p>
        </w:tc>
        <w:tc>
          <w:tcPr>
            <w:tcBorders>
              <w:left w:val="single" w:sz="6" w:space="0" w:color="000000"/>
              <w:bottom w:val="single" w:sz="6" w:space="0" w:color="000000"/>
              <w:right w:val="single" w:sz="6" w:space="0" w:color="000000"/>
            </w:tcBorders>
            <w:noWrap w:val="0"/>
            <w:tcMar>
              <w:top w:w="8" w:type="dxa"/>
              <w:left w:w="106" w:type="dxa"/>
              <w:bottom w:w="8" w:type="dxa"/>
              <w:right w:w="10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型号</w:t>
            </w:r>
          </w:p>
        </w:tc>
        <w:tc>
          <w:tcPr>
            <w:tcBorders>
              <w:left w:val="single" w:sz="6" w:space="0" w:color="000000"/>
              <w:bottom w:val="single" w:sz="6" w:space="0" w:color="000000"/>
              <w:right w:val="single" w:sz="6" w:space="0" w:color="000000"/>
            </w:tcBorders>
            <w:noWrap w:val="0"/>
            <w:tcMar>
              <w:top w:w="8" w:type="dxa"/>
              <w:left w:w="106" w:type="dxa"/>
              <w:bottom w:w="8" w:type="dxa"/>
              <w:right w:w="10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安装时间</w:t>
            </w:r>
          </w:p>
        </w:tc>
        <w:tc>
          <w:tcPr>
            <w:tcBorders>
              <w:left w:val="single" w:sz="6" w:space="0" w:color="000000"/>
              <w:bottom w:val="single" w:sz="6" w:space="0" w:color="000000"/>
              <w:right w:val="single" w:sz="6" w:space="0" w:color="000000"/>
            </w:tcBorders>
            <w:noWrap w:val="0"/>
            <w:tcMar>
              <w:top w:w="8" w:type="dxa"/>
              <w:left w:w="106" w:type="dxa"/>
              <w:bottom w:w="8" w:type="dxa"/>
              <w:right w:w="10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安装单位</w:t>
            </w:r>
          </w:p>
        </w:tc>
        <w:tc>
          <w:tcPr>
            <w:tcBorders>
              <w:left w:val="single" w:sz="6" w:space="0" w:color="000000"/>
              <w:bottom w:val="single" w:sz="6" w:space="0" w:color="000000"/>
            </w:tcBorders>
            <w:noWrap w:val="0"/>
            <w:tcMar>
              <w:top w:w="8" w:type="dxa"/>
              <w:left w:w="106" w:type="dxa"/>
              <w:bottom w:w="8" w:type="dxa"/>
              <w:right w:w="10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使用期限</w:t>
            </w:r>
          </w:p>
        </w:tc>
      </w:tr>
      <w:tr>
        <w:tblPrEx>
          <w:tblW w:w="5000" w:type="pct"/>
          <w:jc w:val="center"/>
          <w:tblCellMar>
            <w:top w:w="0" w:type="dxa"/>
            <w:left w:w="0" w:type="dxa"/>
            <w:bottom w:w="0" w:type="dxa"/>
            <w:right w:w="0" w:type="dxa"/>
          </w:tblCellMar>
        </w:tblPrEx>
        <w:trPr>
          <w:trHeight w:val="240"/>
          <w:jc w:val="center"/>
        </w:trPr>
        <w:tc>
          <w:tcPr>
            <w:tcBorders>
              <w:top w:val="single" w:sz="6" w:space="0" w:color="000000"/>
              <w:bottom w:val="single" w:sz="6" w:space="0" w:color="000000"/>
              <w:right w:val="single" w:sz="6" w:space="0" w:color="000000"/>
            </w:tcBorders>
            <w:noWrap w:val="0"/>
            <w:tcMar>
              <w:top w:w="8" w:type="dxa"/>
              <w:left w:w="106" w:type="dxa"/>
              <w:bottom w:w="8" w:type="dxa"/>
              <w:right w:w="10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燃气灶</w:t>
            </w:r>
          </w:p>
        </w:tc>
        <w:tc>
          <w:tcPr>
            <w:tcBorders>
              <w:top w:val="single" w:sz="6" w:space="0" w:color="000000"/>
              <w:left w:val="single" w:sz="6" w:space="0" w:color="000000"/>
              <w:bottom w:val="single" w:sz="6" w:space="0" w:color="000000"/>
              <w:right w:val="single" w:sz="6" w:space="0" w:color="000000"/>
            </w:tcBorders>
            <w:noWrap w:val="0"/>
            <w:tcMar>
              <w:top w:w="8" w:type="dxa"/>
              <w:left w:w="106" w:type="dxa"/>
              <w:bottom w:w="8" w:type="dxa"/>
              <w:right w:w="106" w:type="dxa"/>
            </w:tcMar>
            <w:vAlign w:val="center"/>
          </w:tcPr>
          <w:p>
            <w:pPr>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6" w:type="dxa"/>
              <w:bottom w:w="8" w:type="dxa"/>
              <w:right w:w="106" w:type="dxa"/>
            </w:tcMar>
            <w:vAlign w:val="center"/>
          </w:tcPr>
          <w:p>
            <w:pPr>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6" w:type="dxa"/>
              <w:bottom w:w="8" w:type="dxa"/>
              <w:right w:w="106" w:type="dxa"/>
            </w:tcMar>
            <w:vAlign w:val="center"/>
          </w:tcPr>
          <w:p>
            <w:pPr>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6" w:type="dxa"/>
              <w:bottom w:w="8" w:type="dxa"/>
              <w:right w:w="106" w:type="dxa"/>
            </w:tcMar>
            <w:vAlign w:val="center"/>
          </w:tcPr>
          <w:p>
            <w:pPr>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6" w:type="dxa"/>
              <w:bottom w:w="8" w:type="dxa"/>
              <w:right w:w="10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月至</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p>
        </w:tc>
      </w:tr>
      <w:tr>
        <w:tblPrEx>
          <w:tblW w:w="5000" w:type="pct"/>
          <w:jc w:val="center"/>
          <w:tblCellMar>
            <w:top w:w="0" w:type="dxa"/>
            <w:left w:w="0" w:type="dxa"/>
            <w:bottom w:w="0" w:type="dxa"/>
            <w:right w:w="0" w:type="dxa"/>
          </w:tblCellMar>
        </w:tblPrEx>
        <w:trPr>
          <w:trHeight w:val="311"/>
          <w:jc w:val="center"/>
        </w:trPr>
        <w:tc>
          <w:tcPr>
            <w:tcBorders>
              <w:top w:val="single" w:sz="6" w:space="0" w:color="000000"/>
              <w:bottom w:val="single" w:sz="6" w:space="0" w:color="000000"/>
              <w:right w:val="single" w:sz="6" w:space="0" w:color="000000"/>
            </w:tcBorders>
            <w:noWrap w:val="0"/>
            <w:tcMar>
              <w:top w:w="8" w:type="dxa"/>
              <w:left w:w="106" w:type="dxa"/>
              <w:bottom w:w="8" w:type="dxa"/>
              <w:right w:w="10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燃气热水器</w:t>
            </w:r>
          </w:p>
        </w:tc>
        <w:tc>
          <w:tcPr>
            <w:tcBorders>
              <w:top w:val="single" w:sz="6" w:space="0" w:color="000000"/>
              <w:left w:val="single" w:sz="6" w:space="0" w:color="000000"/>
              <w:bottom w:val="single" w:sz="6" w:space="0" w:color="000000"/>
              <w:right w:val="single" w:sz="6" w:space="0" w:color="000000"/>
            </w:tcBorders>
            <w:noWrap w:val="0"/>
            <w:tcMar>
              <w:top w:w="8" w:type="dxa"/>
              <w:left w:w="106" w:type="dxa"/>
              <w:bottom w:w="8" w:type="dxa"/>
              <w:right w:w="106" w:type="dxa"/>
            </w:tcMar>
            <w:vAlign w:val="center"/>
          </w:tcPr>
          <w:p>
            <w:pPr>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6" w:type="dxa"/>
              <w:bottom w:w="8" w:type="dxa"/>
              <w:right w:w="106" w:type="dxa"/>
            </w:tcMar>
            <w:vAlign w:val="center"/>
          </w:tcPr>
          <w:p>
            <w:pPr>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6" w:type="dxa"/>
              <w:bottom w:w="8" w:type="dxa"/>
              <w:right w:w="106" w:type="dxa"/>
            </w:tcMar>
            <w:vAlign w:val="center"/>
          </w:tcPr>
          <w:p>
            <w:pPr>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6" w:type="dxa"/>
              <w:bottom w:w="8" w:type="dxa"/>
              <w:right w:w="106" w:type="dxa"/>
            </w:tcMar>
            <w:vAlign w:val="center"/>
          </w:tcPr>
          <w:p>
            <w:pPr>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6" w:type="dxa"/>
              <w:bottom w:w="8" w:type="dxa"/>
              <w:right w:w="10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月至</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p>
        </w:tc>
      </w:tr>
      <w:tr>
        <w:tblPrEx>
          <w:tblW w:w="5000" w:type="pct"/>
          <w:jc w:val="center"/>
          <w:tblCellMar>
            <w:top w:w="0" w:type="dxa"/>
            <w:left w:w="0" w:type="dxa"/>
            <w:bottom w:w="0" w:type="dxa"/>
            <w:right w:w="0" w:type="dxa"/>
          </w:tblCellMar>
        </w:tblPrEx>
        <w:trPr>
          <w:trHeight w:val="310"/>
          <w:jc w:val="center"/>
        </w:trPr>
        <w:tc>
          <w:tcPr>
            <w:tcBorders>
              <w:top w:val="single" w:sz="6" w:space="0" w:color="000000"/>
              <w:bottom w:val="single" w:sz="6" w:space="0" w:color="000000"/>
              <w:right w:val="single" w:sz="6" w:space="0" w:color="000000"/>
            </w:tcBorders>
            <w:noWrap w:val="0"/>
            <w:tcMar>
              <w:top w:w="8" w:type="dxa"/>
              <w:left w:w="106" w:type="dxa"/>
              <w:bottom w:w="8" w:type="dxa"/>
              <w:right w:w="10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壁挂炉</w:t>
            </w:r>
          </w:p>
        </w:tc>
        <w:tc>
          <w:tcPr>
            <w:tcBorders>
              <w:top w:val="single" w:sz="6" w:space="0" w:color="000000"/>
              <w:left w:val="single" w:sz="6" w:space="0" w:color="000000"/>
              <w:bottom w:val="single" w:sz="6" w:space="0" w:color="000000"/>
              <w:right w:val="single" w:sz="6" w:space="0" w:color="000000"/>
            </w:tcBorders>
            <w:noWrap w:val="0"/>
            <w:tcMar>
              <w:top w:w="8" w:type="dxa"/>
              <w:left w:w="106" w:type="dxa"/>
              <w:bottom w:w="8" w:type="dxa"/>
              <w:right w:w="106" w:type="dxa"/>
            </w:tcMar>
            <w:vAlign w:val="center"/>
          </w:tcPr>
          <w:p>
            <w:pPr>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6" w:type="dxa"/>
              <w:bottom w:w="8" w:type="dxa"/>
              <w:right w:w="106" w:type="dxa"/>
            </w:tcMar>
            <w:vAlign w:val="center"/>
          </w:tcPr>
          <w:p>
            <w:pPr>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6" w:type="dxa"/>
              <w:bottom w:w="8" w:type="dxa"/>
              <w:right w:w="106" w:type="dxa"/>
            </w:tcMar>
            <w:vAlign w:val="center"/>
          </w:tcPr>
          <w:p>
            <w:pPr>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6" w:type="dxa"/>
              <w:bottom w:w="8" w:type="dxa"/>
              <w:right w:w="106" w:type="dxa"/>
            </w:tcMar>
            <w:vAlign w:val="center"/>
          </w:tcPr>
          <w:p>
            <w:pPr>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6" w:type="dxa"/>
              <w:bottom w:w="8" w:type="dxa"/>
              <w:right w:w="10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月至</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p>
        </w:tc>
      </w:tr>
      <w:tr>
        <w:tblPrEx>
          <w:tblW w:w="5000" w:type="pct"/>
          <w:jc w:val="center"/>
          <w:tblCellMar>
            <w:top w:w="0" w:type="dxa"/>
            <w:left w:w="0" w:type="dxa"/>
            <w:bottom w:w="0" w:type="dxa"/>
            <w:right w:w="0" w:type="dxa"/>
          </w:tblCellMar>
        </w:tblPrEx>
        <w:trPr>
          <w:trHeight w:val="300"/>
          <w:jc w:val="center"/>
        </w:trPr>
        <w:tc>
          <w:tcPr>
            <w:tcBorders>
              <w:top w:val="single" w:sz="6" w:space="0" w:color="000000"/>
              <w:bottom w:val="single" w:sz="6" w:space="0" w:color="000000"/>
              <w:right w:val="single" w:sz="6" w:space="0" w:color="000000"/>
            </w:tcBorders>
            <w:noWrap w:val="0"/>
            <w:tcMar>
              <w:top w:w="8" w:type="dxa"/>
              <w:left w:w="106" w:type="dxa"/>
              <w:bottom w:w="8" w:type="dxa"/>
              <w:right w:w="10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燃气泄漏报警器</w:t>
            </w:r>
          </w:p>
        </w:tc>
        <w:tc>
          <w:tcPr>
            <w:tcBorders>
              <w:top w:val="single" w:sz="6" w:space="0" w:color="000000"/>
              <w:left w:val="single" w:sz="6" w:space="0" w:color="000000"/>
              <w:bottom w:val="single" w:sz="6" w:space="0" w:color="000000"/>
              <w:right w:val="single" w:sz="6" w:space="0" w:color="000000"/>
            </w:tcBorders>
            <w:noWrap w:val="0"/>
            <w:tcMar>
              <w:top w:w="8" w:type="dxa"/>
              <w:left w:w="106" w:type="dxa"/>
              <w:bottom w:w="8" w:type="dxa"/>
              <w:right w:w="106" w:type="dxa"/>
            </w:tcMar>
            <w:vAlign w:val="center"/>
          </w:tcPr>
          <w:p>
            <w:pPr>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6" w:type="dxa"/>
              <w:bottom w:w="8" w:type="dxa"/>
              <w:right w:w="106" w:type="dxa"/>
            </w:tcMar>
            <w:vAlign w:val="center"/>
          </w:tcPr>
          <w:p>
            <w:pPr>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6" w:type="dxa"/>
              <w:bottom w:w="8" w:type="dxa"/>
              <w:right w:w="106" w:type="dxa"/>
            </w:tcMar>
            <w:vAlign w:val="center"/>
          </w:tcPr>
          <w:p>
            <w:pPr>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6" w:type="dxa"/>
              <w:bottom w:w="8" w:type="dxa"/>
              <w:right w:w="106" w:type="dxa"/>
            </w:tcMar>
            <w:vAlign w:val="center"/>
          </w:tcPr>
          <w:p>
            <w:pPr>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6" w:type="dxa"/>
              <w:bottom w:w="8" w:type="dxa"/>
              <w:right w:w="10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月至</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p>
        </w:tc>
      </w:tr>
      <w:tr>
        <w:tblPrEx>
          <w:tblW w:w="5000" w:type="pct"/>
          <w:jc w:val="center"/>
          <w:tblCellMar>
            <w:top w:w="0" w:type="dxa"/>
            <w:left w:w="0" w:type="dxa"/>
            <w:bottom w:w="0" w:type="dxa"/>
            <w:right w:w="0" w:type="dxa"/>
          </w:tblCellMar>
        </w:tblPrEx>
        <w:trPr>
          <w:trHeight w:val="311"/>
          <w:jc w:val="center"/>
        </w:trPr>
        <w:tc>
          <w:tcPr>
            <w:tcBorders>
              <w:top w:val="single" w:sz="6" w:space="0" w:color="000000"/>
              <w:bottom w:val="single" w:sz="6" w:space="0" w:color="000000"/>
              <w:right w:val="single" w:sz="6" w:space="0" w:color="000000"/>
            </w:tcBorders>
            <w:noWrap w:val="0"/>
            <w:tcMar>
              <w:top w:w="8" w:type="dxa"/>
              <w:left w:w="106" w:type="dxa"/>
              <w:bottom w:w="8" w:type="dxa"/>
              <w:right w:w="10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自闭阀</w:t>
            </w:r>
          </w:p>
        </w:tc>
        <w:tc>
          <w:tcPr>
            <w:tcBorders>
              <w:top w:val="single" w:sz="6" w:space="0" w:color="000000"/>
              <w:left w:val="single" w:sz="6" w:space="0" w:color="000000"/>
              <w:bottom w:val="single" w:sz="6" w:space="0" w:color="000000"/>
              <w:right w:val="single" w:sz="6" w:space="0" w:color="000000"/>
            </w:tcBorders>
            <w:noWrap w:val="0"/>
            <w:tcMar>
              <w:top w:w="8" w:type="dxa"/>
              <w:left w:w="106" w:type="dxa"/>
              <w:bottom w:w="8" w:type="dxa"/>
              <w:right w:w="106" w:type="dxa"/>
            </w:tcMar>
            <w:vAlign w:val="center"/>
          </w:tcPr>
          <w:p>
            <w:pPr>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6" w:type="dxa"/>
              <w:bottom w:w="8" w:type="dxa"/>
              <w:right w:w="106" w:type="dxa"/>
            </w:tcMar>
            <w:vAlign w:val="center"/>
          </w:tcPr>
          <w:p>
            <w:pPr>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6" w:type="dxa"/>
              <w:bottom w:w="8" w:type="dxa"/>
              <w:right w:w="106" w:type="dxa"/>
            </w:tcMar>
            <w:vAlign w:val="center"/>
          </w:tcPr>
          <w:p>
            <w:pPr>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6" w:type="dxa"/>
              <w:bottom w:w="8" w:type="dxa"/>
              <w:right w:w="106" w:type="dxa"/>
            </w:tcMar>
            <w:vAlign w:val="center"/>
          </w:tcPr>
          <w:p>
            <w:pPr>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6" w:type="dxa"/>
              <w:bottom w:w="8" w:type="dxa"/>
              <w:right w:w="10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月至</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p>
        </w:tc>
      </w:tr>
      <w:tr>
        <w:tblPrEx>
          <w:tblW w:w="5000" w:type="pct"/>
          <w:jc w:val="center"/>
          <w:tblCellMar>
            <w:top w:w="0" w:type="dxa"/>
            <w:left w:w="0" w:type="dxa"/>
            <w:bottom w:w="0" w:type="dxa"/>
            <w:right w:w="0" w:type="dxa"/>
          </w:tblCellMar>
        </w:tblPrEx>
        <w:trPr>
          <w:trHeight w:val="260"/>
          <w:jc w:val="center"/>
        </w:trPr>
        <w:tc>
          <w:tcPr>
            <w:tcBorders>
              <w:top w:val="single" w:sz="6" w:space="0" w:color="000000"/>
              <w:right w:val="single" w:sz="6" w:space="0" w:color="000000"/>
            </w:tcBorders>
            <w:noWrap w:val="0"/>
            <w:tcMar>
              <w:top w:w="8" w:type="dxa"/>
              <w:left w:w="106" w:type="dxa"/>
              <w:bottom w:w="8" w:type="dxa"/>
              <w:right w:w="106" w:type="dxa"/>
            </w:tcMar>
            <w:vAlign w:val="top"/>
          </w:tcPr>
          <w:p>
            <w:pPr>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6" w:type="dxa"/>
              <w:bottom w:w="8" w:type="dxa"/>
              <w:right w:w="106" w:type="dxa"/>
            </w:tcMar>
            <w:vAlign w:val="top"/>
          </w:tcPr>
          <w:p>
            <w:pPr>
              <w:spacing w:before="0" w:after="0" w:line="420" w:lineRule="atLeast"/>
              <w:ind w:firstLine="36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6" w:type="dxa"/>
              <w:bottom w:w="8" w:type="dxa"/>
              <w:right w:w="106" w:type="dxa"/>
            </w:tcMar>
            <w:vAlign w:val="top"/>
          </w:tcPr>
          <w:p>
            <w:pPr>
              <w:spacing w:before="0" w:after="0" w:line="420" w:lineRule="atLeast"/>
              <w:ind w:firstLine="36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6" w:type="dxa"/>
              <w:bottom w:w="8" w:type="dxa"/>
              <w:right w:w="106" w:type="dxa"/>
            </w:tcMar>
            <w:vAlign w:val="top"/>
          </w:tcPr>
          <w:p>
            <w:pPr>
              <w:spacing w:before="0" w:after="0" w:line="420" w:lineRule="atLeast"/>
              <w:ind w:firstLine="36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6" w:type="dxa"/>
              <w:bottom w:w="8" w:type="dxa"/>
              <w:right w:w="106" w:type="dxa"/>
            </w:tcMar>
            <w:vAlign w:val="top"/>
          </w:tcPr>
          <w:p>
            <w:pPr>
              <w:spacing w:before="0" w:after="0" w:line="420" w:lineRule="atLeast"/>
              <w:ind w:firstLine="36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6" w:type="dxa"/>
              <w:bottom w:w="8" w:type="dxa"/>
              <w:right w:w="106" w:type="dxa"/>
            </w:tcMar>
            <w:vAlign w:val="top"/>
          </w:tcPr>
          <w:p>
            <w:pPr>
              <w:spacing w:before="0" w:after="0" w:line="420" w:lineRule="atLeast"/>
              <w:ind w:firstLine="360"/>
              <w:rPr>
                <w:rFonts w:ascii="Times New Roman" w:eastAsia="Times New Roman" w:hAnsi="Times New Roman" w:cs="Times New Roman"/>
                <w:b w:val="0"/>
                <w:bCs w:val="0"/>
                <w:i w:val="0"/>
                <w:iCs w:val="0"/>
                <w:smallCaps w:val="0"/>
                <w:color w:val="000000"/>
              </w:rPr>
            </w:pPr>
          </w:p>
        </w:tc>
      </w:tr>
    </w:tbl>
    <w:p>
      <w:pPr>
        <w:widowControl w:val="0"/>
        <w:spacing w:before="0" w:after="0" w:line="220" w:lineRule="atLeast"/>
        <w:ind w:firstLine="420"/>
        <w:jc w:val="both"/>
        <w:rPr>
          <w:rFonts w:ascii="Times New Roman" w:eastAsia="Times New Roman" w:hAnsi="Times New Roman" w:cs="Times New Roman"/>
        </w:rPr>
      </w:pPr>
      <w:r>
        <w:rPr>
          <w:rFonts w:ascii="宋体" w:eastAsia="宋体" w:hAnsi="宋体" w:cs="宋体"/>
          <w:sz w:val="21"/>
          <w:szCs w:val="21"/>
        </w:rPr>
        <w:t>甲方更换燃气燃烧器具及户内安全防护装置的应及时告知乙方。</w:t>
      </w:r>
    </w:p>
    <w:p>
      <w:pPr>
        <w:widowControl w:val="0"/>
        <w:spacing w:before="0" w:after="0" w:line="220" w:lineRule="atLeast"/>
        <w:ind w:firstLine="420"/>
        <w:jc w:val="both"/>
        <w:rPr>
          <w:rFonts w:ascii="Times New Roman" w:eastAsia="Times New Roman" w:hAnsi="Times New Roman" w:cs="Times New Roman"/>
        </w:rPr>
      </w:pPr>
      <w:r>
        <w:rPr>
          <w:rFonts w:ascii="宋体" w:eastAsia="宋体" w:hAnsi="宋体" w:cs="宋体"/>
          <w:sz w:val="21"/>
          <w:szCs w:val="21"/>
        </w:rPr>
        <w:t>4.燃气计量表信息</w:t>
      </w:r>
    </w:p>
    <w:p>
      <w:pPr>
        <w:widowControl w:val="0"/>
        <w:spacing w:before="0" w:after="0" w:line="220" w:lineRule="atLeast"/>
        <w:jc w:val="both"/>
        <w:rPr>
          <w:rFonts w:ascii="Times New Roman" w:eastAsia="Times New Roman" w:hAnsi="Times New Roman" w:cs="Times New Roman"/>
        </w:rPr>
      </w:pPr>
      <w:r>
        <w:rPr>
          <w:rFonts w:ascii="宋体" w:eastAsia="宋体" w:hAnsi="宋体" w:cs="宋体"/>
          <w:sz w:val="21"/>
          <w:szCs w:val="21"/>
        </w:rPr>
        <w:t>表一：品牌、型号：</w:t>
      </w:r>
      <w:r>
        <w:rPr>
          <w:rFonts w:ascii="宋体" w:eastAsia="宋体" w:hAnsi="宋体" w:cs="宋体"/>
          <w:sz w:val="21"/>
          <w:szCs w:val="21"/>
          <w:u w:val="single"/>
        </w:rPr>
        <w:t xml:space="preserve">        </w:t>
      </w:r>
      <w:r>
        <w:rPr>
          <w:rFonts w:ascii="宋体" w:eastAsia="宋体" w:hAnsi="宋体" w:cs="宋体"/>
          <w:sz w:val="21"/>
          <w:szCs w:val="21"/>
        </w:rPr>
        <w:t>；安装位置（据实填写）：</w:t>
      </w:r>
      <w:r>
        <w:rPr>
          <w:rFonts w:ascii="宋体" w:eastAsia="宋体" w:hAnsi="宋体" w:cs="宋体"/>
          <w:sz w:val="21"/>
          <w:szCs w:val="21"/>
          <w:u w:val="single"/>
        </w:rPr>
        <w:t xml:space="preserve">            </w:t>
      </w:r>
      <w:r>
        <w:rPr>
          <w:rFonts w:ascii="宋体" w:eastAsia="宋体" w:hAnsi="宋体" w:cs="宋体"/>
          <w:sz w:val="21"/>
          <w:szCs w:val="21"/>
        </w:rPr>
        <w:t>；使用期限至：</w:t>
      </w:r>
      <w:r>
        <w:rPr>
          <w:rFonts w:ascii="宋体" w:eastAsia="宋体" w:hAnsi="宋体" w:cs="宋体"/>
          <w:sz w:val="21"/>
          <w:szCs w:val="21"/>
          <w:u w:val="single"/>
        </w:rPr>
        <w:t xml:space="preserve">    </w:t>
      </w:r>
      <w:r>
        <w:rPr>
          <w:rFonts w:ascii="宋体" w:eastAsia="宋体" w:hAnsi="宋体" w:cs="宋体"/>
          <w:sz w:val="21"/>
          <w:szCs w:val="21"/>
        </w:rPr>
        <w:t>年</w:t>
      </w:r>
      <w:r>
        <w:rPr>
          <w:rFonts w:ascii="宋体" w:eastAsia="宋体" w:hAnsi="宋体" w:cs="宋体"/>
          <w:sz w:val="21"/>
          <w:szCs w:val="21"/>
          <w:u w:val="single"/>
        </w:rPr>
        <w:t xml:space="preserve">    </w:t>
      </w:r>
      <w:r>
        <w:rPr>
          <w:rFonts w:ascii="宋体" w:eastAsia="宋体" w:hAnsi="宋体" w:cs="宋体"/>
          <w:sz w:val="21"/>
          <w:szCs w:val="21"/>
        </w:rPr>
        <w:t>月。</w:t>
      </w:r>
    </w:p>
    <w:p>
      <w:pPr>
        <w:widowControl w:val="0"/>
        <w:spacing w:before="0" w:after="0" w:line="220" w:lineRule="atLeast"/>
        <w:jc w:val="both"/>
        <w:rPr>
          <w:rFonts w:ascii="Times New Roman" w:eastAsia="Times New Roman" w:hAnsi="Times New Roman" w:cs="Times New Roman"/>
        </w:rPr>
      </w:pPr>
      <w:r>
        <w:rPr>
          <w:rFonts w:ascii="宋体" w:eastAsia="宋体" w:hAnsi="宋体" w:cs="宋体"/>
          <w:sz w:val="21"/>
          <w:szCs w:val="21"/>
        </w:rPr>
        <w:t>表二：品牌、型号：</w:t>
      </w:r>
      <w:r>
        <w:rPr>
          <w:rFonts w:ascii="宋体" w:eastAsia="宋体" w:hAnsi="宋体" w:cs="宋体"/>
          <w:sz w:val="21"/>
          <w:szCs w:val="21"/>
          <w:u w:val="single"/>
        </w:rPr>
        <w:t xml:space="preserve">        </w:t>
      </w:r>
      <w:r>
        <w:rPr>
          <w:rFonts w:ascii="宋体" w:eastAsia="宋体" w:hAnsi="宋体" w:cs="宋体"/>
          <w:sz w:val="21"/>
          <w:szCs w:val="21"/>
        </w:rPr>
        <w:t>；安装位置（据实填写）：</w:t>
      </w:r>
      <w:r>
        <w:rPr>
          <w:rFonts w:ascii="宋体" w:eastAsia="宋体" w:hAnsi="宋体" w:cs="宋体"/>
          <w:sz w:val="21"/>
          <w:szCs w:val="21"/>
          <w:u w:val="single"/>
        </w:rPr>
        <w:t xml:space="preserve">            </w:t>
      </w:r>
      <w:r>
        <w:rPr>
          <w:rFonts w:ascii="宋体" w:eastAsia="宋体" w:hAnsi="宋体" w:cs="宋体"/>
          <w:sz w:val="21"/>
          <w:szCs w:val="21"/>
        </w:rPr>
        <w:t>；使用期限至：</w:t>
      </w:r>
      <w:r>
        <w:rPr>
          <w:rFonts w:ascii="宋体" w:eastAsia="宋体" w:hAnsi="宋体" w:cs="宋体"/>
          <w:sz w:val="21"/>
          <w:szCs w:val="21"/>
          <w:u w:val="single"/>
        </w:rPr>
        <w:t xml:space="preserve">    </w:t>
      </w:r>
      <w:r>
        <w:rPr>
          <w:rFonts w:ascii="宋体" w:eastAsia="宋体" w:hAnsi="宋体" w:cs="宋体"/>
          <w:sz w:val="21"/>
          <w:szCs w:val="21"/>
        </w:rPr>
        <w:t>年</w:t>
      </w:r>
      <w:r>
        <w:rPr>
          <w:rFonts w:ascii="宋体" w:eastAsia="宋体" w:hAnsi="宋体" w:cs="宋体"/>
          <w:sz w:val="21"/>
          <w:szCs w:val="21"/>
          <w:u w:val="single"/>
        </w:rPr>
        <w:t xml:space="preserve">    </w:t>
      </w:r>
      <w:r>
        <w:rPr>
          <w:rFonts w:ascii="宋体" w:eastAsia="宋体" w:hAnsi="宋体" w:cs="宋体"/>
          <w:sz w:val="21"/>
          <w:szCs w:val="21"/>
        </w:rPr>
        <w:t>月。</w:t>
      </w:r>
    </w:p>
    <w:p>
      <w:pPr>
        <w:widowControl w:val="0"/>
        <w:spacing w:before="0" w:after="0" w:line="220" w:lineRule="atLeast"/>
        <w:ind w:firstLine="420"/>
        <w:jc w:val="both"/>
        <w:rPr>
          <w:rFonts w:ascii="Times New Roman" w:eastAsia="Times New Roman" w:hAnsi="Times New Roman" w:cs="Times New Roman"/>
        </w:rPr>
      </w:pPr>
      <w:r>
        <w:rPr>
          <w:rFonts w:ascii="宋体" w:eastAsia="宋体" w:hAnsi="宋体" w:cs="宋体"/>
          <w:sz w:val="21"/>
          <w:szCs w:val="21"/>
        </w:rPr>
        <w:t>（1）燃气计量表无法正常使用的，由乙方无偿更换，甲方应予以配合。甲方发现燃气计量表损坏或计量不准确的，应当及时通知乙方进行维修或更换。如因甲方原因造成燃气计量表损坏或计量不准确的，甲方应承担维修、更换费用。</w:t>
      </w:r>
    </w:p>
    <w:p>
      <w:pPr>
        <w:widowControl w:val="0"/>
        <w:spacing w:before="0" w:after="0" w:line="220" w:lineRule="atLeast"/>
        <w:ind w:firstLine="420"/>
        <w:jc w:val="both"/>
        <w:rPr>
          <w:rFonts w:ascii="Times New Roman" w:eastAsia="Times New Roman" w:hAnsi="Times New Roman" w:cs="Times New Roman"/>
        </w:rPr>
      </w:pPr>
      <w:r>
        <w:rPr>
          <w:rFonts w:ascii="宋体" w:eastAsia="宋体" w:hAnsi="宋体" w:cs="宋体"/>
          <w:sz w:val="21"/>
          <w:szCs w:val="21"/>
        </w:rPr>
        <w:t>（2）双方对燃气计量表的计量准确性有异议时，均可向有资质的计量检定机构申请检定。经检定不合格的，由乙方承担检定费用并负责维修或更换并赔偿甲方相应损失；经检定合格的，由申请方承担检定费用。</w:t>
      </w:r>
    </w:p>
    <w:p>
      <w:pPr>
        <w:widowControl w:val="0"/>
        <w:spacing w:before="0" w:after="0" w:line="220" w:lineRule="atLeast"/>
        <w:ind w:firstLine="420"/>
        <w:jc w:val="both"/>
        <w:rPr>
          <w:rFonts w:ascii="Times New Roman" w:eastAsia="Times New Roman" w:hAnsi="Times New Roman" w:cs="Times New Roman"/>
        </w:rPr>
      </w:pPr>
      <w:r>
        <w:rPr>
          <w:rFonts w:ascii="宋体" w:eastAsia="宋体" w:hAnsi="宋体" w:cs="宋体"/>
          <w:sz w:val="21"/>
          <w:szCs w:val="21"/>
        </w:rPr>
        <w:t>（3）按国家规定，燃气计量表到期后由乙方无偿更换。</w:t>
      </w:r>
    </w:p>
    <w:p>
      <w:pPr>
        <w:widowControl w:val="0"/>
        <w:spacing w:before="0" w:after="0" w:line="220" w:lineRule="atLeast"/>
        <w:ind w:firstLine="420"/>
        <w:jc w:val="both"/>
        <w:rPr>
          <w:rFonts w:ascii="Times New Roman" w:eastAsia="Times New Roman" w:hAnsi="Times New Roman" w:cs="Times New Roman"/>
        </w:rPr>
      </w:pPr>
      <w:r>
        <w:rPr>
          <w:rFonts w:ascii="宋体" w:eastAsia="宋体" w:hAnsi="宋体" w:cs="宋体"/>
          <w:sz w:val="21"/>
          <w:szCs w:val="21"/>
        </w:rPr>
        <w:t>5.甲方专有部分燃气管线现状：（在相应的□内划√）</w:t>
      </w:r>
    </w:p>
    <w:p>
      <w:pPr>
        <w:widowControl w:val="0"/>
        <w:spacing w:before="0" w:after="0" w:line="220" w:lineRule="atLeast"/>
        <w:ind w:firstLine="420"/>
        <w:jc w:val="both"/>
        <w:rPr>
          <w:rFonts w:ascii="Times New Roman" w:eastAsia="Times New Roman" w:hAnsi="Times New Roman" w:cs="Times New Roman"/>
        </w:rPr>
      </w:pPr>
      <w:r>
        <w:rPr>
          <w:rFonts w:ascii="宋体" w:eastAsia="宋体" w:hAnsi="宋体" w:cs="宋体"/>
          <w:sz w:val="21"/>
          <w:szCs w:val="21"/>
        </w:rPr>
        <w:t>□未做改动</w:t>
      </w:r>
      <w:r>
        <w:rPr>
          <w:rFonts w:ascii="宋体" w:eastAsia="宋体" w:hAnsi="宋体" w:cs="宋体"/>
          <w:sz w:val="21"/>
          <w:szCs w:val="21"/>
        </w:rPr>
        <w:t xml:space="preserve">            </w:t>
      </w:r>
      <w:r>
        <w:rPr>
          <w:rFonts w:ascii="宋体" w:eastAsia="宋体" w:hAnsi="宋体" w:cs="宋体"/>
          <w:sz w:val="21"/>
          <w:szCs w:val="21"/>
        </w:rPr>
        <w:t>□甲方委托乙方改动</w:t>
      </w:r>
      <w:r>
        <w:rPr>
          <w:rFonts w:ascii="宋体" w:eastAsia="宋体" w:hAnsi="宋体" w:cs="宋体"/>
          <w:sz w:val="21"/>
          <w:szCs w:val="21"/>
        </w:rPr>
        <w:t> </w:t>
      </w:r>
      <w:r>
        <w:rPr>
          <w:rFonts w:ascii="宋体" w:eastAsia="宋体" w:hAnsi="宋体" w:cs="宋体"/>
          <w:sz w:val="21"/>
          <w:szCs w:val="21"/>
        </w:rPr>
        <w:t xml:space="preserve">       </w:t>
      </w:r>
      <w:r>
        <w:rPr>
          <w:rFonts w:ascii="宋体" w:eastAsia="宋体" w:hAnsi="宋体" w:cs="宋体"/>
          <w:sz w:val="21"/>
          <w:szCs w:val="21"/>
        </w:rPr>
        <w:t>□甲方改动，乙方确认没有隐患</w:t>
      </w:r>
    </w:p>
    <w:p>
      <w:pPr>
        <w:widowControl w:val="0"/>
        <w:spacing w:before="0" w:after="0" w:line="220" w:lineRule="atLeast"/>
        <w:ind w:firstLine="420"/>
        <w:jc w:val="both"/>
        <w:rPr>
          <w:rFonts w:ascii="Times New Roman" w:eastAsia="Times New Roman" w:hAnsi="Times New Roman" w:cs="Times New Roman"/>
        </w:rPr>
      </w:pPr>
      <w:r>
        <w:rPr>
          <w:rFonts w:ascii="宋体" w:eastAsia="宋体" w:hAnsi="宋体" w:cs="宋体"/>
          <w:sz w:val="21"/>
          <w:szCs w:val="21"/>
        </w:rPr>
        <w:t>6.由甲方承担费用的个性化需求：</w:t>
      </w:r>
      <w:r>
        <w:rPr>
          <w:rFonts w:ascii="宋体" w:eastAsia="宋体" w:hAnsi="宋体" w:cs="宋体"/>
          <w:sz w:val="21"/>
          <w:szCs w:val="21"/>
          <w:u w:val="single"/>
        </w:rPr>
        <w:t xml:space="preserve">                                              </w:t>
      </w:r>
      <w:r>
        <w:rPr>
          <w:rFonts w:ascii="宋体" w:eastAsia="宋体" w:hAnsi="宋体" w:cs="宋体"/>
          <w:sz w:val="21"/>
          <w:szCs w:val="21"/>
        </w:rPr>
        <w:t>。</w:t>
      </w:r>
      <w:r>
        <w:rPr>
          <w:rFonts w:ascii="宋体" w:eastAsia="宋体" w:hAnsi="宋体" w:cs="宋体"/>
          <w:sz w:val="21"/>
          <w:szCs w:val="21"/>
        </w:rPr>
        <w:t xml:space="preserve">    </w:t>
      </w:r>
      <w:r>
        <w:rPr>
          <w:rFonts w:ascii="宋体" w:eastAsia="宋体" w:hAnsi="宋体" w:cs="宋体"/>
          <w:sz w:val="21"/>
          <w:szCs w:val="21"/>
        </w:rPr>
        <w:t xml:space="preserve">                                   </w:t>
      </w:r>
    </w:p>
    <w:p>
      <w:pPr>
        <w:widowControl w:val="0"/>
        <w:spacing w:before="0" w:after="0" w:line="220" w:lineRule="atLeast"/>
        <w:ind w:firstLine="420"/>
        <w:jc w:val="both"/>
        <w:rPr>
          <w:rFonts w:ascii="Times New Roman" w:eastAsia="Times New Roman" w:hAnsi="Times New Roman" w:cs="Times New Roman"/>
        </w:rPr>
      </w:pPr>
      <w:r>
        <w:rPr>
          <w:rFonts w:ascii="宋体" w:eastAsia="宋体" w:hAnsi="宋体" w:cs="宋体"/>
          <w:sz w:val="21"/>
          <w:szCs w:val="21"/>
        </w:rPr>
        <w:t>第二条</w:t>
      </w:r>
      <w:r>
        <w:rPr>
          <w:rFonts w:ascii="宋体" w:eastAsia="宋体" w:hAnsi="宋体" w:cs="宋体"/>
          <w:sz w:val="21"/>
          <w:szCs w:val="21"/>
        </w:rPr>
        <w:t xml:space="preserve">  </w:t>
      </w:r>
      <w:r>
        <w:rPr>
          <w:rFonts w:ascii="宋体" w:eastAsia="宋体" w:hAnsi="宋体" w:cs="宋体"/>
          <w:sz w:val="21"/>
          <w:szCs w:val="21"/>
        </w:rPr>
        <w:t>用气价格及结算方式</w:t>
      </w:r>
    </w:p>
    <w:p>
      <w:pPr>
        <w:widowControl w:val="0"/>
        <w:spacing w:before="0" w:after="0" w:line="220" w:lineRule="atLeast"/>
        <w:ind w:firstLine="420"/>
        <w:jc w:val="both"/>
        <w:rPr>
          <w:rFonts w:ascii="Times New Roman" w:eastAsia="Times New Roman" w:hAnsi="Times New Roman" w:cs="Times New Roman"/>
        </w:rPr>
      </w:pPr>
      <w:r>
        <w:rPr>
          <w:rFonts w:ascii="宋体" w:eastAsia="宋体" w:hAnsi="宋体" w:cs="宋体"/>
          <w:sz w:val="21"/>
          <w:szCs w:val="21"/>
        </w:rPr>
        <w:t>1.价格：执行政府价格管理部门规定的燃气价格。本合同履行期间，如遇价格管理部门调整燃气价格，自批准文件规定之日起，按照新价格执行。</w:t>
      </w:r>
    </w:p>
    <w:p>
      <w:pPr>
        <w:widowControl w:val="0"/>
        <w:spacing w:before="0" w:after="0" w:line="220" w:lineRule="atLeast"/>
        <w:ind w:firstLine="420"/>
        <w:jc w:val="both"/>
        <w:rPr>
          <w:rFonts w:ascii="Times New Roman" w:eastAsia="Times New Roman" w:hAnsi="Times New Roman" w:cs="Times New Roman"/>
        </w:rPr>
      </w:pPr>
      <w:r>
        <w:rPr>
          <w:rFonts w:ascii="宋体" w:eastAsia="宋体" w:hAnsi="宋体" w:cs="宋体"/>
          <w:sz w:val="21"/>
          <w:szCs w:val="21"/>
        </w:rPr>
        <w:t>2.结算方式：</w:t>
      </w:r>
      <w:r>
        <w:rPr>
          <w:rFonts w:ascii="宋体" w:eastAsia="宋体" w:hAnsi="宋体" w:cs="宋体"/>
          <w:sz w:val="21"/>
          <w:szCs w:val="21"/>
          <w:u w:val="single"/>
        </w:rPr>
        <w:t xml:space="preserve">                                                                    </w:t>
      </w:r>
      <w:r>
        <w:rPr>
          <w:rFonts w:ascii="宋体" w:eastAsia="宋体" w:hAnsi="宋体" w:cs="宋体"/>
          <w:sz w:val="21"/>
          <w:szCs w:val="21"/>
        </w:rPr>
        <w:t>。</w:t>
      </w:r>
      <w:r>
        <w:rPr>
          <w:rFonts w:ascii="宋体" w:eastAsia="宋体" w:hAnsi="宋体" w:cs="宋体"/>
          <w:sz w:val="21"/>
          <w:szCs w:val="21"/>
        </w:rPr>
        <w:t xml:space="preserve">   </w:t>
      </w:r>
      <w:r>
        <w:rPr>
          <w:rFonts w:ascii="宋体" w:eastAsia="宋体" w:hAnsi="宋体" w:cs="宋体"/>
          <w:sz w:val="21"/>
          <w:szCs w:val="21"/>
        </w:rPr>
        <w:t xml:space="preserve">                                     </w:t>
      </w:r>
    </w:p>
    <w:p>
      <w:pPr>
        <w:widowControl w:val="0"/>
        <w:spacing w:before="0" w:after="0" w:line="220" w:lineRule="atLeast"/>
        <w:ind w:firstLine="420"/>
        <w:jc w:val="both"/>
        <w:rPr>
          <w:rFonts w:ascii="Times New Roman" w:eastAsia="Times New Roman" w:hAnsi="Times New Roman" w:cs="Times New Roman"/>
        </w:rPr>
      </w:pPr>
      <w:r>
        <w:rPr>
          <w:rFonts w:ascii="宋体" w:eastAsia="宋体" w:hAnsi="宋体" w:cs="宋体"/>
          <w:sz w:val="21"/>
          <w:szCs w:val="21"/>
        </w:rPr>
        <w:t>第三条</w:t>
      </w:r>
      <w:r>
        <w:rPr>
          <w:rFonts w:ascii="宋体" w:eastAsia="宋体" w:hAnsi="宋体" w:cs="宋体"/>
          <w:sz w:val="21"/>
          <w:szCs w:val="21"/>
        </w:rPr>
        <w:t xml:space="preserve">  </w:t>
      </w:r>
      <w:r>
        <w:rPr>
          <w:rFonts w:ascii="宋体" w:eastAsia="宋体" w:hAnsi="宋体" w:cs="宋体"/>
          <w:sz w:val="21"/>
          <w:szCs w:val="21"/>
        </w:rPr>
        <w:t>合同的生效及变更</w:t>
      </w:r>
    </w:p>
    <w:p>
      <w:pPr>
        <w:widowControl w:val="0"/>
        <w:spacing w:before="0" w:after="0" w:line="220" w:lineRule="atLeast"/>
        <w:ind w:firstLine="420"/>
        <w:jc w:val="both"/>
        <w:rPr>
          <w:rFonts w:ascii="Times New Roman" w:eastAsia="Times New Roman" w:hAnsi="Times New Roman" w:cs="Times New Roman"/>
        </w:rPr>
      </w:pPr>
      <w:r>
        <w:rPr>
          <w:rFonts w:ascii="宋体" w:eastAsia="宋体" w:hAnsi="宋体" w:cs="宋体"/>
          <w:sz w:val="21"/>
          <w:szCs w:val="21"/>
        </w:rPr>
        <w:t>本合同自甲方签字及乙方加盖公章之日起长期有效。甲、乙双方变更或甲方房屋产权、承租关系变更的应及时告知对方，并与对方解除本合同，燃气费用一并结清。</w:t>
      </w:r>
    </w:p>
    <w:p>
      <w:pPr>
        <w:widowControl w:val="0"/>
        <w:spacing w:before="0" w:after="0" w:line="220" w:lineRule="atLeast"/>
        <w:ind w:firstLine="420"/>
        <w:jc w:val="both"/>
        <w:rPr>
          <w:rFonts w:ascii="Times New Roman" w:eastAsia="Times New Roman" w:hAnsi="Times New Roman" w:cs="Times New Roman"/>
        </w:rPr>
      </w:pPr>
      <w:r>
        <w:rPr>
          <w:rFonts w:ascii="宋体" w:eastAsia="宋体" w:hAnsi="宋体" w:cs="宋体"/>
          <w:sz w:val="21"/>
          <w:szCs w:val="21"/>
        </w:rPr>
        <w:t>第四条</w:t>
      </w:r>
      <w:r>
        <w:rPr>
          <w:rFonts w:ascii="宋体" w:eastAsia="宋体" w:hAnsi="宋体" w:cs="宋体"/>
          <w:sz w:val="21"/>
          <w:szCs w:val="21"/>
        </w:rPr>
        <w:t xml:space="preserve">  </w:t>
      </w:r>
      <w:r>
        <w:rPr>
          <w:rFonts w:ascii="宋体" w:eastAsia="宋体" w:hAnsi="宋体" w:cs="宋体"/>
          <w:sz w:val="21"/>
          <w:szCs w:val="21"/>
        </w:rPr>
        <w:t>争议解决方式</w:t>
      </w:r>
    </w:p>
    <w:p>
      <w:pPr>
        <w:widowControl w:val="0"/>
        <w:spacing w:before="0" w:after="0" w:line="220" w:lineRule="atLeast"/>
        <w:ind w:firstLine="420"/>
        <w:jc w:val="both"/>
        <w:rPr>
          <w:rFonts w:ascii="Times New Roman" w:eastAsia="Times New Roman" w:hAnsi="Times New Roman" w:cs="Times New Roman"/>
        </w:rPr>
      </w:pPr>
      <w:r>
        <w:rPr>
          <w:rFonts w:ascii="宋体" w:eastAsia="宋体" w:hAnsi="宋体" w:cs="宋体"/>
          <w:sz w:val="21"/>
          <w:szCs w:val="21"/>
        </w:rPr>
        <w:t>本合同项下发生的争议，由双方协商解决，也可以向属地消费者协会或其他人民调解组织申请调解；协商不成的，向</w:t>
      </w:r>
      <w:r>
        <w:rPr>
          <w:rFonts w:ascii="宋体" w:eastAsia="宋体" w:hAnsi="宋体" w:cs="宋体"/>
          <w:sz w:val="21"/>
          <w:szCs w:val="21"/>
          <w:u w:val="single"/>
        </w:rPr>
        <w:t> </w:t>
      </w:r>
      <w:r>
        <w:rPr>
          <w:rFonts w:ascii="宋体" w:eastAsia="宋体" w:hAnsi="宋体" w:cs="宋体"/>
          <w:sz w:val="21"/>
          <w:szCs w:val="21"/>
          <w:u w:val="single"/>
        </w:rPr>
        <w:t>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rPr>
        <w:t>人民法院提起诉讼或根据双方另行达成的仲裁协议申请仲裁。</w:t>
      </w:r>
    </w:p>
    <w:p>
      <w:pPr>
        <w:widowControl w:val="0"/>
        <w:spacing w:before="0" w:after="0" w:line="220" w:lineRule="atLeast"/>
        <w:ind w:firstLine="420"/>
        <w:jc w:val="both"/>
        <w:rPr>
          <w:rFonts w:ascii="Times New Roman" w:eastAsia="Times New Roman" w:hAnsi="Times New Roman" w:cs="Times New Roman"/>
        </w:rPr>
      </w:pPr>
      <w:r>
        <w:rPr>
          <w:rFonts w:ascii="宋体" w:eastAsia="宋体" w:hAnsi="宋体" w:cs="宋体"/>
          <w:sz w:val="21"/>
          <w:szCs w:val="21"/>
        </w:rPr>
        <w:t>第五条</w:t>
      </w:r>
      <w:r>
        <w:rPr>
          <w:rFonts w:ascii="宋体" w:eastAsia="宋体" w:hAnsi="宋体" w:cs="宋体"/>
          <w:b w:val="0"/>
          <w:bCs w:val="0"/>
          <w:i w:val="0"/>
          <w:iCs w:val="0"/>
          <w:smallCaps w:val="0"/>
          <w:sz w:val="14"/>
          <w:szCs w:val="14"/>
        </w:rPr>
        <w:t xml:space="preserve">  </w:t>
      </w:r>
      <w:r>
        <w:rPr>
          <w:rFonts w:ascii="宋体" w:eastAsia="宋体" w:hAnsi="宋体" w:cs="宋体"/>
          <w:sz w:val="21"/>
          <w:szCs w:val="21"/>
        </w:rPr>
        <w:t xml:space="preserve"> 本合同一式两份，甲、乙双方各执一份，具有同等法律效力。</w:t>
      </w:r>
    </w:p>
    <w:p>
      <w:pPr>
        <w:widowControl w:val="0"/>
        <w:spacing w:before="0" w:after="0" w:line="220" w:lineRule="atLeast"/>
        <w:ind w:firstLine="420"/>
        <w:rPr>
          <w:rFonts w:ascii="Times New Roman" w:eastAsia="Times New Roman" w:hAnsi="Times New Roman" w:cs="Times New Roman"/>
        </w:rPr>
      </w:pPr>
      <w:r>
        <w:rPr>
          <w:rFonts w:ascii="宋体" w:eastAsia="宋体" w:hAnsi="宋体" w:cs="宋体"/>
          <w:b/>
          <w:bCs/>
          <w:sz w:val="21"/>
          <w:szCs w:val="21"/>
          <w:u w:val="single"/>
        </w:rPr>
        <w:t>请用气人仔细阅读通用条款及供气人提供的安全用气须知，再行签署本合同。</w:t>
      </w:r>
    </w:p>
    <w:p>
      <w:pPr>
        <w:widowControl w:val="0"/>
        <w:spacing w:before="0" w:after="0" w:line="220" w:lineRule="atLeast"/>
        <w:ind w:firstLine="420"/>
        <w:rPr>
          <w:rFonts w:ascii="Times New Roman" w:eastAsia="Times New Roman" w:hAnsi="Times New Roman" w:cs="Times New Roman"/>
        </w:rPr>
      </w:pPr>
      <w:r>
        <w:rPr>
          <w:rFonts w:ascii="宋体" w:eastAsia="宋体" w:hAnsi="宋体" w:cs="宋体"/>
          <w:sz w:val="21"/>
          <w:szCs w:val="21"/>
        </w:rPr>
        <w:t>用气人（甲方）：</w:t>
      </w:r>
      <w:r>
        <w:rPr>
          <w:rFonts w:ascii="宋体" w:eastAsia="宋体" w:hAnsi="宋体" w:cs="宋体"/>
          <w:sz w:val="21"/>
          <w:szCs w:val="21"/>
        </w:rPr>
        <w:t xml:space="preserve">                       </w:t>
      </w:r>
      <w:r>
        <w:rPr>
          <w:rFonts w:ascii="宋体" w:eastAsia="宋体" w:hAnsi="宋体" w:cs="宋体"/>
          <w:sz w:val="21"/>
          <w:szCs w:val="21"/>
        </w:rPr>
        <w:t>供气人（乙方盖章）：</w:t>
      </w:r>
    </w:p>
    <w:p>
      <w:pPr>
        <w:widowControl w:val="0"/>
        <w:spacing w:before="0" w:after="0" w:line="220" w:lineRule="atLeast"/>
        <w:ind w:firstLine="420"/>
        <w:jc w:val="both"/>
        <w:rPr>
          <w:rFonts w:ascii="Times New Roman" w:eastAsia="Times New Roman" w:hAnsi="Times New Roman" w:cs="Times New Roman"/>
        </w:rPr>
      </w:pPr>
    </w:p>
    <w:tbl>
      <w:tblPr>
        <w:tblW w:w="5000" w:type="pct"/>
        <w:jc w:val="center"/>
        <w:tblBorders>
          <w:top w:val="single" w:sz="6" w:space="0" w:color="FFFFFF"/>
          <w:left w:val="single" w:sz="6" w:space="0" w:color="FFFFFF"/>
          <w:bottom w:val="single" w:sz="6" w:space="0" w:color="FFFFFF"/>
          <w:right w:val="single" w:sz="6" w:space="0" w:color="FFFFFF"/>
        </w:tblBorders>
        <w:tblCellMar>
          <w:top w:w="0" w:type="dxa"/>
          <w:left w:w="0" w:type="dxa"/>
          <w:bottom w:w="0" w:type="dxa"/>
          <w:right w:w="0" w:type="dxa"/>
        </w:tblCellMar>
      </w:tblPr>
      <w:tblGrid>
        <w:gridCol w:w="4642"/>
        <w:gridCol w:w="3968"/>
      </w:tblGrid>
      <w:tr>
        <w:tblPrEx>
          <w:tblW w:w="5000" w:type="pct"/>
          <w:jc w:val="center"/>
          <w:tblBorders>
            <w:top w:val="single" w:sz="6" w:space="0" w:color="FFFFFF"/>
            <w:left w:val="single" w:sz="6" w:space="0" w:color="FFFFFF"/>
            <w:bottom w:val="single" w:sz="6" w:space="0" w:color="FFFFFF"/>
            <w:right w:val="single" w:sz="6" w:space="0" w:color="FFFFFF"/>
          </w:tblBorders>
          <w:tblCellMar>
            <w:top w:w="0" w:type="dxa"/>
            <w:left w:w="0" w:type="dxa"/>
            <w:bottom w:w="0" w:type="dxa"/>
            <w:right w:w="0" w:type="dxa"/>
          </w:tblCellMar>
        </w:tblPrEx>
        <w:trPr>
          <w:trHeight w:val="324"/>
          <w:jc w:val="center"/>
        </w:trPr>
        <w:tc>
          <w:tcPr>
            <w:tcBorders>
              <w:bottom w:val="single" w:sz="6" w:space="0" w:color="FFFFFF"/>
              <w:right w:val="single" w:sz="6" w:space="0" w:color="FFFFFF"/>
            </w:tcBorders>
            <w:noWrap w:val="0"/>
            <w:tcMar>
              <w:top w:w="8" w:type="dxa"/>
              <w:left w:w="108" w:type="dxa"/>
              <w:bottom w:w="8" w:type="dxa"/>
              <w:right w:w="108" w:type="dxa"/>
            </w:tcMar>
            <w:vAlign w:val="top"/>
            <w:hideMark/>
          </w:tcPr>
          <w:p>
            <w:pPr>
              <w:widowControl w:val="0"/>
              <w:spacing w:before="0" w:after="0" w:line="220" w:lineRule="atLeast"/>
              <w:ind w:firstLine="934"/>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公民身份号码：</w:t>
            </w:r>
            <w:r>
              <w:rPr>
                <w:rFonts w:ascii="宋体" w:eastAsia="宋体" w:hAnsi="宋体" w:cs="宋体"/>
                <w:b w:val="0"/>
                <w:bCs w:val="0"/>
                <w:i w:val="0"/>
                <w:iCs w:val="0"/>
                <w:smallCaps w:val="0"/>
                <w:color w:val="000000"/>
                <w:sz w:val="21"/>
                <w:szCs w:val="21"/>
              </w:rPr>
              <w:t xml:space="preserve">  </w:t>
            </w:r>
          </w:p>
        </w:tc>
        <w:tc>
          <w:tcPr>
            <w:tcBorders>
              <w:left w:val="single" w:sz="6" w:space="0" w:color="FFFFFF"/>
              <w:bottom w:val="single" w:sz="6" w:space="0" w:color="FFFFFF"/>
            </w:tcBorders>
            <w:noWrap w:val="0"/>
            <w:tcMar>
              <w:top w:w="8" w:type="dxa"/>
              <w:left w:w="108" w:type="dxa"/>
              <w:bottom w:w="8" w:type="dxa"/>
              <w:right w:w="108" w:type="dxa"/>
            </w:tcMar>
            <w:vAlign w:val="top"/>
            <w:hideMark/>
          </w:tcPr>
          <w:p>
            <w:pPr>
              <w:widowControl w:val="0"/>
              <w:spacing w:before="0" w:after="0" w:line="220" w:lineRule="atLeast"/>
              <w:ind w:firstLine="279"/>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统一社会信用代码：</w:t>
            </w:r>
          </w:p>
        </w:tc>
      </w:tr>
      <w:tr>
        <w:tblPrEx>
          <w:tblW w:w="5000" w:type="pct"/>
          <w:jc w:val="center"/>
          <w:tblCellMar>
            <w:top w:w="0" w:type="dxa"/>
            <w:left w:w="0" w:type="dxa"/>
            <w:bottom w:w="0" w:type="dxa"/>
            <w:right w:w="0" w:type="dxa"/>
          </w:tblCellMar>
        </w:tblPrEx>
        <w:trPr>
          <w:trHeight w:val="324"/>
          <w:jc w:val="center"/>
        </w:trPr>
        <w:tc>
          <w:tcPr>
            <w:tcBorders>
              <w:top w:val="single" w:sz="6" w:space="0" w:color="FFFFFF"/>
              <w:bottom w:val="single" w:sz="6" w:space="0" w:color="FFFFFF"/>
              <w:right w:val="single" w:sz="6" w:space="0" w:color="FFFFFF"/>
            </w:tcBorders>
            <w:noWrap w:val="0"/>
            <w:tcMar>
              <w:top w:w="8" w:type="dxa"/>
              <w:left w:w="108" w:type="dxa"/>
              <w:bottom w:w="8" w:type="dxa"/>
              <w:right w:w="108" w:type="dxa"/>
            </w:tcMar>
            <w:vAlign w:val="top"/>
            <w:hideMark/>
          </w:tcPr>
          <w:p>
            <w:pPr>
              <w:widowControl w:val="0"/>
              <w:spacing w:before="0" w:after="0" w:line="220" w:lineRule="atLeast"/>
              <w:ind w:firstLine="934"/>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手机号码：</w:t>
            </w:r>
          </w:p>
        </w:tc>
        <w:tc>
          <w:tcPr>
            <w:tcBorders>
              <w:top w:val="single" w:sz="6" w:space="0" w:color="FFFFFF"/>
              <w:left w:val="single" w:sz="6" w:space="0" w:color="FFFFFF"/>
              <w:bottom w:val="single" w:sz="6" w:space="0" w:color="FFFFFF"/>
            </w:tcBorders>
            <w:noWrap w:val="0"/>
            <w:tcMar>
              <w:top w:w="8" w:type="dxa"/>
              <w:left w:w="108" w:type="dxa"/>
              <w:bottom w:w="8" w:type="dxa"/>
              <w:right w:w="108" w:type="dxa"/>
            </w:tcMar>
            <w:vAlign w:val="top"/>
            <w:hideMark/>
          </w:tcPr>
          <w:p>
            <w:pPr>
              <w:widowControl w:val="0"/>
              <w:spacing w:before="0" w:after="0" w:line="220" w:lineRule="atLeast"/>
              <w:ind w:firstLine="279"/>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服务电话：</w:t>
            </w:r>
          </w:p>
        </w:tc>
      </w:tr>
      <w:tr>
        <w:tblPrEx>
          <w:tblW w:w="5000" w:type="pct"/>
          <w:jc w:val="center"/>
          <w:tblCellMar>
            <w:top w:w="0" w:type="dxa"/>
            <w:left w:w="0" w:type="dxa"/>
            <w:bottom w:w="0" w:type="dxa"/>
            <w:right w:w="0" w:type="dxa"/>
          </w:tblCellMar>
        </w:tblPrEx>
        <w:trPr>
          <w:jc w:val="center"/>
        </w:trPr>
        <w:tc>
          <w:tcPr>
            <w:tcBorders>
              <w:top w:val="single" w:sz="6" w:space="0" w:color="FFFFFF"/>
              <w:bottom w:val="single" w:sz="6" w:space="0" w:color="FFFFFF"/>
              <w:right w:val="single" w:sz="6" w:space="0" w:color="FFFFFF"/>
            </w:tcBorders>
            <w:noWrap w:val="0"/>
            <w:tcMar>
              <w:top w:w="8" w:type="dxa"/>
              <w:left w:w="108" w:type="dxa"/>
              <w:bottom w:w="8" w:type="dxa"/>
              <w:right w:w="108" w:type="dxa"/>
            </w:tcMar>
            <w:vAlign w:val="top"/>
            <w:hideMark/>
          </w:tcPr>
          <w:p>
            <w:pPr>
              <w:widowControl w:val="0"/>
              <w:spacing w:before="0" w:after="0" w:line="220" w:lineRule="atLeast"/>
              <w:ind w:firstLine="934"/>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应急联系人姓名及电话：</w:t>
            </w:r>
          </w:p>
        </w:tc>
        <w:tc>
          <w:tcPr>
            <w:tcBorders>
              <w:top w:val="single" w:sz="6" w:space="0" w:color="FFFFFF"/>
              <w:left w:val="single" w:sz="6" w:space="0" w:color="FFFFFF"/>
              <w:bottom w:val="single" w:sz="6" w:space="0" w:color="FFFFFF"/>
            </w:tcBorders>
            <w:noWrap w:val="0"/>
            <w:tcMar>
              <w:top w:w="8" w:type="dxa"/>
              <w:left w:w="108" w:type="dxa"/>
              <w:bottom w:w="8" w:type="dxa"/>
              <w:right w:w="108" w:type="dxa"/>
            </w:tcMar>
            <w:vAlign w:val="top"/>
            <w:hideMark/>
          </w:tcPr>
          <w:p>
            <w:pPr>
              <w:widowControl w:val="0"/>
              <w:spacing w:before="0" w:after="0" w:line="220" w:lineRule="atLeast"/>
              <w:ind w:firstLine="279"/>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24小时报修电话：</w:t>
            </w:r>
          </w:p>
        </w:tc>
      </w:tr>
      <w:tr>
        <w:tblPrEx>
          <w:tblW w:w="5000" w:type="pct"/>
          <w:jc w:val="center"/>
          <w:tblCellMar>
            <w:top w:w="0" w:type="dxa"/>
            <w:left w:w="0" w:type="dxa"/>
            <w:bottom w:w="0" w:type="dxa"/>
            <w:right w:w="0" w:type="dxa"/>
          </w:tblCellMar>
        </w:tblPrEx>
        <w:trPr>
          <w:jc w:val="center"/>
        </w:trPr>
        <w:tc>
          <w:tcPr>
            <w:tcBorders>
              <w:top w:val="single" w:sz="6" w:space="0" w:color="FFFFFF"/>
              <w:right w:val="single" w:sz="6" w:space="0" w:color="FFFFFF"/>
            </w:tcBorders>
            <w:noWrap w:val="0"/>
            <w:tcMar>
              <w:top w:w="8" w:type="dxa"/>
              <w:left w:w="108" w:type="dxa"/>
              <w:bottom w:w="8" w:type="dxa"/>
              <w:right w:w="108" w:type="dxa"/>
            </w:tcMar>
            <w:vAlign w:val="top"/>
            <w:hideMark/>
          </w:tcPr>
          <w:p>
            <w:pPr>
              <w:widowControl w:val="0"/>
              <w:spacing w:before="0" w:after="0" w:line="220" w:lineRule="atLeast"/>
              <w:ind w:firstLine="934"/>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电子邮件：</w:t>
            </w:r>
          </w:p>
        </w:tc>
        <w:tc>
          <w:tcPr>
            <w:tcBorders>
              <w:top w:val="single" w:sz="6" w:space="0" w:color="FFFFFF"/>
              <w:left w:val="single" w:sz="6" w:space="0" w:color="FFFFFF"/>
            </w:tcBorders>
            <w:noWrap w:val="0"/>
            <w:tcMar>
              <w:top w:w="8" w:type="dxa"/>
              <w:left w:w="108" w:type="dxa"/>
              <w:bottom w:w="8" w:type="dxa"/>
              <w:right w:w="108" w:type="dxa"/>
            </w:tcMar>
            <w:vAlign w:val="top"/>
            <w:hideMark/>
          </w:tcPr>
          <w:p>
            <w:pPr>
              <w:widowControl w:val="0"/>
              <w:spacing w:before="0" w:after="0" w:line="220" w:lineRule="atLeast"/>
              <w:ind w:firstLine="279"/>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电子邮件：</w:t>
            </w:r>
            <w:r>
              <w:rPr>
                <w:rFonts w:ascii="宋体" w:eastAsia="宋体" w:hAnsi="宋体" w:cs="宋体"/>
                <w:b w:val="0"/>
                <w:bCs w:val="0"/>
                <w:i w:val="0"/>
                <w:iCs w:val="0"/>
                <w:smallCaps w:val="0"/>
                <w:color w:val="000000"/>
                <w:sz w:val="21"/>
                <w:szCs w:val="21"/>
              </w:rPr>
              <w:t xml:space="preserve">     </w:t>
            </w:r>
          </w:p>
        </w:tc>
      </w:tr>
    </w:tbl>
    <w:p>
      <w:pPr>
        <w:widowControl w:val="0"/>
        <w:spacing w:before="0" w:after="0" w:line="220" w:lineRule="atLeast"/>
        <w:ind w:firstLine="420"/>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签订时间：</w:t>
      </w:r>
      <w:r>
        <w:rPr>
          <w:rFonts w:ascii="宋体" w:eastAsia="宋体" w:hAnsi="宋体" w:cs="宋体"/>
          <w:sz w:val="21"/>
          <w:szCs w:val="21"/>
        </w:rPr>
        <w:t xml:space="preserve">      </w:t>
      </w:r>
      <w:r>
        <w:rPr>
          <w:rFonts w:ascii="宋体" w:eastAsia="宋体" w:hAnsi="宋体" w:cs="宋体"/>
          <w:sz w:val="21"/>
          <w:szCs w:val="21"/>
        </w:rPr>
        <w:t>年</w:t>
      </w:r>
      <w:r>
        <w:rPr>
          <w:rFonts w:ascii="宋体" w:eastAsia="宋体" w:hAnsi="宋体" w:cs="宋体"/>
          <w:sz w:val="21"/>
          <w:szCs w:val="21"/>
        </w:rPr>
        <w:t xml:space="preserve">   </w:t>
      </w:r>
      <w:r>
        <w:rPr>
          <w:rFonts w:ascii="宋体" w:eastAsia="宋体" w:hAnsi="宋体" w:cs="宋体"/>
          <w:sz w:val="21"/>
          <w:szCs w:val="21"/>
        </w:rPr>
        <w:t>月</w:t>
      </w:r>
      <w:r>
        <w:rPr>
          <w:rFonts w:ascii="宋体" w:eastAsia="宋体" w:hAnsi="宋体" w:cs="宋体"/>
          <w:sz w:val="21"/>
          <w:szCs w:val="21"/>
        </w:rPr>
        <w:t xml:space="preserve">   </w:t>
      </w:r>
      <w:r>
        <w:rPr>
          <w:rFonts w:ascii="宋体" w:eastAsia="宋体" w:hAnsi="宋体" w:cs="宋体"/>
          <w:sz w:val="21"/>
          <w:szCs w:val="21"/>
        </w:rPr>
        <w:t>日</w:t>
      </w:r>
      <w:r>
        <w:rPr>
          <w:rFonts w:ascii="宋体" w:eastAsia="宋体" w:hAnsi="宋体" w:cs="宋体"/>
          <w:sz w:val="21"/>
          <w:szCs w:val="21"/>
        </w:rPr>
        <w:t xml:space="preserve">   </w:t>
      </w:r>
    </w:p>
    <w:p>
      <w:pPr>
        <w:widowControl w:val="0"/>
        <w:spacing w:before="0" w:after="0" w:line="420" w:lineRule="atLeast"/>
        <w:ind w:firstLine="560"/>
        <w:jc w:val="center"/>
        <w:rPr>
          <w:rFonts w:ascii="Times New Roman" w:eastAsia="Times New Roman" w:hAnsi="Times New Roman" w:cs="Times New Roman"/>
        </w:rPr>
      </w:pPr>
      <w:r>
        <w:rPr>
          <w:rFonts w:ascii="宋体" w:eastAsia="宋体" w:hAnsi="宋体" w:cs="宋体"/>
          <w:sz w:val="28"/>
          <w:szCs w:val="28"/>
        </w:rPr>
        <w:t>通 用 条 款</w:t>
      </w:r>
    </w:p>
    <w:p>
      <w:pPr>
        <w:widowControl w:val="0"/>
        <w:spacing w:before="0" w:after="0" w:line="260" w:lineRule="atLeast"/>
        <w:ind w:firstLine="400"/>
        <w:jc w:val="both"/>
        <w:rPr>
          <w:rFonts w:ascii="Times New Roman" w:eastAsia="Times New Roman" w:hAnsi="Times New Roman" w:cs="Times New Roman"/>
        </w:rPr>
      </w:pPr>
      <w:r>
        <w:rPr>
          <w:rFonts w:ascii="宋体" w:eastAsia="宋体" w:hAnsi="宋体" w:cs="宋体"/>
          <w:sz w:val="20"/>
          <w:szCs w:val="20"/>
        </w:rPr>
        <w:t>一、安全和服务责任</w:t>
      </w:r>
    </w:p>
    <w:p>
      <w:pPr>
        <w:widowControl w:val="0"/>
        <w:spacing w:before="0" w:after="0" w:line="260" w:lineRule="atLeast"/>
        <w:ind w:firstLine="400"/>
        <w:jc w:val="both"/>
        <w:rPr>
          <w:rFonts w:ascii="Times New Roman" w:eastAsia="Times New Roman" w:hAnsi="Times New Roman" w:cs="Times New Roman"/>
        </w:rPr>
      </w:pPr>
      <w:r>
        <w:rPr>
          <w:rFonts w:ascii="宋体" w:eastAsia="宋体" w:hAnsi="宋体" w:cs="宋体"/>
          <w:sz w:val="20"/>
          <w:szCs w:val="20"/>
        </w:rPr>
        <w:t>1.甲方应了解燃气安全使用常识，对室(户)内燃气设施及燃气燃烧器具进行日常检查，配合乙方的入户安全检查，及时整改安全用气隐患。</w:t>
      </w:r>
    </w:p>
    <w:p>
      <w:pPr>
        <w:widowControl w:val="0"/>
        <w:spacing w:before="0" w:after="0" w:line="260" w:lineRule="atLeast"/>
        <w:ind w:firstLine="400"/>
        <w:jc w:val="both"/>
        <w:rPr>
          <w:rFonts w:ascii="Times New Roman" w:eastAsia="Times New Roman" w:hAnsi="Times New Roman" w:cs="Times New Roman"/>
        </w:rPr>
      </w:pPr>
      <w:r>
        <w:rPr>
          <w:rFonts w:ascii="宋体" w:eastAsia="宋体" w:hAnsi="宋体" w:cs="宋体"/>
          <w:sz w:val="20"/>
          <w:szCs w:val="20"/>
        </w:rPr>
        <w:t>2.甲方发现室（户）内燃气设施或者燃气燃烧器具异常、燃气泄漏、意外停气等故障时，应及时向乙方报修；乙方提供24小时应急抢险服务，应不迟于甲方报修后</w:t>
      </w:r>
      <w:r>
        <w:rPr>
          <w:rFonts w:ascii="宋体" w:eastAsia="宋体" w:hAnsi="宋体" w:cs="宋体"/>
          <w:sz w:val="20"/>
          <w:szCs w:val="20"/>
          <w:u w:val="single"/>
        </w:rPr>
        <w:t xml:space="preserve">    </w:t>
      </w:r>
      <w:r>
        <w:rPr>
          <w:rFonts w:ascii="宋体" w:eastAsia="宋体" w:hAnsi="宋体" w:cs="宋体"/>
          <w:sz w:val="20"/>
          <w:szCs w:val="20"/>
        </w:rPr>
        <w:t>分钟上门检查，其中对燃气泄漏的报修要立即安排人员上门检修。</w:t>
      </w:r>
    </w:p>
    <w:p>
      <w:pPr>
        <w:widowControl w:val="0"/>
        <w:spacing w:before="0" w:after="0" w:line="260" w:lineRule="atLeast"/>
        <w:ind w:firstLine="400"/>
        <w:jc w:val="both"/>
        <w:rPr>
          <w:rFonts w:ascii="Times New Roman" w:eastAsia="Times New Roman" w:hAnsi="Times New Roman" w:cs="Times New Roman"/>
        </w:rPr>
      </w:pPr>
      <w:r>
        <w:rPr>
          <w:rFonts w:ascii="宋体" w:eastAsia="宋体" w:hAnsi="宋体" w:cs="宋体"/>
          <w:sz w:val="20"/>
          <w:szCs w:val="20"/>
        </w:rPr>
        <w:t>3.甲方对外出租（借）房屋时，保证所提供的燃气设施和燃气燃烧器具符合安全要求，告知房屋使用人安全使用燃气的注意事项、配合乙方的入户安全检查作业并履行甲方在本合同中的安全用气义务。</w:t>
      </w:r>
    </w:p>
    <w:p>
      <w:pPr>
        <w:widowControl w:val="0"/>
        <w:spacing w:before="0" w:after="0" w:line="260" w:lineRule="atLeast"/>
        <w:ind w:firstLine="400"/>
        <w:jc w:val="both"/>
        <w:rPr>
          <w:rFonts w:ascii="Times New Roman" w:eastAsia="Times New Roman" w:hAnsi="Times New Roman" w:cs="Times New Roman"/>
        </w:rPr>
      </w:pPr>
      <w:r>
        <w:rPr>
          <w:rFonts w:ascii="宋体" w:eastAsia="宋体" w:hAnsi="宋体" w:cs="宋体"/>
          <w:sz w:val="20"/>
          <w:szCs w:val="20"/>
        </w:rPr>
        <w:t>4.甲方拟连续半年以上不使用燃气的，应关闭燃气计量表前非公用阀门并告知乙方。</w:t>
      </w:r>
    </w:p>
    <w:p>
      <w:pPr>
        <w:widowControl w:val="0"/>
        <w:spacing w:before="0" w:after="0" w:line="260" w:lineRule="atLeast"/>
        <w:ind w:firstLine="400"/>
        <w:jc w:val="both"/>
        <w:rPr>
          <w:rFonts w:ascii="Times New Roman" w:eastAsia="Times New Roman" w:hAnsi="Times New Roman" w:cs="Times New Roman"/>
        </w:rPr>
      </w:pPr>
      <w:r>
        <w:rPr>
          <w:rFonts w:ascii="宋体" w:eastAsia="宋体" w:hAnsi="宋体" w:cs="宋体"/>
          <w:sz w:val="20"/>
          <w:szCs w:val="20"/>
        </w:rPr>
        <w:t>5.甲方应安装带有燃气超压、欠压、过流切断保护功能的自闭阀，须及时更换超过使用年限的燃气燃烧器具，由乙方提供相应服务，配合乙方为排除用气安全隐患而开展的燃气表后至燃具前设施修理、材料更换。</w:t>
      </w:r>
    </w:p>
    <w:p>
      <w:pPr>
        <w:widowControl w:val="0"/>
        <w:spacing w:before="0" w:after="0" w:line="260" w:lineRule="atLeast"/>
        <w:ind w:firstLine="400"/>
        <w:jc w:val="both"/>
        <w:rPr>
          <w:rFonts w:ascii="Times New Roman" w:eastAsia="Times New Roman" w:hAnsi="Times New Roman" w:cs="Times New Roman"/>
        </w:rPr>
      </w:pPr>
      <w:r>
        <w:rPr>
          <w:rFonts w:ascii="宋体" w:eastAsia="宋体" w:hAnsi="宋体" w:cs="宋体"/>
          <w:sz w:val="20"/>
          <w:szCs w:val="20"/>
        </w:rPr>
        <w:t>6.甲方专有部分燃气设施需要维修、安装、改装、移动或拆除的，应由乙方实施作业，乙方应在甲方提出要求的当日与甲方约定实施作业时间，按公示价格收取费用，并承担相应作业的质量责任。</w:t>
      </w:r>
    </w:p>
    <w:p>
      <w:pPr>
        <w:widowControl w:val="0"/>
        <w:spacing w:before="0" w:after="0" w:line="260" w:lineRule="atLeast"/>
        <w:ind w:firstLine="400"/>
        <w:jc w:val="both"/>
        <w:rPr>
          <w:rFonts w:ascii="Times New Roman" w:eastAsia="Times New Roman" w:hAnsi="Times New Roman" w:cs="Times New Roman"/>
        </w:rPr>
      </w:pPr>
      <w:r>
        <w:rPr>
          <w:rFonts w:ascii="宋体" w:eastAsia="宋体" w:hAnsi="宋体" w:cs="宋体"/>
          <w:sz w:val="20"/>
          <w:szCs w:val="20"/>
        </w:rPr>
        <w:t>7.乙方免费对甲方室（户）内燃气设施进行入户安全检查，其中：通气20年以下的每两年不少于1次，通气20年以上的每年不少于1次；农村煤改气用户每年不少于2次，一次安排在采暖期前。甲方在承担费用的前提下，有权要求乙方增加入户安全检查频次，乙方应予以安排。</w:t>
      </w:r>
    </w:p>
    <w:p>
      <w:pPr>
        <w:widowControl w:val="0"/>
        <w:spacing w:before="0" w:after="0" w:line="260" w:lineRule="atLeast"/>
        <w:ind w:firstLine="400"/>
        <w:jc w:val="both"/>
        <w:rPr>
          <w:rFonts w:ascii="Times New Roman" w:eastAsia="Times New Roman" w:hAnsi="Times New Roman" w:cs="Times New Roman"/>
        </w:rPr>
      </w:pPr>
      <w:r>
        <w:rPr>
          <w:rFonts w:ascii="宋体" w:eastAsia="宋体" w:hAnsi="宋体" w:cs="宋体"/>
          <w:sz w:val="20"/>
          <w:szCs w:val="20"/>
        </w:rPr>
        <w:t>8.甲方有义务配合乙方人员入户安全检查，因甲方原因未能按照乙方公示的时间进行入户安全巡检的，甲方应主动与乙方另行预约巡检时间。乙方安全检查后，应当就甲方存在的用气安全隐患提出整改建议，甲方应当及时整改。乙方应实时追踪隐患整改情况，直至整改完毕。甲方拒不整改安全隐患的，应当向甲方所在街道乡镇和城市执法部门书面报告。</w:t>
      </w:r>
    </w:p>
    <w:p>
      <w:pPr>
        <w:widowControl w:val="0"/>
        <w:spacing w:before="0" w:after="0" w:line="260" w:lineRule="atLeast"/>
        <w:ind w:firstLine="400"/>
        <w:jc w:val="both"/>
        <w:rPr>
          <w:rFonts w:ascii="Times New Roman" w:eastAsia="Times New Roman" w:hAnsi="Times New Roman" w:cs="Times New Roman"/>
        </w:rPr>
      </w:pPr>
      <w:r>
        <w:rPr>
          <w:rFonts w:ascii="宋体" w:eastAsia="宋体" w:hAnsi="宋体" w:cs="宋体"/>
          <w:sz w:val="20"/>
          <w:szCs w:val="20"/>
        </w:rPr>
        <w:t>9.乙方提供24小时售气服务；在售气网点和营业场所等公示有关燃气安全、质量、收费标准和服务质量承诺。</w:t>
      </w:r>
    </w:p>
    <w:p>
      <w:pPr>
        <w:widowControl w:val="0"/>
        <w:spacing w:before="0" w:after="0" w:line="260" w:lineRule="atLeast"/>
        <w:ind w:firstLine="400"/>
        <w:jc w:val="both"/>
        <w:rPr>
          <w:rFonts w:ascii="Times New Roman" w:eastAsia="Times New Roman" w:hAnsi="Times New Roman" w:cs="Times New Roman"/>
        </w:rPr>
      </w:pPr>
      <w:r>
        <w:rPr>
          <w:rFonts w:ascii="宋体" w:eastAsia="宋体" w:hAnsi="宋体" w:cs="宋体"/>
          <w:sz w:val="20"/>
          <w:szCs w:val="20"/>
        </w:rPr>
        <w:t>10.乙方因计划检修、更换设施等情况需临时调整供气量或暂停供气的，应提前48小时告知甲方。</w:t>
      </w:r>
    </w:p>
    <w:p>
      <w:pPr>
        <w:widowControl w:val="0"/>
        <w:spacing w:before="0" w:after="0" w:line="260" w:lineRule="atLeast"/>
        <w:ind w:firstLine="400"/>
        <w:jc w:val="both"/>
        <w:rPr>
          <w:rFonts w:ascii="Times New Roman" w:eastAsia="Times New Roman" w:hAnsi="Times New Roman" w:cs="Times New Roman"/>
        </w:rPr>
      </w:pPr>
      <w:r>
        <w:rPr>
          <w:rFonts w:ascii="宋体" w:eastAsia="宋体" w:hAnsi="宋体" w:cs="宋体"/>
          <w:sz w:val="20"/>
          <w:szCs w:val="20"/>
        </w:rPr>
        <w:t>11.乙方应每季度通过手机、邮件、网络等形式提示甲方安全用气事项；乙方入户巡检时、甲方到售气网点购气时，乙方应向甲方发放安全用气须知。</w:t>
      </w:r>
    </w:p>
    <w:p>
      <w:pPr>
        <w:widowControl w:val="0"/>
        <w:spacing w:before="0" w:after="0" w:line="260" w:lineRule="atLeast"/>
        <w:ind w:firstLine="400"/>
        <w:jc w:val="both"/>
        <w:rPr>
          <w:rFonts w:ascii="Times New Roman" w:eastAsia="Times New Roman" w:hAnsi="Times New Roman" w:cs="Times New Roman"/>
        </w:rPr>
      </w:pPr>
      <w:r>
        <w:rPr>
          <w:rFonts w:ascii="宋体" w:eastAsia="宋体" w:hAnsi="宋体" w:cs="宋体"/>
          <w:sz w:val="20"/>
          <w:szCs w:val="20"/>
        </w:rPr>
        <w:t>12.乙方可为甲方提供代办燃气综合保险的服务。</w:t>
      </w:r>
    </w:p>
    <w:p>
      <w:pPr>
        <w:widowControl w:val="0"/>
        <w:spacing w:before="0" w:after="0" w:line="260" w:lineRule="atLeast"/>
        <w:ind w:firstLine="400"/>
        <w:jc w:val="both"/>
        <w:rPr>
          <w:rFonts w:ascii="Times New Roman" w:eastAsia="Times New Roman" w:hAnsi="Times New Roman" w:cs="Times New Roman"/>
        </w:rPr>
      </w:pPr>
      <w:r>
        <w:rPr>
          <w:rFonts w:ascii="宋体" w:eastAsia="宋体" w:hAnsi="宋体" w:cs="宋体"/>
          <w:sz w:val="20"/>
          <w:szCs w:val="20"/>
        </w:rPr>
        <w:t>13.甲方禁止实施下列行为：</w:t>
      </w:r>
    </w:p>
    <w:p>
      <w:pPr>
        <w:widowControl w:val="0"/>
        <w:spacing w:before="0" w:after="0" w:line="260" w:lineRule="atLeast"/>
        <w:ind w:firstLine="400"/>
        <w:jc w:val="both"/>
        <w:rPr>
          <w:rFonts w:ascii="Times New Roman" w:eastAsia="Times New Roman" w:hAnsi="Times New Roman" w:cs="Times New Roman"/>
        </w:rPr>
      </w:pPr>
      <w:r>
        <w:rPr>
          <w:rFonts w:ascii="宋体" w:eastAsia="宋体" w:hAnsi="宋体" w:cs="宋体"/>
          <w:sz w:val="20"/>
          <w:szCs w:val="20"/>
        </w:rPr>
        <w:t>（1）操作公用燃气阀门、将燃气管道作为负重支架或接地引线；</w:t>
      </w:r>
    </w:p>
    <w:p>
      <w:pPr>
        <w:widowControl w:val="0"/>
        <w:spacing w:before="0" w:after="0" w:line="260" w:lineRule="atLeast"/>
        <w:ind w:firstLine="400"/>
        <w:jc w:val="both"/>
        <w:rPr>
          <w:rFonts w:ascii="Times New Roman" w:eastAsia="Times New Roman" w:hAnsi="Times New Roman" w:cs="Times New Roman"/>
        </w:rPr>
      </w:pPr>
      <w:r>
        <w:rPr>
          <w:rFonts w:ascii="宋体" w:eastAsia="宋体" w:hAnsi="宋体" w:cs="宋体"/>
          <w:sz w:val="20"/>
          <w:szCs w:val="20"/>
        </w:rPr>
        <w:t>（2）使用不带熄火保护功能、超过使用年限（按照国家标准规定，燃气热水器、灶具、壁挂炉等自售出之日起，8年后不应再使用）的燃气燃烧器具；</w:t>
      </w:r>
    </w:p>
    <w:p>
      <w:pPr>
        <w:widowControl w:val="0"/>
        <w:spacing w:before="0" w:after="0" w:line="260" w:lineRule="atLeast"/>
        <w:ind w:firstLine="400"/>
        <w:jc w:val="both"/>
        <w:rPr>
          <w:rFonts w:ascii="Times New Roman" w:eastAsia="Times New Roman" w:hAnsi="Times New Roman" w:cs="Times New Roman"/>
        </w:rPr>
      </w:pPr>
      <w:r>
        <w:rPr>
          <w:rFonts w:ascii="宋体" w:eastAsia="宋体" w:hAnsi="宋体" w:cs="宋体"/>
          <w:sz w:val="20"/>
          <w:szCs w:val="20"/>
        </w:rPr>
        <w:t>（3）自行或委托乙方以外的第三方改动室（户）内的燃气管线、阀门、燃气计量表等设施；</w:t>
      </w:r>
    </w:p>
    <w:p>
      <w:pPr>
        <w:widowControl w:val="0"/>
        <w:spacing w:before="0" w:after="0" w:line="260" w:lineRule="atLeast"/>
        <w:ind w:firstLine="400"/>
        <w:jc w:val="both"/>
        <w:rPr>
          <w:rFonts w:ascii="Times New Roman" w:eastAsia="Times New Roman" w:hAnsi="Times New Roman" w:cs="Times New Roman"/>
        </w:rPr>
      </w:pPr>
      <w:r>
        <w:rPr>
          <w:rFonts w:ascii="宋体" w:eastAsia="宋体" w:hAnsi="宋体" w:cs="宋体"/>
          <w:sz w:val="20"/>
          <w:szCs w:val="20"/>
        </w:rPr>
        <w:t>（4）发现室（户）内燃气设施或者燃气燃烧器具异常、燃气泄漏、意外停气等故障时，在现场使用明火、开关电器、拨打电话；</w:t>
      </w:r>
    </w:p>
    <w:p>
      <w:pPr>
        <w:widowControl w:val="0"/>
        <w:spacing w:before="0" w:after="0" w:line="260" w:lineRule="atLeast"/>
        <w:ind w:firstLine="400"/>
        <w:jc w:val="both"/>
        <w:rPr>
          <w:rFonts w:ascii="Times New Roman" w:eastAsia="Times New Roman" w:hAnsi="Times New Roman" w:cs="Times New Roman"/>
        </w:rPr>
      </w:pPr>
      <w:r>
        <w:rPr>
          <w:rFonts w:ascii="宋体" w:eastAsia="宋体" w:hAnsi="宋体" w:cs="宋体"/>
          <w:sz w:val="20"/>
          <w:szCs w:val="20"/>
        </w:rPr>
        <w:t>（5）实施影响燃气计量表正常使用的行为；</w:t>
      </w:r>
    </w:p>
    <w:p>
      <w:pPr>
        <w:widowControl w:val="0"/>
        <w:spacing w:before="0" w:after="0" w:line="260" w:lineRule="atLeast"/>
        <w:ind w:firstLine="400"/>
        <w:jc w:val="both"/>
        <w:rPr>
          <w:rFonts w:ascii="Times New Roman" w:eastAsia="Times New Roman" w:hAnsi="Times New Roman" w:cs="Times New Roman"/>
        </w:rPr>
      </w:pPr>
      <w:r>
        <w:rPr>
          <w:rFonts w:ascii="宋体" w:eastAsia="宋体" w:hAnsi="宋体" w:cs="宋体"/>
          <w:sz w:val="20"/>
          <w:szCs w:val="20"/>
        </w:rPr>
        <w:t>（6）无理由拒绝入户安全检查或者拒不整改用气安全隐患。</w:t>
      </w:r>
    </w:p>
    <w:p>
      <w:pPr>
        <w:widowControl w:val="0"/>
        <w:spacing w:before="0" w:after="0" w:line="260" w:lineRule="atLeast"/>
        <w:ind w:firstLine="400"/>
        <w:jc w:val="both"/>
        <w:rPr>
          <w:rFonts w:ascii="Times New Roman" w:eastAsia="Times New Roman" w:hAnsi="Times New Roman" w:cs="Times New Roman"/>
        </w:rPr>
      </w:pPr>
      <w:r>
        <w:rPr>
          <w:rFonts w:ascii="宋体" w:eastAsia="宋体" w:hAnsi="宋体" w:cs="宋体"/>
          <w:sz w:val="20"/>
          <w:szCs w:val="20"/>
        </w:rPr>
        <w:t>二、违约责任</w:t>
      </w:r>
    </w:p>
    <w:p>
      <w:pPr>
        <w:widowControl w:val="0"/>
        <w:spacing w:before="0" w:after="0" w:line="260" w:lineRule="atLeast"/>
        <w:ind w:firstLine="400"/>
        <w:jc w:val="both"/>
        <w:rPr>
          <w:rFonts w:ascii="Times New Roman" w:eastAsia="Times New Roman" w:hAnsi="Times New Roman" w:cs="Times New Roman"/>
        </w:rPr>
      </w:pPr>
      <w:r>
        <w:rPr>
          <w:rFonts w:ascii="宋体" w:eastAsia="宋体" w:hAnsi="宋体" w:cs="宋体"/>
          <w:sz w:val="20"/>
          <w:szCs w:val="20"/>
        </w:rPr>
        <w:t>1.甲方有下列情形并经劝阻无效的，乙方在履行书面告知义务后可采取限制或暂停供气措施。</w:t>
      </w:r>
    </w:p>
    <w:p>
      <w:pPr>
        <w:widowControl w:val="0"/>
        <w:spacing w:before="0" w:after="0" w:line="260" w:lineRule="atLeast"/>
        <w:ind w:firstLine="400"/>
        <w:jc w:val="both"/>
        <w:rPr>
          <w:rFonts w:ascii="Times New Roman" w:eastAsia="Times New Roman" w:hAnsi="Times New Roman" w:cs="Times New Roman"/>
        </w:rPr>
      </w:pPr>
      <w:r>
        <w:rPr>
          <w:rFonts w:ascii="宋体" w:eastAsia="宋体" w:hAnsi="宋体" w:cs="宋体"/>
          <w:sz w:val="20"/>
          <w:szCs w:val="20"/>
        </w:rPr>
        <w:t>（1）存在盗用燃气行为；（2）拒绝乙方入户安全检查；（3）拒不整改危及公共安全的燃气隐患；（4）将生活用气擅自改为经营用气；（5）拖欠和拒绝支付燃气费用。</w:t>
      </w:r>
    </w:p>
    <w:p>
      <w:pPr>
        <w:widowControl w:val="0"/>
        <w:spacing w:before="0" w:after="0" w:line="260" w:lineRule="atLeast"/>
        <w:ind w:firstLine="400"/>
        <w:jc w:val="both"/>
        <w:rPr>
          <w:rFonts w:ascii="Times New Roman" w:eastAsia="Times New Roman" w:hAnsi="Times New Roman" w:cs="Times New Roman"/>
        </w:rPr>
      </w:pPr>
      <w:r>
        <w:rPr>
          <w:rFonts w:ascii="宋体" w:eastAsia="宋体" w:hAnsi="宋体" w:cs="宋体"/>
          <w:sz w:val="20"/>
          <w:szCs w:val="20"/>
        </w:rPr>
        <w:t>2.甲方因擅自拆改室内燃气设施和操作公用阀门、使用不符合安全要求的燃气燃烧器具、拒绝乙方入户安全检查、拒绝乙方提出的安全隐患整改建议等行为，导致发生燃气安全事故，给其他方造成损失的，甲方应承担相应赔偿责任。</w:t>
      </w:r>
    </w:p>
    <w:p>
      <w:pPr>
        <w:widowControl w:val="0"/>
        <w:spacing w:before="0" w:after="0" w:line="260" w:lineRule="atLeast"/>
        <w:ind w:firstLine="400"/>
        <w:jc w:val="both"/>
        <w:rPr>
          <w:rFonts w:ascii="Times New Roman" w:eastAsia="Times New Roman" w:hAnsi="Times New Roman" w:cs="Times New Roman"/>
        </w:rPr>
      </w:pPr>
      <w:r>
        <w:rPr>
          <w:rFonts w:ascii="宋体" w:eastAsia="宋体" w:hAnsi="宋体" w:cs="宋体"/>
          <w:sz w:val="20"/>
          <w:szCs w:val="20"/>
        </w:rPr>
        <w:t>3.除自然灾害和战争等不可抗力外，乙方停气、调整供气压力未按本合同约定提前公示而给甲方造成直接经济损失的，乙方应承担相应赔偿责任。</w:t>
      </w:r>
    </w:p>
    <w:p>
      <w:pPr>
        <w:widowControl w:val="0"/>
        <w:spacing w:before="0" w:after="0" w:line="260" w:lineRule="atLeast"/>
        <w:ind w:firstLine="400"/>
        <w:jc w:val="both"/>
        <w:rPr>
          <w:rFonts w:ascii="Times New Roman" w:eastAsia="Times New Roman" w:hAnsi="Times New Roman" w:cs="Times New Roman"/>
        </w:rPr>
      </w:pPr>
      <w:r>
        <w:rPr>
          <w:rFonts w:ascii="宋体" w:eastAsia="宋体" w:hAnsi="宋体" w:cs="宋体"/>
          <w:sz w:val="20"/>
          <w:szCs w:val="20"/>
        </w:rPr>
        <w:t>4.乙方未按照约定周期及作业内容进行安全巡检、发现甲方燃气设施和燃气燃烧器具存在安全隐患未向甲方书面告知，导致发生燃气安全事故，给甲方和其他方造成损失的，乙方应承担相应赔偿责任。</w:t>
      </w:r>
    </w:p>
    <w:p>
      <w:pPr>
        <w:widowControl w:val="0"/>
        <w:spacing w:before="0" w:after="0" w:line="260" w:lineRule="atLeast"/>
        <w:ind w:firstLine="400"/>
        <w:jc w:val="both"/>
        <w:rPr>
          <w:rFonts w:ascii="Times New Roman" w:eastAsia="Times New Roman" w:hAnsi="Times New Roman" w:cs="Times New Roman"/>
        </w:rPr>
      </w:pPr>
      <w:r>
        <w:rPr>
          <w:rFonts w:ascii="宋体" w:eastAsia="宋体" w:hAnsi="宋体" w:cs="宋体"/>
          <w:sz w:val="20"/>
          <w:szCs w:val="20"/>
        </w:rPr>
        <w:t>5.甲方出租（借）房屋，没有证据证明已向房屋使用人告知安全使用燃气的注意事项及本合同有关内容，对燃气事故应承担连带责任。因乙方提供的燃气不符合国家标准，导致甲方在用气过程中产生安全事故，造成人身伤害或死亡的，由乙方承担全部责任，并赔偿相应损失。</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