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BF—2020—0507</w:t>
      </w:r>
      <w:r>
        <w:rPr>
          <w:rFonts w:ascii="宋体" w:eastAsia="宋体" w:hAnsi="宋体" w:cs="宋体"/>
          <w:sz w:val="28"/>
          <w:szCs w:val="28"/>
        </w:rPr>
        <w:t xml:space="preserve">   </w:t>
      </w:r>
      <w:r>
        <w:rPr>
          <w:rFonts w:ascii="宋体" w:eastAsia="宋体" w:hAnsi="宋体" w:cs="宋体"/>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jc w:val="right"/>
        <w:rPr>
          <w:rFonts w:ascii="Times New Roman" w:eastAsia="Times New Roman" w:hAnsi="Times New Roman" w:cs="Times New Roman"/>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北京市居民瓶装液化石油气供用合同</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根据《中华人民共和国民法典》《中华人民共和国消费者权益保护法》《北京市燃气管理条例》等国家和本市有关法律法规的规定，甲乙双方在自愿、公平和诚信的基础上，订立本合同。</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用气地点（地点填写到区、街乡镇，楼门牌号或农村的院落号）</w:t>
      </w:r>
      <w:r>
        <w:rPr>
          <w:rFonts w:ascii="宋体" w:eastAsia="宋体" w:hAnsi="宋体" w:cs="宋体"/>
        </w:rPr>
        <w:t>：</w:t>
      </w:r>
      <w:r>
        <w:rPr>
          <w:rFonts w:ascii="宋体" w:eastAsia="宋体" w:hAnsi="宋体" w:cs="宋体"/>
          <w:sz w:val="22"/>
          <w:szCs w:val="22"/>
          <w:u w:val="single"/>
        </w:rPr>
        <w:t xml:space="preserve">                             </w:t>
      </w:r>
      <w:r>
        <w:rPr>
          <w:rFonts w:ascii="宋体" w:eastAsia="宋体" w:hAnsi="宋体" w:cs="宋体"/>
          <w:u w:val="single"/>
        </w:rPr>
        <w:t xml:space="preserve">                                                                                                </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用气设备名称</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97"/>
        <w:gridCol w:w="2207"/>
        <w:gridCol w:w="1297"/>
        <w:gridCol w:w="1904"/>
        <w:gridCol w:w="190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安装单位</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安装时间</w:t>
            </w:r>
          </w:p>
        </w:tc>
      </w:tr>
      <w:tr>
        <w:tblPrEx>
          <w:tblW w:w="5000" w:type="pct"/>
          <w:jc w:val="center"/>
          <w:tblCellMar>
            <w:top w:w="0" w:type="dxa"/>
            <w:left w:w="0" w:type="dxa"/>
            <w:bottom w:w="0" w:type="dxa"/>
            <w:right w:w="0" w:type="dxa"/>
          </w:tblCellMar>
        </w:tblPrEx>
        <w:trPr>
          <w:trHeight w:val="47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7"/>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28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气瓶及押金</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甲方须使用乙方提供的</w:t>
      </w:r>
      <w:r>
        <w:rPr>
          <w:rFonts w:ascii="宋体" w:eastAsia="宋体" w:hAnsi="宋体" w:cs="宋体"/>
          <w:sz w:val="22"/>
          <w:szCs w:val="22"/>
          <w:u w:val="single"/>
        </w:rPr>
        <w:t xml:space="preserve">      </w:t>
      </w:r>
      <w:r>
        <w:rPr>
          <w:rFonts w:ascii="宋体" w:eastAsia="宋体" w:hAnsi="宋体" w:cs="宋体"/>
          <w:sz w:val="22"/>
          <w:szCs w:val="22"/>
        </w:rPr>
        <w:t>公斤（净含量）气瓶，乙方向甲方提供的气瓶应符合国家和本市气瓶安全技术规范要求，且在检验周期内。气瓶须纳入北京市统一的瓶装液化气管理信息化系统。乙方负责气瓶日常维护、定期检验及超期报废工作。</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甲方须向乙方支付气瓶押金，每瓶</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元。乙方为甲方免费办理购气卡，并实行信息化管理；甲方不再用气时，应携带气瓶、购气卡、本合同原件</w:t>
      </w:r>
      <w:r>
        <w:rPr>
          <w:rFonts w:ascii="宋体" w:eastAsia="宋体" w:hAnsi="宋体" w:cs="宋体"/>
          <w:sz w:val="22"/>
          <w:szCs w:val="22"/>
        </w:rPr>
        <w:t>和气瓶押金凭证</w:t>
      </w:r>
      <w:r>
        <w:rPr>
          <w:rFonts w:ascii="宋体" w:eastAsia="宋体" w:hAnsi="宋体" w:cs="宋体"/>
          <w:sz w:val="22"/>
          <w:szCs w:val="22"/>
        </w:rPr>
        <w:t>，到乙方供气站点办理销户手续，乙方退还气瓶押金。甲方丢失购气卡后缴纳工本费</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元，乙方予以补办。</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气体质量、供气价格</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1.气体质量</w:t>
      </w:r>
      <w:r>
        <w:rPr>
          <w:rFonts w:ascii="宋体" w:eastAsia="宋体" w:hAnsi="宋体" w:cs="宋体"/>
          <w:sz w:val="22"/>
          <w:szCs w:val="22"/>
        </w:rPr>
        <w:t xml:space="preserve">  </w:t>
      </w:r>
      <w:r>
        <w:rPr>
          <w:rFonts w:ascii="宋体" w:eastAsia="宋体" w:hAnsi="宋体" w:cs="宋体"/>
          <w:sz w:val="22"/>
          <w:szCs w:val="22"/>
        </w:rPr>
        <w:t>乙方供应的液化石油气组分、热值和充装量须符合国家和本市相关标准要求。</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2.本合同签订时供气价格为</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元，遇本市政策调整，按调整后政策执行。</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户内燃气安全防护装置安装情况</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□液化气泄漏报警器</w:t>
      </w:r>
      <w:r>
        <w:rPr>
          <w:rFonts w:ascii="宋体" w:eastAsia="宋体" w:hAnsi="宋体" w:cs="宋体"/>
          <w:sz w:val="22"/>
          <w:szCs w:val="22"/>
        </w:rPr>
        <w:t xml:space="preserve">      </w:t>
      </w:r>
      <w:r>
        <w:rPr>
          <w:rFonts w:ascii="宋体" w:eastAsia="宋体" w:hAnsi="宋体" w:cs="宋体"/>
          <w:sz w:val="22"/>
          <w:szCs w:val="22"/>
        </w:rPr>
        <w:t>□安全型气瓶调压器</w:t>
      </w:r>
      <w:r>
        <w:rPr>
          <w:rFonts w:ascii="宋体" w:eastAsia="宋体" w:hAnsi="宋体" w:cs="宋体"/>
          <w:sz w:val="22"/>
          <w:szCs w:val="22"/>
        </w:rPr>
        <w:t xml:space="preserve">    </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□长寿命灶具连接管</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其他约定 </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1.本合同一式两份，甲乙双方各执一份，自甲方签字及乙方加盖公章之日起长期有效。</w:t>
      </w:r>
    </w:p>
    <w:p>
      <w:pPr>
        <w:widowControl w:val="0"/>
        <w:spacing w:before="0" w:after="0" w:line="280" w:lineRule="atLeast"/>
        <w:ind w:firstLine="440"/>
        <w:jc w:val="both"/>
        <w:rPr>
          <w:rFonts w:ascii="Times New Roman" w:eastAsia="Times New Roman" w:hAnsi="Times New Roman" w:cs="Times New Roman"/>
        </w:rPr>
      </w:pPr>
      <w:r>
        <w:rPr>
          <w:rFonts w:ascii="宋体" w:eastAsia="宋体" w:hAnsi="宋体" w:cs="宋体"/>
          <w:sz w:val="22"/>
          <w:szCs w:val="22"/>
        </w:rPr>
        <w:t>2.本合同项下发生的争议，由双方协商解决，也可以向属地消费者协会或其他人民调解组织申请调解；协商不成的，向</w:t>
      </w:r>
      <w:r>
        <w:rPr>
          <w:rFonts w:ascii="宋体" w:eastAsia="宋体" w:hAnsi="宋体" w:cs="宋体"/>
          <w:sz w:val="22"/>
          <w:szCs w:val="22"/>
          <w:u w:val="single"/>
        </w:rPr>
        <w:t xml:space="preserve">       </w:t>
      </w:r>
      <w:r>
        <w:rPr>
          <w:rFonts w:ascii="宋体" w:eastAsia="宋体" w:hAnsi="宋体" w:cs="宋体"/>
          <w:sz w:val="22"/>
          <w:szCs w:val="22"/>
        </w:rPr>
        <w:t>人民法院提起诉讼或根据双方另行达成的仲裁协议申请仲裁。</w:t>
      </w:r>
    </w:p>
    <w:p>
      <w:pPr>
        <w:widowControl w:val="0"/>
        <w:spacing w:before="0" w:after="0" w:line="260" w:lineRule="atLeast"/>
        <w:ind w:firstLine="440"/>
        <w:rPr>
          <w:rFonts w:ascii="Times New Roman" w:eastAsia="Times New Roman" w:hAnsi="Times New Roman" w:cs="Times New Roman"/>
        </w:rPr>
      </w:pPr>
    </w:p>
    <w:p>
      <w:pPr>
        <w:widowControl w:val="0"/>
        <w:spacing w:before="0" w:after="0" w:line="260" w:lineRule="atLeast"/>
        <w:ind w:firstLine="440"/>
        <w:rPr>
          <w:rFonts w:ascii="Times New Roman" w:eastAsia="Times New Roman" w:hAnsi="Times New Roman" w:cs="Times New Roman"/>
        </w:rPr>
      </w:pPr>
      <w:r>
        <w:rPr>
          <w:rFonts w:ascii="宋体" w:eastAsia="宋体" w:hAnsi="宋体" w:cs="宋体"/>
          <w:b/>
          <w:bCs/>
          <w:sz w:val="22"/>
          <w:szCs w:val="22"/>
          <w:u w:val="single"/>
        </w:rPr>
        <w:t>请用气人仔细阅读通用条款及供气人提供的安全用气须知，再行签署本合同。</w:t>
      </w:r>
    </w:p>
    <w:p>
      <w:pPr>
        <w:spacing w:before="0" w:after="0" w:line="260" w:lineRule="atLeast"/>
        <w:ind w:firstLine="440"/>
        <w:jc w:val="both"/>
        <w:rPr>
          <w:rFonts w:ascii="Times New Roman" w:eastAsia="Times New Roman" w:hAnsi="Times New Roman" w:cs="Times New Roman"/>
        </w:rPr>
      </w:pPr>
    </w:p>
    <w:p>
      <w:pPr>
        <w:spacing w:before="0" w:after="0" w:line="260" w:lineRule="atLeast"/>
        <w:jc w:val="both"/>
        <w:rPr>
          <w:rFonts w:ascii="Times New Roman" w:eastAsia="Times New Roman" w:hAnsi="Times New Roman" w:cs="Times New Roman"/>
        </w:rPr>
      </w:pPr>
      <w:r>
        <w:rPr>
          <w:rFonts w:ascii="宋体" w:eastAsia="宋体" w:hAnsi="宋体" w:cs="宋体"/>
          <w:sz w:val="22"/>
          <w:szCs w:val="22"/>
        </w:rPr>
        <w:t>用气人（甲方）：</w:t>
      </w:r>
      <w:r>
        <w:rPr>
          <w:rFonts w:ascii="宋体" w:eastAsia="宋体" w:hAnsi="宋体" w:cs="宋体"/>
          <w:sz w:val="22"/>
          <w:szCs w:val="22"/>
        </w:rPr>
        <w:t xml:space="preserve">                             </w:t>
      </w:r>
      <w:r>
        <w:rPr>
          <w:rFonts w:ascii="宋体" w:eastAsia="宋体" w:hAnsi="宋体" w:cs="宋体"/>
          <w:sz w:val="22"/>
          <w:szCs w:val="22"/>
        </w:rPr>
        <w:t>供气人（乙方盖章）：</w:t>
      </w:r>
    </w:p>
    <w:tbl>
      <w:tblPr>
        <w:tblW w:w="5000" w:type="pct"/>
        <w:jc w:val="center"/>
        <w:tblBorders>
          <w:top w:val="single" w:sz="6" w:space="0" w:color="FFFFFF"/>
          <w:left w:val="single" w:sz="6" w:space="0" w:color="FFFFFF"/>
          <w:bottom w:val="single" w:sz="6" w:space="0" w:color="FFFFFF"/>
          <w:right w:val="single" w:sz="6" w:space="0" w:color="FFFFFF"/>
        </w:tblBorders>
        <w:tblCellMar>
          <w:top w:w="0" w:type="dxa"/>
          <w:left w:w="0" w:type="dxa"/>
          <w:bottom w:w="0" w:type="dxa"/>
          <w:right w:w="0" w:type="dxa"/>
        </w:tblCellMar>
      </w:tblPr>
      <w:tblGrid>
        <w:gridCol w:w="4644"/>
        <w:gridCol w:w="3966"/>
      </w:tblGrid>
      <w:tr>
        <w:tblPrEx>
          <w:tblW w:w="5000" w:type="pct"/>
          <w:jc w:val="center"/>
          <w:tblBorders>
            <w:top w:val="single" w:sz="6" w:space="0" w:color="FFFFFF"/>
            <w:left w:val="single" w:sz="6" w:space="0" w:color="FFFFFF"/>
            <w:bottom w:val="single" w:sz="6" w:space="0" w:color="FFFFFF"/>
            <w:right w:val="single" w:sz="6" w:space="0" w:color="FFFFFF"/>
          </w:tblBorders>
          <w:tblCellMar>
            <w:top w:w="0" w:type="dxa"/>
            <w:left w:w="0" w:type="dxa"/>
            <w:bottom w:w="0" w:type="dxa"/>
            <w:right w:w="0" w:type="dxa"/>
          </w:tblCellMar>
        </w:tblPrEx>
        <w:trPr>
          <w:trHeight w:val="324"/>
          <w:jc w:val="center"/>
        </w:trPr>
        <w:tc>
          <w:tcPr>
            <w:tcBorders>
              <w:bottom w:val="single" w:sz="6" w:space="0" w:color="FFFFFF"/>
              <w:right w:val="single" w:sz="6" w:space="0" w:color="FFFFFF"/>
            </w:tcBorders>
            <w:noWrap w:val="0"/>
            <w:tcMar>
              <w:top w:w="8" w:type="dxa"/>
              <w:left w:w="108" w:type="dxa"/>
              <w:bottom w:w="8" w:type="dxa"/>
              <w:right w:w="108" w:type="dxa"/>
            </w:tcMar>
            <w:vAlign w:val="top"/>
            <w:hideMark/>
          </w:tcPr>
          <w:p>
            <w:pPr>
              <w:spacing w:before="0" w:after="0" w:line="260" w:lineRule="atLeast"/>
              <w:ind w:firstLine="5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公民身份号码：</w:t>
            </w:r>
            <w:r>
              <w:rPr>
                <w:rFonts w:ascii="宋体" w:eastAsia="宋体" w:hAnsi="宋体" w:cs="宋体"/>
                <w:b w:val="0"/>
                <w:bCs w:val="0"/>
                <w:i w:val="0"/>
                <w:iCs w:val="0"/>
                <w:smallCaps w:val="0"/>
                <w:color w:val="000000"/>
                <w:sz w:val="22"/>
                <w:szCs w:val="22"/>
              </w:rPr>
              <w:t xml:space="preserve">  </w:t>
            </w:r>
          </w:p>
        </w:tc>
        <w:tc>
          <w:tcPr>
            <w:tcBorders>
              <w:left w:val="single" w:sz="6" w:space="0" w:color="FFFFFF"/>
              <w:bottom w:val="single" w:sz="6" w:space="0" w:color="FFFFFF"/>
            </w:tcBorders>
            <w:noWrap w:val="0"/>
            <w:tcMar>
              <w:top w:w="8" w:type="dxa"/>
              <w:left w:w="108" w:type="dxa"/>
              <w:bottom w:w="8" w:type="dxa"/>
              <w:right w:w="108" w:type="dxa"/>
            </w:tcMar>
            <w:vAlign w:val="top"/>
            <w:hideMark/>
          </w:tcPr>
          <w:p>
            <w:pPr>
              <w:spacing w:before="0" w:after="0" w:line="26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统一社会信用代码：</w:t>
            </w:r>
          </w:p>
        </w:tc>
      </w:tr>
      <w:tr>
        <w:tblPrEx>
          <w:tblW w:w="5000" w:type="pct"/>
          <w:jc w:val="center"/>
          <w:tblCellMar>
            <w:top w:w="0" w:type="dxa"/>
            <w:left w:w="0" w:type="dxa"/>
            <w:bottom w:w="0" w:type="dxa"/>
            <w:right w:w="0" w:type="dxa"/>
          </w:tblCellMar>
        </w:tblPrEx>
        <w:trPr>
          <w:trHeight w:val="324"/>
          <w:jc w:val="center"/>
        </w:trPr>
        <w:tc>
          <w:tcPr>
            <w:tcBorders>
              <w:top w:val="single" w:sz="6" w:space="0" w:color="FFFFFF"/>
              <w:bottom w:val="single" w:sz="6" w:space="0" w:color="FFFFFF"/>
              <w:right w:val="single" w:sz="6" w:space="0" w:color="FFFFFF"/>
            </w:tcBorders>
            <w:noWrap w:val="0"/>
            <w:tcMar>
              <w:top w:w="8" w:type="dxa"/>
              <w:left w:w="108" w:type="dxa"/>
              <w:bottom w:w="8" w:type="dxa"/>
              <w:right w:w="108" w:type="dxa"/>
            </w:tcMar>
            <w:vAlign w:val="top"/>
            <w:hideMark/>
          </w:tcPr>
          <w:p>
            <w:pPr>
              <w:spacing w:before="0" w:after="0" w:line="260" w:lineRule="atLeast"/>
              <w:ind w:firstLine="5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FFFFFF"/>
              <w:left w:val="single" w:sz="6" w:space="0" w:color="FFFFFF"/>
              <w:bottom w:val="single" w:sz="6" w:space="0" w:color="FFFFFF"/>
            </w:tcBorders>
            <w:noWrap w:val="0"/>
            <w:tcMar>
              <w:top w:w="8" w:type="dxa"/>
              <w:left w:w="108" w:type="dxa"/>
              <w:bottom w:w="8" w:type="dxa"/>
              <w:right w:w="108" w:type="dxa"/>
            </w:tcMar>
            <w:vAlign w:val="top"/>
            <w:hideMark/>
          </w:tcPr>
          <w:p>
            <w:pPr>
              <w:spacing w:before="0" w:after="0" w:line="26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服务电话：</w:t>
            </w:r>
          </w:p>
        </w:tc>
      </w:tr>
      <w:tr>
        <w:tblPrEx>
          <w:tblW w:w="5000" w:type="pct"/>
          <w:jc w:val="center"/>
          <w:tblCellMar>
            <w:top w:w="0" w:type="dxa"/>
            <w:left w:w="0" w:type="dxa"/>
            <w:bottom w:w="0" w:type="dxa"/>
            <w:right w:w="0" w:type="dxa"/>
          </w:tblCellMar>
        </w:tblPrEx>
        <w:trPr>
          <w:jc w:val="center"/>
        </w:trPr>
        <w:tc>
          <w:tcPr>
            <w:tcBorders>
              <w:top w:val="single" w:sz="6" w:space="0" w:color="FFFFFF"/>
              <w:bottom w:val="single" w:sz="6" w:space="0" w:color="FFFFFF"/>
              <w:right w:val="single" w:sz="6" w:space="0" w:color="FFFFFF"/>
            </w:tcBorders>
            <w:noWrap w:val="0"/>
            <w:tcMar>
              <w:top w:w="8" w:type="dxa"/>
              <w:left w:w="108" w:type="dxa"/>
              <w:bottom w:w="8" w:type="dxa"/>
              <w:right w:w="108" w:type="dxa"/>
            </w:tcMar>
            <w:vAlign w:val="top"/>
            <w:hideMark/>
          </w:tcPr>
          <w:p>
            <w:pPr>
              <w:spacing w:before="0" w:after="0" w:line="260" w:lineRule="atLeast"/>
              <w:ind w:firstLine="5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应急联系人姓名及电话：</w:t>
            </w:r>
          </w:p>
        </w:tc>
        <w:tc>
          <w:tcPr>
            <w:tcBorders>
              <w:top w:val="single" w:sz="6" w:space="0" w:color="FFFFFF"/>
              <w:left w:val="single" w:sz="6" w:space="0" w:color="FFFFFF"/>
              <w:bottom w:val="single" w:sz="6" w:space="0" w:color="FFFFFF"/>
            </w:tcBorders>
            <w:noWrap w:val="0"/>
            <w:tcMar>
              <w:top w:w="8" w:type="dxa"/>
              <w:left w:w="108" w:type="dxa"/>
              <w:bottom w:w="8" w:type="dxa"/>
              <w:right w:w="108" w:type="dxa"/>
            </w:tcMar>
            <w:vAlign w:val="top"/>
            <w:hideMark/>
          </w:tcPr>
          <w:p>
            <w:pPr>
              <w:spacing w:before="0" w:after="0" w:line="26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24小时报修电话：</w:t>
            </w:r>
          </w:p>
        </w:tc>
      </w:tr>
      <w:tr>
        <w:tblPrEx>
          <w:tblW w:w="5000" w:type="pct"/>
          <w:jc w:val="center"/>
          <w:tblCellMar>
            <w:top w:w="0" w:type="dxa"/>
            <w:left w:w="0" w:type="dxa"/>
            <w:bottom w:w="0" w:type="dxa"/>
            <w:right w:w="0" w:type="dxa"/>
          </w:tblCellMar>
        </w:tblPrEx>
        <w:trPr>
          <w:jc w:val="center"/>
        </w:trPr>
        <w:tc>
          <w:tcPr>
            <w:tcBorders>
              <w:top w:val="single" w:sz="6" w:space="0" w:color="FFFFFF"/>
              <w:right w:val="single" w:sz="6" w:space="0" w:color="FFFFFF"/>
            </w:tcBorders>
            <w:noWrap w:val="0"/>
            <w:tcMar>
              <w:top w:w="8" w:type="dxa"/>
              <w:left w:w="108" w:type="dxa"/>
              <w:bottom w:w="8" w:type="dxa"/>
              <w:right w:w="108" w:type="dxa"/>
            </w:tcMar>
            <w:vAlign w:val="top"/>
            <w:hideMark/>
          </w:tcPr>
          <w:p>
            <w:pPr>
              <w:spacing w:before="0" w:after="0" w:line="260" w:lineRule="atLeast"/>
              <w:ind w:firstLine="50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电子邮件：</w:t>
            </w:r>
          </w:p>
        </w:tc>
        <w:tc>
          <w:tcPr>
            <w:tcBorders>
              <w:top w:val="single" w:sz="6" w:space="0" w:color="FFFFFF"/>
              <w:left w:val="single" w:sz="6" w:space="0" w:color="FFFFFF"/>
            </w:tcBorders>
            <w:noWrap w:val="0"/>
            <w:tcMar>
              <w:top w:w="8" w:type="dxa"/>
              <w:left w:w="108" w:type="dxa"/>
              <w:bottom w:w="8" w:type="dxa"/>
              <w:right w:w="108" w:type="dxa"/>
            </w:tcMar>
            <w:vAlign w:val="top"/>
            <w:hideMark/>
          </w:tcPr>
          <w:p>
            <w:pPr>
              <w:spacing w:before="0" w:after="0" w:line="26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电子邮件：</w:t>
            </w:r>
            <w:r>
              <w:rPr>
                <w:rFonts w:ascii="宋体" w:eastAsia="宋体" w:hAnsi="宋体" w:cs="宋体"/>
                <w:b w:val="0"/>
                <w:bCs w:val="0"/>
                <w:i w:val="0"/>
                <w:iCs w:val="0"/>
                <w:smallCaps w:val="0"/>
                <w:color w:val="000000"/>
                <w:sz w:val="22"/>
                <w:szCs w:val="22"/>
              </w:rPr>
              <w:t xml:space="preserve">     </w:t>
            </w:r>
          </w:p>
        </w:tc>
      </w:tr>
    </w:tbl>
    <w:p>
      <w:pPr>
        <w:spacing w:before="0" w:after="0" w:line="260" w:lineRule="atLeast"/>
        <w:ind w:firstLine="440"/>
        <w:jc w:val="both"/>
        <w:rPr>
          <w:rFonts w:ascii="Times New Roman" w:eastAsia="Times New Roman" w:hAnsi="Times New Roman" w:cs="Times New Roman"/>
        </w:rPr>
      </w:pPr>
    </w:p>
    <w:p>
      <w:pPr>
        <w:spacing w:before="0" w:after="0" w:line="26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通 用 条 款</w:t>
      </w:r>
    </w:p>
    <w:p>
      <w:pPr>
        <w:widowControl w:val="0"/>
        <w:spacing w:before="0" w:after="0" w:line="300" w:lineRule="atLeast"/>
        <w:ind w:firstLine="480"/>
        <w:jc w:val="both"/>
        <w:rPr>
          <w:rFonts w:ascii="Times New Roman" w:eastAsia="Times New Roman" w:hAnsi="Times New Roman" w:cs="Times New Roman"/>
        </w:rPr>
      </w:pPr>
    </w:p>
    <w:p>
      <w:pPr>
        <w:widowControl w:val="0"/>
        <w:spacing w:before="0" w:after="0" w:line="300" w:lineRule="atLeast"/>
        <w:ind w:firstLine="480"/>
        <w:jc w:val="both"/>
        <w:rPr>
          <w:rFonts w:ascii="Times New Roman" w:eastAsia="Times New Roman" w:hAnsi="Times New Roman" w:cs="Times New Roman"/>
        </w:rPr>
      </w:pPr>
      <w:r>
        <w:rPr>
          <w:rFonts w:ascii="宋体" w:eastAsia="宋体" w:hAnsi="宋体" w:cs="宋体"/>
        </w:rPr>
        <w:t>一、安全和服务责任</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1.甲方应了解液化气安全使用常识，对室(户)内用气场所、燃气燃烧器具进行日常检查，配合乙方的入户安全检查，及时整改安全用气隐患。</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2.甲方发现室（户）内燃气泄漏等故障时先关闭气瓶角阀，并向乙方报修；乙方提供24小时应急服务。</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3.甲方购气时，可以自行运送或者由乙方直接配送，乙方应每年对甲方室（户）内用气场所、燃气燃烧器具进行免费入户安全检查；选择直接配送方式的，乙方应当于每次配送上门时对居民用户的用气场所、燃气燃烧器具进行安全检查。</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4.甲方至乙方换气或由乙方直接配送上门时，乙方应向甲方发放安全用气须知。</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5.因甲方原因导致气瓶毁损、丢失的，乙方扣减气瓶押金；甲方需要继续用气的，须补足气瓶押金，乙方提供合格气瓶。</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6.甲方使用的气瓶在检验周期、报废期限到期前三十日的，乙方应通知甲方将气瓶送交乙方。</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7.乙方提供24小时售气服务，在售气网点和营业场所等主动向甲方公示服务质量承诺和相关收费标准。</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8.甲方至乙方购气时，乙方应登记甲方实际购气人的身份信息；乙方为甲方配送上门时，乙方应登记甲方气瓶接收人的身份信息，并实行信息化管理。</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9.乙方发现甲方用气场所、燃气燃烧器具等存在安全隐患的，应书面告知整改建议，并应甲方要求提供相应的整改服务，甲方承担相应费用。</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10.乙方可为甲方提供代办液化气综合保险业务。</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11.甲方禁止实施下列行为：</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（1）利用气瓶倒装燃气，摔、砸、滚动、倒置气瓶，加热气瓶、倾倒瓶内残液或者拆修瓶阀等附件；</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（2）发现燃气设施或者燃气燃烧器具异常、燃气泄漏时，在现场使用明火、开关电器或者拨打电话；</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（3）无正当理由拒绝入户安全检查，或者拒不整改用气安全隐患；</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（4）安装、使用不带熄火保护功能或使用期限超过8年的燃气燃烧器具；</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（5）严禁在同一房间内同时使用液化气和其他明火（如煤火、柴火等）；</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（6）禁止在地下、半地下空间内和有人员居住的房间内使用液化石油气。</w:t>
      </w:r>
    </w:p>
    <w:p>
      <w:pPr>
        <w:widowControl w:val="0"/>
        <w:spacing w:before="0" w:after="0" w:line="300" w:lineRule="atLeast"/>
        <w:ind w:firstLine="480"/>
        <w:jc w:val="both"/>
        <w:rPr>
          <w:rFonts w:ascii="Times New Roman" w:eastAsia="Times New Roman" w:hAnsi="Times New Roman" w:cs="Times New Roman"/>
        </w:rPr>
      </w:pPr>
      <w:r>
        <w:rPr>
          <w:rFonts w:ascii="宋体" w:eastAsia="宋体" w:hAnsi="宋体" w:cs="宋体"/>
        </w:rPr>
        <w:t>二、违约责任</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1.甲方拒绝乙方入户安全检查、拒不整改危及公共安全的燃气隐患并经劝阻无效的，乙方在履行书面告知义务后，可暂停售气。</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2.甲方违反法律法规、标准规范、安全用气须知以及本合同规定使用液化气造成事故的，由甲方承担责任；给其他方造成损失的，甲方应承担赔偿责任。</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3.乙方未按照约定周期及作业内容进行安全巡检、发现甲方用气场所和燃气燃烧器具存在安全隐患未向甲方书面告知，导致发生燃气安全事故，给甲方和其他方造成损失的，乙方应承担相应赔偿责任。</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4.因乙方提供的燃气不符合国家标准，导致甲方在用气过程中产生安全事故，造成人身伤害或死亡的，由乙方承担全部责任，并赔偿相应损失。</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5.甲方向本合同约定以外的单位或个人购买液化石油气的，本合同自动解除，乙方同时向甲方所在的街道乡镇报告，产生的后果由甲方承担。</w:t>
      </w:r>
    </w:p>
    <w:p>
      <w:pPr>
        <w:widowControl w:val="0"/>
        <w:spacing w:before="0" w:after="0" w:line="300" w:lineRule="atLeast"/>
        <w:ind w:firstLine="480"/>
        <w:jc w:val="both"/>
        <w:rPr>
          <w:rFonts w:ascii="Times New Roman" w:eastAsia="Times New Roman" w:hAnsi="Times New Roman" w:cs="Times New Roman"/>
        </w:rPr>
      </w:pPr>
      <w:r>
        <w:rPr>
          <w:rFonts w:ascii="宋体" w:eastAsia="宋体" w:hAnsi="宋体" w:cs="宋体"/>
        </w:rPr>
        <w:t>三、合同解除</w:t>
      </w:r>
    </w:p>
    <w:p>
      <w:pPr>
        <w:widowControl w:val="0"/>
        <w:spacing w:before="0" w:after="0" w:line="300" w:lineRule="atLeast"/>
        <w:ind w:firstLine="440"/>
        <w:jc w:val="both"/>
        <w:rPr>
          <w:rFonts w:ascii="Times New Roman" w:eastAsia="Times New Roman" w:hAnsi="Times New Roman" w:cs="Times New Roman"/>
        </w:rPr>
      </w:pPr>
      <w:r>
        <w:rPr>
          <w:rFonts w:ascii="宋体" w:eastAsia="宋体" w:hAnsi="宋体" w:cs="宋体"/>
          <w:sz w:val="22"/>
          <w:szCs w:val="22"/>
        </w:rPr>
        <w:t>履行期内甲方可随时要求终止合同。</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