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44"/>
          <w:szCs w:val="44"/>
        </w:rPr>
      </w:pPr>
      <w:r>
        <w:rPr>
          <w:rFonts w:ascii="宋体" w:eastAsia="宋体" w:hAnsi="宋体" w:cs="宋体"/>
          <w:sz w:val="44"/>
          <w:szCs w:val="44"/>
        </w:rPr>
        <w:t>CH-201</w:t>
      </w:r>
      <w:r>
        <w:rPr>
          <w:rFonts w:ascii="宋体" w:eastAsia="宋体" w:hAnsi="宋体" w:cs="宋体"/>
          <w:sz w:val="44"/>
          <w:szCs w:val="44"/>
        </w:rPr>
        <w:t>3</w:t>
      </w:r>
      <w:r>
        <w:rPr>
          <w:rFonts w:ascii="宋体" w:eastAsia="宋体" w:hAnsi="宋体" w:cs="宋体"/>
          <w:sz w:val="44"/>
          <w:szCs w:val="44"/>
        </w:rPr>
        <w:t>-0</w:t>
      </w:r>
      <w:r>
        <w:rPr>
          <w:rFonts w:ascii="宋体" w:eastAsia="宋体" w:hAnsi="宋体" w:cs="宋体"/>
          <w:sz w:val="44"/>
          <w:szCs w:val="44"/>
        </w:rPr>
        <w:t>1</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840" w:lineRule="atLeast"/>
        <w:jc w:val="center"/>
        <w:rPr>
          <w:rFonts w:ascii="Times New Roman" w:eastAsia="Times New Roman" w:hAnsi="Times New Roman" w:cs="Times New Roman"/>
        </w:rPr>
      </w:pPr>
      <w:r>
        <w:rPr>
          <w:rFonts w:ascii="宋体" w:eastAsia="宋体" w:hAnsi="宋体" w:cs="宋体"/>
          <w:b/>
          <w:bCs/>
          <w:sz w:val="52"/>
          <w:szCs w:val="52"/>
        </w:rPr>
        <w:t>四川省居民生活供用电合同</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r>
        <w:rPr>
          <w:rFonts w:ascii="宋体" w:eastAsia="宋体" w:hAnsi="宋体" w:cs="宋体"/>
          <w:sz w:val="44"/>
          <w:szCs w:val="44"/>
        </w:rPr>
        <w:t>（示范文本）</w:t>
      </w: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center"/>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jc w:val="both"/>
        <w:rPr>
          <w:rFonts w:ascii="Times New Roman" w:eastAsia="Times New Roman" w:hAnsi="Times New Roman" w:cs="Times New Roman"/>
        </w:rPr>
      </w:pPr>
    </w:p>
    <w:p>
      <w:pPr>
        <w:widowControl w:val="0"/>
        <w:spacing w:before="0" w:after="0" w:line="520" w:lineRule="atLeast"/>
        <w:ind w:firstLine="870"/>
        <w:jc w:val="both"/>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4000500</wp:posOffset>
            </wp:positionH>
            <wp:positionV relativeFrom="paragraph">
              <wp:posOffset>69850</wp:posOffset>
            </wp:positionV>
            <wp:extent cx="1047750" cy="5905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047750" cy="590550"/>
                    </a:xfrm>
                    <a:prstGeom prst="rect">
                      <a:avLst/>
                    </a:prstGeom>
                  </pic:spPr>
                </pic:pic>
              </a:graphicData>
            </a:graphic>
          </wp:anchor>
        </w:drawing>
      </w:r>
      <w:r>
        <w:rPr>
          <w:rFonts w:ascii="宋体" w:eastAsia="宋体" w:hAnsi="宋体" w:cs="宋体"/>
          <w:spacing w:val="38"/>
          <w:sz w:val="44"/>
          <w:szCs w:val="44"/>
        </w:rPr>
        <w:t>四川省工商行政管理局</w:t>
      </w:r>
    </w:p>
    <w:p>
      <w:pPr>
        <w:widowControl w:val="0"/>
        <w:spacing w:before="0" w:after="0" w:line="520" w:lineRule="atLeast"/>
        <w:ind w:firstLine="870"/>
        <w:jc w:val="both"/>
        <w:rPr>
          <w:rFonts w:ascii="Times New Roman" w:eastAsia="Times New Roman" w:hAnsi="Times New Roman" w:cs="Times New Roman"/>
        </w:rPr>
      </w:pPr>
      <w:r>
        <w:rPr>
          <w:rFonts w:ascii="宋体" w:eastAsia="宋体" w:hAnsi="宋体" w:cs="宋体"/>
          <w:sz w:val="44"/>
          <w:szCs w:val="44"/>
        </w:rPr>
        <w:t>四川省经济和信息化委员会</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jc w:val="center"/>
        <w:rPr>
          <w:rFonts w:ascii="Times New Roman" w:eastAsia="Times New Roman" w:hAnsi="Times New Roman" w:cs="Times New Roman"/>
        </w:rPr>
      </w:pPr>
      <w:r>
        <w:rPr>
          <w:rFonts w:ascii="宋体" w:eastAsia="宋体" w:hAnsi="宋体" w:cs="宋体"/>
          <w:b/>
          <w:bCs/>
        </w:rPr>
        <w:t>提示与说明</w:t>
      </w:r>
    </w:p>
    <w:p>
      <w:pPr>
        <w:widowControl w:val="0"/>
        <w:spacing w:before="0" w:after="0" w:line="380" w:lineRule="atLeast"/>
        <w:ind w:firstLine="412"/>
        <w:jc w:val="both"/>
        <w:rPr>
          <w:rFonts w:ascii="Times New Roman" w:eastAsia="Times New Roman" w:hAnsi="Times New Roman" w:cs="Times New Roman"/>
        </w:rPr>
      </w:pPr>
    </w:p>
    <w:p>
      <w:pPr>
        <w:widowControl w:val="0"/>
        <w:spacing w:before="0" w:after="0" w:line="380" w:lineRule="atLeast"/>
        <w:ind w:firstLine="412"/>
        <w:jc w:val="both"/>
        <w:rPr>
          <w:rFonts w:ascii="Times New Roman" w:eastAsia="Times New Roman" w:hAnsi="Times New Roman" w:cs="Times New Roman"/>
        </w:rPr>
      </w:pPr>
      <w:r>
        <w:rPr>
          <w:rFonts w:ascii="宋体" w:eastAsia="宋体" w:hAnsi="宋体" w:cs="宋体"/>
          <w:sz w:val="21"/>
          <w:szCs w:val="21"/>
        </w:rPr>
        <w:t>一、为规范四川省居民生活供用电行为，根据《中华人民共和国合同法》、《中华人民共和国电力法》以及《电力供应与使用条例》等相关电力法律、法规、规章和规范性文</w:t>
      </w:r>
      <w:r>
        <w:rPr>
          <w:rFonts w:ascii="宋体" w:eastAsia="宋体" w:hAnsi="宋体" w:cs="宋体"/>
          <w:sz w:val="21"/>
          <w:szCs w:val="21"/>
        </w:rPr>
        <w:t>件</w:t>
      </w:r>
      <w:r>
        <w:rPr>
          <w:rFonts w:ascii="宋体" w:eastAsia="宋体" w:hAnsi="宋体" w:cs="宋体"/>
          <w:sz w:val="21"/>
          <w:szCs w:val="21"/>
        </w:rPr>
        <w:t>，四川省工商行政管理局、四川省经济和信息化委员会共同制定本合同示范文本，供居民生活供用电合同双方当事人在订立合同时使用。</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二、居民生活供用电合同双方当事人在合同订立、履行中，应当遵循</w:t>
      </w:r>
      <w:r>
        <w:rPr>
          <w:rFonts w:ascii="宋体" w:eastAsia="宋体" w:hAnsi="宋体" w:cs="宋体"/>
          <w:sz w:val="21"/>
          <w:szCs w:val="21"/>
        </w:rPr>
        <w:t>平等、自愿、公平和诚实信用的原则，相互尊重，充分协商，严格履行。</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三、使用本合同示范文本的，不得修改相关内容。参照本合同示范文本订立合同的，不得使用本合同示范文本的名义或者编号。</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使用本合同示范文本又订立补充协议，补充协议与本合同示范文本的内容相抵触的，不得使用本合同示范文本的名义或者编号。</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四、本合同示范文本由通用条款和专用条款组成。通用条款是指不能或者不必协商的条款，专用条款是指当事人在订立合同时应当或者可以协商的选择性、填充性条款。</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选择性条款中在选项前标示有</w:t>
      </w:r>
      <w:r>
        <w:rPr>
          <w:rFonts w:ascii="宋体" w:eastAsia="宋体" w:hAnsi="宋体" w:cs="宋体"/>
          <w:sz w:val="21"/>
          <w:szCs w:val="21"/>
        </w:rPr>
        <w:t>“□”</w:t>
      </w:r>
      <w:r>
        <w:rPr>
          <w:rFonts w:ascii="宋体" w:eastAsia="宋体" w:hAnsi="宋体" w:cs="宋体"/>
          <w:sz w:val="21"/>
          <w:szCs w:val="21"/>
        </w:rPr>
        <w:t>符号，选择时在该符号内划</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表示肯定或者划</w:t>
      </w:r>
      <w:r>
        <w:rPr>
          <w:rFonts w:ascii="宋体" w:eastAsia="宋体" w:hAnsi="宋体" w:cs="宋体"/>
          <w:sz w:val="21"/>
          <w:szCs w:val="21"/>
        </w:rPr>
        <w:t>“×”</w:t>
      </w:r>
      <w:r>
        <w:rPr>
          <w:rFonts w:ascii="宋体" w:eastAsia="宋体" w:hAnsi="宋体" w:cs="宋体"/>
          <w:sz w:val="21"/>
          <w:szCs w:val="21"/>
        </w:rPr>
        <w:t>表示否定。选择性条款包含单项选择和多项选择。填充性条款中标示有下划线，双方将协商达成的一致意见填入，无意见的划</w:t>
      </w:r>
      <w:r>
        <w:rPr>
          <w:rFonts w:ascii="宋体" w:eastAsia="宋体" w:hAnsi="宋体" w:cs="宋体"/>
          <w:sz w:val="21"/>
          <w:szCs w:val="21"/>
        </w:rPr>
        <w:t>“×”</w:t>
      </w:r>
      <w:r>
        <w:rPr>
          <w:rFonts w:ascii="宋体" w:eastAsia="宋体" w:hAnsi="宋体" w:cs="宋体"/>
          <w:sz w:val="21"/>
          <w:szCs w:val="21"/>
        </w:rPr>
        <w:t>、或者</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w:t>
      </w:r>
      <w:r>
        <w:rPr>
          <w:rFonts w:ascii="宋体" w:eastAsia="宋体" w:hAnsi="宋体" w:cs="宋体"/>
          <w:sz w:val="21"/>
          <w:szCs w:val="21"/>
        </w:rPr>
        <w:t>表示删除该填充性条款</w:t>
      </w:r>
      <w:r>
        <w:rPr>
          <w:rFonts w:ascii="宋体" w:eastAsia="宋体" w:hAnsi="宋体" w:cs="宋体"/>
          <w:sz w:val="21"/>
          <w:szCs w:val="21"/>
        </w:rPr>
        <w:t>。</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五、供电人预先选择或者填充，在订立合同时未与用电人协商的条款，视为格式条款。供电人不得利用格式条款对用电人做出不公平、不合理的规定，并且应当自觉接受政府有关部门、行业组织的监督。</w:t>
      </w:r>
    </w:p>
    <w:p>
      <w:pPr>
        <w:widowControl w:val="0"/>
        <w:spacing w:before="0" w:after="0" w:line="380" w:lineRule="atLeast"/>
        <w:ind w:firstLine="420"/>
        <w:jc w:val="both"/>
        <w:rPr>
          <w:rFonts w:ascii="Times New Roman" w:eastAsia="Times New Roman" w:hAnsi="Times New Roman" w:cs="Times New Roman"/>
        </w:rPr>
      </w:pPr>
      <w:r>
        <w:rPr>
          <w:rFonts w:ascii="宋体" w:eastAsia="宋体" w:hAnsi="宋体" w:cs="宋体"/>
          <w:b/>
          <w:bCs/>
          <w:sz w:val="21"/>
          <w:szCs w:val="21"/>
        </w:rPr>
        <w:t xml:space="preserve">六、供电人特别提示： </w:t>
      </w:r>
    </w:p>
    <w:p>
      <w:pPr>
        <w:widowControl w:val="0"/>
        <w:spacing w:before="0" w:after="0" w:line="380" w:lineRule="atLeast"/>
        <w:ind w:firstLine="420"/>
        <w:jc w:val="both"/>
        <w:rPr>
          <w:rFonts w:ascii="Times New Roman" w:eastAsia="Times New Roman" w:hAnsi="Times New Roman" w:cs="Times New Roman"/>
        </w:rPr>
      </w:pPr>
      <w:r>
        <w:rPr>
          <w:rFonts w:ascii="宋体" w:eastAsia="宋体" w:hAnsi="宋体" w:cs="宋体"/>
          <w:sz w:val="21"/>
          <w:szCs w:val="21"/>
        </w:rPr>
        <w:t>（一）供电人安装在用电人受电点的费控智能电能表，安装时已代为用电人预存人民币五十元整的电费。用电人使用费控智能电能表后首次开卡购电时，将自动扣除该金额。用电人持充值购电卡可不定期到供电人指定的地点充值购电，并自行插卡传送到费控智能电能表中，即可实现充值用电。</w:t>
      </w:r>
      <w:r>
        <w:rPr>
          <w:rFonts w:ascii="宋体" w:eastAsia="宋体" w:hAnsi="宋体" w:cs="宋体"/>
          <w:sz w:val="21"/>
          <w:szCs w:val="21"/>
        </w:rPr>
        <w:t xml:space="preserve">  </w:t>
      </w:r>
    </w:p>
    <w:p>
      <w:pPr>
        <w:widowControl w:val="0"/>
        <w:spacing w:before="0" w:after="0" w:line="380" w:lineRule="atLeast"/>
        <w:ind w:firstLine="420"/>
        <w:jc w:val="both"/>
        <w:rPr>
          <w:rFonts w:ascii="Times New Roman" w:eastAsia="Times New Roman" w:hAnsi="Times New Roman" w:cs="Times New Roman"/>
        </w:rPr>
      </w:pPr>
      <w:r>
        <w:rPr>
          <w:rFonts w:ascii="宋体" w:eastAsia="宋体" w:hAnsi="宋体" w:cs="宋体"/>
          <w:sz w:val="21"/>
          <w:szCs w:val="21"/>
        </w:rPr>
        <w:t>（二）费控智能电能表欠费断电提示方式有两种：（1）当充值余额不足50元时，费控智能电能表的提示灯亮或显示屏背光灯常亮，用电人应及时购电；（2）当充值余额为零时，费控智能电能表将自动中止供电，显示屏上显示数据为零及</w:t>
      </w:r>
      <w:r>
        <w:rPr>
          <w:rFonts w:ascii="宋体" w:eastAsia="宋体" w:hAnsi="宋体" w:cs="宋体"/>
          <w:sz w:val="21"/>
          <w:szCs w:val="21"/>
        </w:rPr>
        <w:t>“</w:t>
      </w:r>
      <w:r>
        <w:rPr>
          <w:rFonts w:ascii="宋体" w:eastAsia="宋体" w:hAnsi="宋体" w:cs="宋体"/>
          <w:sz w:val="21"/>
          <w:szCs w:val="21"/>
        </w:rPr>
        <w:t>请购电 拉闸</w:t>
      </w:r>
      <w:r>
        <w:rPr>
          <w:rFonts w:ascii="宋体" w:eastAsia="宋体" w:hAnsi="宋体" w:cs="宋体"/>
          <w:sz w:val="21"/>
          <w:szCs w:val="21"/>
        </w:rPr>
        <w:t>”</w:t>
      </w:r>
      <w:r>
        <w:rPr>
          <w:rFonts w:ascii="宋体" w:eastAsia="宋体" w:hAnsi="宋体" w:cs="宋体"/>
          <w:sz w:val="21"/>
          <w:szCs w:val="21"/>
        </w:rPr>
        <w:t>字样，提示灯亮或显示屏背光灯常亮。用电人将充值的充值购电卡插入费控智能电能表中，即可充值并可恢复用电。</w:t>
      </w:r>
    </w:p>
    <w:p>
      <w:pPr>
        <w:widowControl w:val="0"/>
        <w:spacing w:before="0" w:after="0" w:line="380" w:lineRule="atLeast"/>
        <w:jc w:val="both"/>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（三）供电人开设</w:t>
      </w:r>
      <w:r>
        <w:rPr>
          <w:rFonts w:ascii="宋体" w:eastAsia="宋体" w:hAnsi="宋体" w:cs="宋体"/>
          <w:sz w:val="21"/>
          <w:szCs w:val="21"/>
        </w:rPr>
        <w:t>“</w:t>
      </w:r>
      <w:r>
        <w:rPr>
          <w:rFonts w:ascii="宋体" w:eastAsia="宋体" w:hAnsi="宋体" w:cs="宋体"/>
          <w:sz w:val="21"/>
          <w:szCs w:val="21"/>
        </w:rPr>
        <w:t>95598</w:t>
      </w:r>
      <w:r>
        <w:rPr>
          <w:rFonts w:ascii="宋体" w:eastAsia="宋体" w:hAnsi="宋体" w:cs="宋体"/>
          <w:sz w:val="21"/>
          <w:szCs w:val="21"/>
        </w:rPr>
        <w:t>”</w:t>
      </w:r>
      <w:r>
        <w:rPr>
          <w:rFonts w:ascii="宋体" w:eastAsia="宋体" w:hAnsi="宋体" w:cs="宋体"/>
          <w:sz w:val="21"/>
          <w:szCs w:val="21"/>
        </w:rPr>
        <w:t>供电服务热线，为用电人提供停电信息公告、电力故障报修、服务质量投诉、用电信息查询、咨询、业务受理等服务，用电人也可到供电人所属的当地营业网点办理上述业务。</w:t>
      </w:r>
    </w:p>
    <w:p>
      <w:pPr>
        <w:widowControl w:val="0"/>
        <w:spacing w:before="0" w:after="0" w:line="380" w:lineRule="atLeast"/>
        <w:ind w:firstLine="480"/>
        <w:jc w:val="both"/>
        <w:rPr>
          <w:rFonts w:ascii="Times New Roman" w:eastAsia="Times New Roman" w:hAnsi="Times New Roman" w:cs="Times New Roman"/>
        </w:rPr>
      </w:pPr>
      <w:r>
        <w:rPr>
          <w:rFonts w:ascii="宋体" w:eastAsia="宋体" w:hAnsi="宋体" w:cs="宋体"/>
          <w:sz w:val="21"/>
          <w:szCs w:val="21"/>
        </w:rPr>
        <w:t>七、</w:t>
      </w:r>
      <w:r>
        <w:rPr>
          <w:rFonts w:ascii="宋体" w:eastAsia="宋体" w:hAnsi="宋体" w:cs="宋体"/>
          <w:sz w:val="21"/>
          <w:szCs w:val="21"/>
        </w:rPr>
        <w:t>本合同示范文本由四川省工商行政管理局与四川省经济和信息化委员会负责解释。</w:t>
      </w:r>
    </w:p>
    <w:p>
      <w:pPr>
        <w:widowControl w:val="0"/>
        <w:spacing w:before="0" w:after="0"/>
        <w:jc w:val="center"/>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rPr>
        <w:t>四川省居民生活供用电合同</w:t>
      </w:r>
    </w:p>
    <w:p>
      <w:pPr>
        <w:widowControl w:val="0"/>
        <w:spacing w:before="0" w:after="0"/>
        <w:jc w:val="center"/>
        <w:rPr>
          <w:rFonts w:ascii="Times New Roman" w:eastAsia="Times New Roman" w:hAnsi="Times New Roman" w:cs="Times New Roman"/>
          <w:sz w:val="21"/>
          <w:szCs w:val="21"/>
        </w:rPr>
      </w:pPr>
      <w:r>
        <w:rPr>
          <w:rFonts w:ascii="宋体" w:eastAsia="宋体" w:hAnsi="宋体" w:cs="宋体"/>
          <w:sz w:val="21"/>
          <w:szCs w:val="21"/>
        </w:rPr>
        <w:t>　　　　　　　　　　　　合同编号：</w:t>
      </w:r>
      <w:r>
        <w:rPr>
          <w:rFonts w:ascii="宋体" w:eastAsia="宋体" w:hAnsi="宋体" w:cs="宋体"/>
          <w:sz w:val="21"/>
          <w:szCs w:val="21"/>
          <w:u w:val="single"/>
        </w:rPr>
        <w:t xml:space="preserve">       </w:t>
      </w:r>
      <w:r>
        <w:rPr>
          <w:rFonts w:ascii="宋体" w:eastAsia="宋体" w:hAnsi="宋体" w:cs="宋体"/>
          <w:sz w:val="21"/>
          <w:szCs w:val="21"/>
          <w:u w:val="single"/>
        </w:rPr>
        <w:t>　　　</w:t>
      </w:r>
      <w:r>
        <w:rPr>
          <w:rFonts w:ascii="宋体" w:eastAsia="宋体" w:hAnsi="宋体" w:cs="宋体"/>
          <w:sz w:val="21"/>
          <w:szCs w:val="21"/>
          <w:u w:val="single"/>
        </w:rPr>
        <w:t xml:space="preserve">        </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用电人：</w:t>
      </w:r>
      <w:r>
        <w:rPr>
          <w:rFonts w:ascii="宋体" w:eastAsia="宋体" w:hAnsi="宋体" w:cs="宋体"/>
          <w:sz w:val="21"/>
          <w:szCs w:val="21"/>
          <w:u w:val="single"/>
        </w:rPr>
        <w:t>　　　　　　　　　　　　　</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供电人：</w:t>
      </w:r>
      <w:r>
        <w:rPr>
          <w:rFonts w:ascii="宋体" w:eastAsia="宋体" w:hAnsi="宋体" w:cs="宋体"/>
          <w:sz w:val="21"/>
          <w:szCs w:val="21"/>
          <w:u w:val="single"/>
        </w:rPr>
        <w:t>　　　　　　　　　　　　　</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根据《中华人民共和国合同法》、</w:t>
      </w:r>
      <w:r>
        <w:rPr>
          <w:rFonts w:ascii="宋体" w:eastAsia="宋体" w:hAnsi="宋体" w:cs="宋体"/>
          <w:sz w:val="21"/>
          <w:szCs w:val="21"/>
        </w:rPr>
        <w:t>《中华人民共和国电力法》以及《电力供应与使用条例》等</w:t>
      </w:r>
      <w:r>
        <w:rPr>
          <w:rFonts w:ascii="宋体" w:eastAsia="宋体" w:hAnsi="宋体" w:cs="宋体"/>
          <w:sz w:val="21"/>
          <w:szCs w:val="21"/>
        </w:rPr>
        <w:t>相关规定，遵循平等、公平和诚实信用等原则，双方就居民生活电力供应与使用中的权利和义务协商一致，订立本合同。</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一、用电人用电地址</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u w:val="single"/>
        </w:rPr>
        <w:t xml:space="preserve">         </w:t>
      </w:r>
      <w:r>
        <w:rPr>
          <w:rFonts w:ascii="宋体" w:eastAsia="宋体" w:hAnsi="宋体" w:cs="宋体"/>
          <w:sz w:val="21"/>
          <w:szCs w:val="21"/>
        </w:rPr>
        <w:t xml:space="preserve">市（州） </w:t>
      </w:r>
      <w:r>
        <w:rPr>
          <w:rFonts w:ascii="宋体" w:eastAsia="宋体" w:hAnsi="宋体" w:cs="宋体"/>
          <w:sz w:val="21"/>
          <w:szCs w:val="21"/>
          <w:u w:val="single"/>
        </w:rPr>
        <w:t xml:space="preserve">       </w:t>
      </w:r>
      <w:r>
        <w:rPr>
          <w:rFonts w:ascii="宋体" w:eastAsia="宋体" w:hAnsi="宋体" w:cs="宋体"/>
          <w:sz w:val="21"/>
          <w:szCs w:val="21"/>
        </w:rPr>
        <w:t>县（市、区）</w:t>
      </w:r>
      <w:r>
        <w:rPr>
          <w:rFonts w:ascii="宋体" w:eastAsia="宋体" w:hAnsi="宋体" w:cs="宋体"/>
          <w:sz w:val="21"/>
          <w:szCs w:val="21"/>
          <w:u w:val="single"/>
        </w:rPr>
        <w:t xml:space="preserve">        </w:t>
      </w:r>
      <w:r>
        <w:rPr>
          <w:rFonts w:ascii="宋体" w:eastAsia="宋体" w:hAnsi="宋体" w:cs="宋体"/>
          <w:sz w:val="21"/>
          <w:szCs w:val="21"/>
        </w:rPr>
        <w:t>镇（乡）</w:t>
      </w:r>
      <w:r>
        <w:rPr>
          <w:rFonts w:ascii="宋体" w:eastAsia="宋体" w:hAnsi="宋体" w:cs="宋体"/>
          <w:sz w:val="21"/>
          <w:szCs w:val="21"/>
          <w:u w:val="single"/>
        </w:rPr>
        <w:t xml:space="preserve">       </w:t>
      </w:r>
      <w:r>
        <w:rPr>
          <w:rFonts w:ascii="宋体" w:eastAsia="宋体" w:hAnsi="宋体" w:cs="宋体"/>
          <w:sz w:val="21"/>
          <w:szCs w:val="21"/>
        </w:rPr>
        <w:t>街道（村）</w:t>
      </w:r>
      <w:r>
        <w:rPr>
          <w:rFonts w:ascii="宋体" w:eastAsia="宋体" w:hAnsi="宋体" w:cs="宋体"/>
          <w:sz w:val="21"/>
          <w:szCs w:val="21"/>
          <w:u w:val="single"/>
        </w:rPr>
        <w:t xml:space="preserve">      </w:t>
      </w:r>
      <w:r>
        <w:rPr>
          <w:rFonts w:ascii="宋体" w:eastAsia="宋体" w:hAnsi="宋体" w:cs="宋体"/>
          <w:sz w:val="21"/>
          <w:szCs w:val="21"/>
        </w:rPr>
        <w:t>号</w:t>
      </w:r>
      <w:r>
        <w:rPr>
          <w:rFonts w:ascii="宋体" w:eastAsia="宋体" w:hAnsi="宋体" w:cs="宋体"/>
          <w:sz w:val="21"/>
          <w:szCs w:val="21"/>
          <w:u w:val="single"/>
        </w:rPr>
        <w:t xml:space="preserve">         </w:t>
      </w:r>
      <w:r>
        <w:rPr>
          <w:rFonts w:ascii="宋体" w:eastAsia="宋体" w:hAnsi="宋体" w:cs="宋体"/>
          <w:sz w:val="21"/>
          <w:szCs w:val="21"/>
        </w:rPr>
        <w:t>幢</w:t>
      </w:r>
      <w:r>
        <w:rPr>
          <w:rFonts w:ascii="宋体" w:eastAsia="宋体" w:hAnsi="宋体" w:cs="宋体"/>
          <w:sz w:val="21"/>
          <w:szCs w:val="21"/>
          <w:u w:val="single"/>
        </w:rPr>
        <w:t xml:space="preserve">        </w:t>
      </w:r>
      <w:r>
        <w:rPr>
          <w:rFonts w:ascii="宋体" w:eastAsia="宋体" w:hAnsi="宋体" w:cs="宋体"/>
          <w:sz w:val="21"/>
          <w:szCs w:val="21"/>
        </w:rPr>
        <w:t xml:space="preserve">单元 </w:t>
      </w:r>
      <w:r>
        <w:rPr>
          <w:rFonts w:ascii="宋体" w:eastAsia="宋体" w:hAnsi="宋体" w:cs="宋体"/>
          <w:sz w:val="21"/>
          <w:szCs w:val="21"/>
          <w:u w:val="single"/>
        </w:rPr>
        <w:t xml:space="preserve">       </w:t>
      </w:r>
      <w:r>
        <w:rPr>
          <w:rFonts w:ascii="宋体" w:eastAsia="宋体" w:hAnsi="宋体" w:cs="宋体"/>
          <w:sz w:val="21"/>
          <w:szCs w:val="21"/>
        </w:rPr>
        <w:t>室</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二、供电方式</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供电人以交流低压</w:t>
      </w:r>
      <w:r>
        <w:rPr>
          <w:rFonts w:ascii="宋体" w:eastAsia="宋体" w:hAnsi="宋体" w:cs="宋体"/>
          <w:sz w:val="21"/>
          <w:szCs w:val="21"/>
        </w:rPr>
        <w:t>□</w:t>
      </w:r>
      <w:r>
        <w:rPr>
          <w:rFonts w:ascii="宋体" w:eastAsia="宋体" w:hAnsi="宋体" w:cs="宋体"/>
          <w:sz w:val="21"/>
          <w:szCs w:val="21"/>
        </w:rPr>
        <w:t>220</w:t>
      </w:r>
      <w:r>
        <w:rPr>
          <w:rFonts w:ascii="宋体" w:eastAsia="宋体" w:hAnsi="宋体" w:cs="宋体"/>
          <w:sz w:val="21"/>
          <w:szCs w:val="21"/>
        </w:rPr>
        <w:t>□</w:t>
      </w:r>
      <w:r>
        <w:rPr>
          <w:rFonts w:ascii="宋体" w:eastAsia="宋体" w:hAnsi="宋体" w:cs="宋体"/>
          <w:sz w:val="21"/>
          <w:szCs w:val="21"/>
        </w:rPr>
        <w:t>380伏电源向用电人单电源连续供电。</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三、计量装置</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w:t>
      </w:r>
      <w:r>
        <w:rPr>
          <w:rFonts w:ascii="宋体" w:eastAsia="宋体" w:hAnsi="宋体" w:cs="宋体"/>
          <w:sz w:val="21"/>
          <w:szCs w:val="21"/>
        </w:rPr>
        <w:t>普通电能表</w:t>
      </w:r>
      <w:r>
        <w:rPr>
          <w:rFonts w:ascii="宋体" w:eastAsia="宋体" w:hAnsi="宋体" w:cs="宋体"/>
          <w:sz w:val="21"/>
          <w:szCs w:val="21"/>
        </w:rPr>
        <w:t xml:space="preserve">   </w:t>
      </w:r>
      <w:r>
        <w:rPr>
          <w:rFonts w:ascii="宋体" w:eastAsia="宋体" w:hAnsi="宋体" w:cs="宋体"/>
          <w:sz w:val="21"/>
          <w:szCs w:val="21"/>
        </w:rPr>
        <w:t>□</w:t>
      </w:r>
      <w:r>
        <w:rPr>
          <w:rFonts w:ascii="宋体" w:eastAsia="宋体" w:hAnsi="宋体" w:cs="宋体"/>
          <w:sz w:val="21"/>
          <w:szCs w:val="21"/>
        </w:rPr>
        <w:t>费控智能电能表</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四、用电计量、电价及电费结算</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（一）计量装置为普通电能表</w:t>
      </w:r>
    </w:p>
    <w:p>
      <w:pPr>
        <w:widowControl w:val="0"/>
        <w:spacing w:before="0" w:after="0"/>
        <w:ind w:firstLine="397"/>
        <w:jc w:val="both"/>
        <w:rPr>
          <w:rFonts w:ascii="Times New Roman" w:eastAsia="Times New Roman" w:hAnsi="Times New Roman" w:cs="Times New Roman"/>
          <w:sz w:val="21"/>
          <w:szCs w:val="21"/>
        </w:rPr>
      </w:pPr>
      <w:r>
        <w:rPr>
          <w:rFonts w:ascii="宋体" w:eastAsia="宋体" w:hAnsi="宋体" w:cs="宋体"/>
          <w:sz w:val="21"/>
          <w:szCs w:val="21"/>
        </w:rPr>
        <w:t>1、供电人以在用电人的受电点安装的普通电能表记录的抄见电量为依据，按照国家批准的电价和随电量征收的各项费用向用电人定期结算电费。</w:t>
      </w:r>
    </w:p>
    <w:p>
      <w:pPr>
        <w:widowControl w:val="0"/>
        <w:spacing w:before="0" w:after="0"/>
        <w:ind w:firstLine="397"/>
        <w:jc w:val="both"/>
        <w:rPr>
          <w:rFonts w:ascii="Times New Roman" w:eastAsia="Times New Roman" w:hAnsi="Times New Roman" w:cs="Times New Roman"/>
        </w:rPr>
      </w:pPr>
      <w:r>
        <w:rPr>
          <w:rFonts w:ascii="宋体" w:eastAsia="宋体" w:hAnsi="宋体" w:cs="宋体"/>
          <w:sz w:val="21"/>
          <w:szCs w:val="21"/>
        </w:rPr>
        <w:t>2、供电人实行</w:t>
      </w:r>
      <w:r>
        <w:rPr>
          <w:rFonts w:ascii="宋体" w:eastAsia="宋体" w:hAnsi="宋体" w:cs="宋体"/>
        </w:rPr>
        <w:t>□</w:t>
      </w:r>
      <w:r>
        <w:rPr>
          <w:rFonts w:ascii="宋体" w:eastAsia="宋体" w:hAnsi="宋体" w:cs="宋体"/>
          <w:sz w:val="21"/>
          <w:szCs w:val="21"/>
        </w:rPr>
        <w:t>单</w:t>
      </w:r>
      <w:r>
        <w:rPr>
          <w:rFonts w:ascii="宋体" w:eastAsia="宋体" w:hAnsi="宋体" w:cs="宋体"/>
        </w:rPr>
        <w:t>□</w:t>
      </w:r>
      <w:r>
        <w:rPr>
          <w:rFonts w:ascii="宋体" w:eastAsia="宋体" w:hAnsi="宋体" w:cs="宋体"/>
          <w:sz w:val="21"/>
          <w:szCs w:val="21"/>
        </w:rPr>
        <w:t>双月抄表，用电人于</w:t>
      </w:r>
      <w:r>
        <w:rPr>
          <w:rFonts w:ascii="宋体" w:eastAsia="宋体" w:hAnsi="宋体" w:cs="宋体"/>
          <w:sz w:val="21"/>
          <w:szCs w:val="21"/>
        </w:rPr>
        <w:t>抄表之日起十日内</w:t>
      </w:r>
      <w:r>
        <w:rPr>
          <w:rFonts w:ascii="宋体" w:eastAsia="宋体" w:hAnsi="宋体" w:cs="宋体"/>
          <w:sz w:val="21"/>
          <w:szCs w:val="21"/>
        </w:rPr>
        <w:t>在供电人指定的地点交付电费。</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（二）计量装置为费控智能电能表</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用电人向费控智能电能表配置的专用充值购电卡中充值，供电人以在用电人的受电点安装的费控智能电能表记录的电量为依据，按照国家批准的电价和随电量征收的各项费用，由费控智能电能表内置计费系统自动实时结算用电人电费。</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五、供电人权利义务</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（一）按照国家价格管理部门批准的电价和随电量征收的各项费用收取电费，并在发生电价和其他收费调整时，按规定执行。</w:t>
      </w:r>
    </w:p>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（二）</w:t>
      </w:r>
      <w:r>
        <w:rPr>
          <w:rFonts w:ascii="宋体" w:eastAsia="宋体" w:hAnsi="宋体" w:cs="宋体"/>
          <w:sz w:val="21"/>
          <w:szCs w:val="21"/>
        </w:rPr>
        <w:t>对使用普通电能表的用电人逾期未交付电费，</w:t>
      </w:r>
      <w:r>
        <w:rPr>
          <w:rFonts w:ascii="宋体" w:eastAsia="宋体" w:hAnsi="宋体" w:cs="宋体"/>
          <w:sz w:val="21"/>
          <w:szCs w:val="21"/>
        </w:rPr>
        <w:t>经催告用电人仍未交付的，供电人有权按照国家规定的程序中止供电。</w:t>
      </w:r>
      <w:r>
        <w:rPr>
          <w:rFonts w:ascii="宋体" w:eastAsia="宋体" w:hAnsi="宋体" w:cs="宋体"/>
          <w:sz w:val="21"/>
          <w:szCs w:val="21"/>
        </w:rPr>
        <w:t>对使用费控智能电</w:t>
      </w:r>
      <w:r>
        <w:rPr>
          <w:rFonts w:ascii="宋体" w:eastAsia="宋体" w:hAnsi="宋体" w:cs="宋体"/>
          <w:sz w:val="21"/>
          <w:szCs w:val="21"/>
        </w:rPr>
        <w:t>能</w:t>
      </w:r>
      <w:r>
        <w:rPr>
          <w:rFonts w:ascii="宋体" w:eastAsia="宋体" w:hAnsi="宋体" w:cs="宋体"/>
          <w:sz w:val="21"/>
          <w:szCs w:val="21"/>
        </w:rPr>
        <w:t>表的用电人，当费控智能电</w:t>
      </w:r>
      <w:r>
        <w:rPr>
          <w:rFonts w:ascii="宋体" w:eastAsia="宋体" w:hAnsi="宋体" w:cs="宋体"/>
          <w:sz w:val="21"/>
          <w:szCs w:val="21"/>
        </w:rPr>
        <w:t>能</w:t>
      </w:r>
      <w:r>
        <w:rPr>
          <w:rFonts w:ascii="宋体" w:eastAsia="宋体" w:hAnsi="宋体" w:cs="宋体"/>
          <w:sz w:val="21"/>
          <w:szCs w:val="21"/>
        </w:rPr>
        <w:t>表充值余额为零时，费控智能电</w:t>
      </w:r>
      <w:r>
        <w:rPr>
          <w:rFonts w:ascii="宋体" w:eastAsia="宋体" w:hAnsi="宋体" w:cs="宋体"/>
          <w:sz w:val="21"/>
          <w:szCs w:val="21"/>
        </w:rPr>
        <w:t>能</w:t>
      </w:r>
      <w:r>
        <w:rPr>
          <w:rFonts w:ascii="宋体" w:eastAsia="宋体" w:hAnsi="宋体" w:cs="宋体"/>
          <w:sz w:val="21"/>
          <w:szCs w:val="21"/>
        </w:rPr>
        <w:t>表的自动断电功能将自动中止供电。</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（三）对违章用电、窃电及其他违约用电行为有权制止，依法追收电费和违约使用电费并中止供电。</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（四）供电人发现用电人计量装置有问题或故障时，供电人对该计量装置进行免费检验，如计量误差超过国家规定的允许范围，则按规定向用电人补收少交的电费或退回多收的电费。</w:t>
      </w:r>
    </w:p>
    <w:p>
      <w:pPr>
        <w:widowControl w:val="0"/>
        <w:spacing w:before="0" w:after="0" w:line="360" w:lineRule="atLeast"/>
        <w:rPr>
          <w:rFonts w:ascii="Times New Roman" w:eastAsia="Times New Roman" w:hAnsi="Times New Roman" w:cs="Times New Roman"/>
        </w:rPr>
      </w:pPr>
      <w:r>
        <w:rPr>
          <w:rFonts w:ascii="宋体" w:eastAsia="宋体" w:hAnsi="宋体" w:cs="宋体"/>
          <w:sz w:val="21"/>
          <w:szCs w:val="21"/>
        </w:rPr>
        <w:t xml:space="preserve">    </w:t>
      </w:r>
      <w:r>
        <w:rPr>
          <w:rFonts w:ascii="宋体" w:eastAsia="宋体" w:hAnsi="宋体" w:cs="宋体"/>
          <w:sz w:val="21"/>
          <w:szCs w:val="21"/>
        </w:rPr>
        <w:t>（五）按照国家法律规定和合同约定为用电人提供连续电力供应服务。因故需要停止供电时，按照</w:t>
      </w:r>
      <w:r>
        <w:rPr>
          <w:rFonts w:ascii="宋体" w:eastAsia="宋体" w:hAnsi="宋体" w:cs="宋体"/>
          <w:sz w:val="21"/>
          <w:szCs w:val="21"/>
        </w:rPr>
        <w:t>有关规定事先通知用户或者进行公告</w:t>
      </w:r>
      <w:r>
        <w:rPr>
          <w:rFonts w:ascii="宋体" w:eastAsia="宋体" w:hAnsi="宋体" w:cs="宋体"/>
          <w:sz w:val="21"/>
          <w:szCs w:val="21"/>
        </w:rPr>
        <w:t>。</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（六）在供电设施发生故障时，供电人在国家规定时限或服务承诺时限内组织检修。</w:t>
      </w:r>
    </w:p>
    <w:p>
      <w:pPr>
        <w:widowControl w:val="0"/>
        <w:spacing w:before="0" w:after="0"/>
        <w:ind w:firstLine="412"/>
        <w:jc w:val="both"/>
        <w:rPr>
          <w:rFonts w:ascii="Times New Roman" w:eastAsia="Times New Roman" w:hAnsi="Times New Roman" w:cs="Times New Roman"/>
          <w:sz w:val="21"/>
          <w:szCs w:val="21"/>
        </w:rPr>
      </w:pPr>
      <w:r>
        <w:rPr>
          <w:rFonts w:ascii="宋体" w:eastAsia="宋体" w:hAnsi="宋体" w:cs="宋体"/>
          <w:sz w:val="21"/>
          <w:szCs w:val="21"/>
        </w:rPr>
        <w:t xml:space="preserve">（七）使用普通电能表因欠费停止供电的，供电人在用电人交清电费后24小时内恢复供电，不能在24小时内恢复供电的，向用电人说明原因并按用电人要求提供相关证据；使用费控智能电能表的，在用电人提供自身信息完备、准确的情况下，供电人通过费控智能电能表提示功能、手机短信提示功能等，在充值余额小于50元时，提示用电人及时充值。 </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（八）在营业场所公告办理用电业务的程序、制度和收费标准，提供客户须知资料。</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（九）根据用电人实际交付电费金额出具电费发票。</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（十）按国家规定对电能计量装置进行检验和维护。</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六、用电人权利义务</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（一）有权对供电质量和服务质量进行监督和投诉。</w:t>
      </w:r>
    </w:p>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（二）用电人对计量装置的准确性有异议的，</w:t>
      </w:r>
      <w:r>
        <w:rPr>
          <w:rFonts w:ascii="宋体" w:eastAsia="宋体" w:hAnsi="宋体" w:cs="宋体"/>
          <w:sz w:val="21"/>
          <w:szCs w:val="21"/>
        </w:rPr>
        <w:t>双方共同委托法定检验机构进行校验，用电人预付校验费。</w:t>
      </w:r>
      <w:r>
        <w:rPr>
          <w:rFonts w:ascii="宋体" w:eastAsia="宋体" w:hAnsi="宋体" w:cs="宋体"/>
          <w:sz w:val="21"/>
          <w:szCs w:val="21"/>
        </w:rPr>
        <w:t>经校验计量误差在国家规定范围内的，用电人承担校验费；计量误差超过国家规定范围的，供电人承担校验费，同时按规定向用电人补收少交的电费或退回多收的电费。</w:t>
      </w:r>
    </w:p>
    <w:p>
      <w:pPr>
        <w:widowControl w:val="0"/>
        <w:spacing w:before="0" w:after="0"/>
        <w:ind w:left="105" w:firstLine="315"/>
        <w:jc w:val="both"/>
        <w:rPr>
          <w:rFonts w:ascii="Times New Roman" w:eastAsia="Times New Roman" w:hAnsi="Times New Roman" w:cs="Times New Roman"/>
          <w:sz w:val="21"/>
          <w:szCs w:val="21"/>
        </w:rPr>
      </w:pPr>
      <w:r>
        <w:rPr>
          <w:rFonts w:ascii="宋体" w:eastAsia="宋体" w:hAnsi="宋体" w:cs="宋体"/>
          <w:sz w:val="21"/>
          <w:szCs w:val="21"/>
        </w:rPr>
        <w:t>（三）费控智能电</w:t>
      </w:r>
      <w:r>
        <w:rPr>
          <w:rFonts w:ascii="宋体" w:eastAsia="宋体" w:hAnsi="宋体" w:cs="宋体"/>
          <w:sz w:val="21"/>
          <w:szCs w:val="21"/>
        </w:rPr>
        <w:t>能</w:t>
      </w:r>
      <w:r>
        <w:rPr>
          <w:rFonts w:ascii="宋体" w:eastAsia="宋体" w:hAnsi="宋体" w:cs="宋体"/>
          <w:sz w:val="21"/>
          <w:szCs w:val="21"/>
        </w:rPr>
        <w:t>表用户终止用电并按规定程序办完销户手续后，可到所属区域的供电营业厅退取费控智能电</w:t>
      </w:r>
      <w:r>
        <w:rPr>
          <w:rFonts w:ascii="宋体" w:eastAsia="宋体" w:hAnsi="宋体" w:cs="宋体"/>
          <w:sz w:val="21"/>
          <w:szCs w:val="21"/>
        </w:rPr>
        <w:t>能</w:t>
      </w:r>
      <w:r>
        <w:rPr>
          <w:rFonts w:ascii="宋体" w:eastAsia="宋体" w:hAnsi="宋体" w:cs="宋体"/>
          <w:sz w:val="21"/>
          <w:szCs w:val="21"/>
        </w:rPr>
        <w:t>表或充值购电卡中的余额。</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（四）按照合同约定的居民生活用电性质用电。</w:t>
      </w:r>
      <w:r>
        <w:rPr>
          <w:rFonts w:ascii="宋体" w:eastAsia="宋体" w:hAnsi="宋体" w:cs="宋体"/>
          <w:sz w:val="21"/>
          <w:szCs w:val="21"/>
        </w:rPr>
        <w:t xml:space="preserve">               </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（五）按规定程序办理用电变更、中止或终止业务。</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六）计量装置为普通电能表的，依照用电量和电价及随电量征收的各项费用在约定期限内到供电人指定地点全额交付电费；计量装置为费控智能电能表的，根据费控智能电能表的计量计费提示功能，及时充值购电。妥善使用和保管充值购电卡，并承担充值购电卡损坏、遗失而引起的相关后果。</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（七）不自行引入或供出电源。</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（八）发现计量装置有异常时，及时通知供电人。</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（九）</w:t>
      </w:r>
      <w:r>
        <w:rPr>
          <w:rFonts w:ascii="宋体" w:eastAsia="宋体" w:hAnsi="宋体" w:cs="宋体"/>
          <w:vanish/>
          <w:sz w:val="21"/>
          <w:szCs w:val="21"/>
        </w:rPr>
        <w:t>（）</w:t>
      </w:r>
      <w:r>
        <w:rPr>
          <w:rFonts w:ascii="宋体" w:eastAsia="宋体" w:hAnsi="宋体" w:cs="宋体"/>
          <w:sz w:val="21"/>
          <w:szCs w:val="21"/>
        </w:rPr>
        <w:t>为供电人对电能计量装置进行的检验和维护提供协助和方便。</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七、电力设施产权分界及运行维护管理责任</w:t>
      </w:r>
    </w:p>
    <w:p>
      <w:pPr>
        <w:widowControl w:val="0"/>
        <w:spacing w:before="0" w:after="0" w:line="240" w:lineRule="atLeast"/>
        <w:ind w:firstLine="420"/>
        <w:jc w:val="both"/>
        <w:rPr>
          <w:rFonts w:ascii="Times New Roman" w:eastAsia="Times New Roman" w:hAnsi="Times New Roman" w:cs="Times New Roman"/>
        </w:rPr>
      </w:pPr>
      <w:r>
        <w:rPr>
          <w:rFonts w:ascii="宋体" w:eastAsia="宋体" w:hAnsi="宋体" w:cs="宋体"/>
          <w:sz w:val="21"/>
          <w:szCs w:val="21"/>
        </w:rPr>
        <w:t>（一）安装在用电人受电点的计量装置出线接线点为电力设施产权分界点（见附件：《居民生活用电登记表》</w:t>
      </w:r>
      <w:r>
        <w:rPr>
          <w:rFonts w:ascii="宋体" w:eastAsia="宋体" w:hAnsi="宋体" w:cs="宋体"/>
          <w:sz w:val="21"/>
          <w:szCs w:val="21"/>
        </w:rPr>
        <w:t>供电线路产权分界示意图</w:t>
      </w:r>
      <w:r>
        <w:rPr>
          <w:rFonts w:ascii="宋体" w:eastAsia="宋体" w:hAnsi="宋体" w:cs="宋体"/>
          <w:sz w:val="21"/>
          <w:szCs w:val="21"/>
        </w:rPr>
        <w:t>），</w:t>
      </w:r>
      <w:r>
        <w:rPr>
          <w:rFonts w:ascii="宋体" w:eastAsia="宋体" w:hAnsi="宋体" w:cs="宋体"/>
          <w:spacing w:val="-6"/>
          <w:sz w:val="21"/>
          <w:szCs w:val="21"/>
        </w:rPr>
        <w:t>为本合同所述的履行供用电义务的地点。</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（二）以电力设施产权分界点为界</w:t>
      </w:r>
    </w:p>
    <w:p>
      <w:pPr>
        <w:widowControl w:val="0"/>
        <w:spacing w:before="0" w:after="0"/>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用电人受电点计量装置出线接线点之后，由用电人</w:t>
      </w:r>
      <w:r>
        <w:rPr>
          <w:rFonts w:ascii="宋体" w:eastAsia="宋体" w:hAnsi="宋体" w:cs="宋体"/>
          <w:sz w:val="21"/>
          <w:szCs w:val="21"/>
        </w:rPr>
        <w:t>承担运行维护管理义务及相应的法律后果</w:t>
      </w:r>
      <w:r>
        <w:rPr>
          <w:rFonts w:ascii="宋体" w:eastAsia="宋体" w:hAnsi="宋体" w:cs="宋体"/>
          <w:sz w:val="21"/>
          <w:szCs w:val="21"/>
        </w:rPr>
        <w:t>；用电人受电点计量装置出线接线点之前，由产权设施所有者</w:t>
      </w:r>
      <w:r>
        <w:rPr>
          <w:rFonts w:ascii="宋体" w:eastAsia="宋体" w:hAnsi="宋体" w:cs="宋体"/>
          <w:sz w:val="21"/>
          <w:szCs w:val="21"/>
        </w:rPr>
        <w:t>承</w:t>
      </w:r>
      <w:r>
        <w:rPr>
          <w:rFonts w:ascii="宋体" w:eastAsia="宋体" w:hAnsi="宋体" w:cs="宋体"/>
          <w:sz w:val="21"/>
          <w:szCs w:val="21"/>
        </w:rPr>
        <w:t>担运行维护管理义务及相应的法律后果</w:t>
      </w:r>
      <w:r>
        <w:rPr>
          <w:rFonts w:ascii="宋体" w:eastAsia="宋体" w:hAnsi="宋体" w:cs="宋体"/>
          <w:sz w:val="21"/>
          <w:szCs w:val="21"/>
        </w:rPr>
        <w:t>；用电人受电点计量装置由供电人</w:t>
      </w:r>
      <w:r>
        <w:rPr>
          <w:rFonts w:ascii="宋体" w:eastAsia="宋体" w:hAnsi="宋体" w:cs="宋体"/>
          <w:sz w:val="21"/>
          <w:szCs w:val="21"/>
        </w:rPr>
        <w:t>承</w:t>
      </w:r>
      <w:r>
        <w:rPr>
          <w:rFonts w:ascii="宋体" w:eastAsia="宋体" w:hAnsi="宋体" w:cs="宋体"/>
          <w:sz w:val="21"/>
          <w:szCs w:val="21"/>
        </w:rPr>
        <w:t>担运行维护管理义务及相应的法律后果</w:t>
      </w:r>
      <w:r>
        <w:rPr>
          <w:rFonts w:ascii="宋体" w:eastAsia="宋体" w:hAnsi="宋体" w:cs="宋体"/>
          <w:sz w:val="21"/>
          <w:szCs w:val="21"/>
        </w:rPr>
        <w:t>。</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八、合同变更与解除</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用电人变更、解除合同的，结清电费及其他费用后，向供电人申请办理相关手续。</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九、违约及其他责任</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（一）用电人擅自改变用电性质、转供电或引入电源，擅自移动、开启、拆封电能计量装置的，用电人依法补交差额电费，并承担违约使用电费。</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（二）用电人有窃电行为的，按窃电量补交电费，并承担补交电费3倍的违约使用电费。对窃电行为，供电人可制止并当场中止供电。</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（三）使用普通电能表的用电人逾期未足额交付电费的，供电人除追补欠费外，还可向用电人自逾期之日起每日按欠费总额的</w:t>
      </w:r>
      <w:r>
        <w:rPr>
          <w:rFonts w:ascii="宋体" w:eastAsia="宋体" w:hAnsi="宋体" w:cs="宋体"/>
          <w:b/>
          <w:bCs/>
          <w:sz w:val="21"/>
          <w:szCs w:val="21"/>
        </w:rPr>
        <w:t>1</w:t>
      </w:r>
      <w:r>
        <w:rPr>
          <w:rFonts w:ascii="宋体" w:eastAsia="宋体" w:hAnsi="宋体" w:cs="宋体"/>
          <w:b/>
          <w:bCs/>
          <w:sz w:val="21"/>
          <w:szCs w:val="21"/>
          <w:vertAlign w:val="superscript"/>
        </w:rPr>
        <w:t>0</w:t>
      </w:r>
      <w:r>
        <w:rPr>
          <w:rFonts w:ascii="宋体" w:eastAsia="宋体" w:hAnsi="宋体" w:cs="宋体"/>
          <w:b/>
          <w:bCs/>
          <w:sz w:val="21"/>
          <w:szCs w:val="21"/>
        </w:rPr>
        <w:t>/</w:t>
      </w:r>
      <w:r>
        <w:rPr>
          <w:rFonts w:ascii="宋体" w:eastAsia="宋体" w:hAnsi="宋体" w:cs="宋体"/>
          <w:b/>
          <w:bCs/>
          <w:sz w:val="21"/>
          <w:szCs w:val="21"/>
          <w:vertAlign w:val="subscript"/>
        </w:rPr>
        <w:t>00</w:t>
      </w:r>
      <w:r>
        <w:rPr>
          <w:rFonts w:ascii="宋体" w:eastAsia="宋体" w:hAnsi="宋体" w:cs="宋体"/>
          <w:sz w:val="21"/>
          <w:szCs w:val="21"/>
        </w:rPr>
        <w:t>收取违约金</w:t>
      </w:r>
      <w:r>
        <w:rPr>
          <w:rFonts w:ascii="宋体" w:eastAsia="宋体" w:hAnsi="宋体" w:cs="宋体"/>
          <w:sz w:val="21"/>
          <w:szCs w:val="21"/>
        </w:rPr>
        <w:t>。违约金不足一元的按一元收取。</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（四）用电人交清欠费，供电人未在本合同约定期限内恢复供电的，供电人自逾期之日起每日按未供电量对应电费总额的</w:t>
      </w:r>
      <w:r>
        <w:rPr>
          <w:rFonts w:ascii="宋体" w:eastAsia="宋体" w:hAnsi="宋体" w:cs="宋体"/>
          <w:b/>
          <w:bCs/>
          <w:sz w:val="21"/>
          <w:szCs w:val="21"/>
        </w:rPr>
        <w:t>1</w:t>
      </w:r>
      <w:r>
        <w:rPr>
          <w:rFonts w:ascii="宋体" w:eastAsia="宋体" w:hAnsi="宋体" w:cs="宋体"/>
          <w:b/>
          <w:bCs/>
          <w:sz w:val="21"/>
          <w:szCs w:val="21"/>
          <w:vertAlign w:val="superscript"/>
        </w:rPr>
        <w:t>0</w:t>
      </w:r>
      <w:r>
        <w:rPr>
          <w:rFonts w:ascii="宋体" w:eastAsia="宋体" w:hAnsi="宋体" w:cs="宋体"/>
          <w:b/>
          <w:bCs/>
          <w:sz w:val="21"/>
          <w:szCs w:val="21"/>
        </w:rPr>
        <w:t>/</w:t>
      </w:r>
      <w:r>
        <w:rPr>
          <w:rFonts w:ascii="宋体" w:eastAsia="宋体" w:hAnsi="宋体" w:cs="宋体"/>
          <w:b/>
          <w:bCs/>
          <w:sz w:val="21"/>
          <w:szCs w:val="21"/>
          <w:vertAlign w:val="subscript"/>
        </w:rPr>
        <w:t>00</w:t>
      </w:r>
      <w:r>
        <w:rPr>
          <w:rFonts w:ascii="宋体" w:eastAsia="宋体" w:hAnsi="宋体" w:cs="宋体"/>
          <w:sz w:val="21"/>
          <w:szCs w:val="21"/>
        </w:rPr>
        <w:t>向用电人支付违约金。违约金不足一元的按一元收取。未供电量按用电人前6个月平均用电量计算。</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（五）供电人、用电人</w:t>
      </w:r>
      <w:r>
        <w:rPr>
          <w:rFonts w:ascii="宋体" w:eastAsia="宋体" w:hAnsi="宋体" w:cs="宋体"/>
          <w:sz w:val="21"/>
          <w:szCs w:val="21"/>
        </w:rPr>
        <w:t>违反本合同约定，给对方造成损失的，承担相应的赔偿责任。</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（六）因电力运行事故给用电人造成损害的，供电人依法承担赔偿责任。</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十、免责事由</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供电人、用电人受不可抗力、政府行为、维护公共利益等因素的影响，且该影响足以导致任意一方或双方当事人不能履行约定义务，在受影响的范围内免除责任。</w:t>
      </w:r>
      <w:r>
        <w:rPr>
          <w:rFonts w:ascii="宋体" w:eastAsia="宋体" w:hAnsi="宋体" w:cs="宋体"/>
          <w:sz w:val="21"/>
          <w:szCs w:val="21"/>
        </w:rPr>
        <w:t>因</w:t>
      </w:r>
      <w:r>
        <w:rPr>
          <w:rFonts w:ascii="宋体" w:eastAsia="宋体" w:hAnsi="宋体" w:cs="宋体"/>
          <w:sz w:val="21"/>
          <w:szCs w:val="21"/>
        </w:rPr>
        <w:t>迟延履行后发生</w:t>
      </w:r>
      <w:r>
        <w:rPr>
          <w:rFonts w:ascii="宋体" w:eastAsia="宋体" w:hAnsi="宋体" w:cs="宋体"/>
          <w:sz w:val="21"/>
          <w:szCs w:val="21"/>
        </w:rPr>
        <w:t>上述情况</w:t>
      </w:r>
      <w:r>
        <w:rPr>
          <w:rFonts w:ascii="宋体" w:eastAsia="宋体" w:hAnsi="宋体" w:cs="宋体"/>
          <w:sz w:val="21"/>
          <w:szCs w:val="21"/>
        </w:rPr>
        <w:t>的，不免除责任。</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十一、争议解决的方式</w:t>
      </w:r>
    </w:p>
    <w:p>
      <w:pPr>
        <w:widowControl w:val="0"/>
        <w:spacing w:before="0" w:after="0"/>
        <w:ind w:firstLine="525"/>
        <w:jc w:val="both"/>
        <w:rPr>
          <w:rFonts w:ascii="Times New Roman" w:eastAsia="Times New Roman" w:hAnsi="Times New Roman" w:cs="Times New Roman"/>
          <w:sz w:val="21"/>
          <w:szCs w:val="21"/>
        </w:rPr>
      </w:pPr>
      <w:r>
        <w:rPr>
          <w:rFonts w:ascii="宋体" w:eastAsia="宋体" w:hAnsi="宋体" w:cs="宋体"/>
          <w:sz w:val="21"/>
          <w:szCs w:val="21"/>
        </w:rPr>
        <w:t>本合同履行中发生争议的，双方可协商解决或申请调解。协商或调解不成的，</w:t>
      </w:r>
      <w:r>
        <w:rPr>
          <w:rFonts w:ascii="宋体" w:eastAsia="宋体" w:hAnsi="宋体" w:cs="宋体"/>
          <w:sz w:val="21"/>
          <w:szCs w:val="21"/>
        </w:rPr>
        <w:t>按</w:t>
      </w:r>
      <w:r>
        <w:rPr>
          <w:rFonts w:ascii="宋体" w:eastAsia="宋体" w:hAnsi="宋体" w:cs="宋体"/>
          <w:sz w:val="21"/>
          <w:szCs w:val="21"/>
        </w:rPr>
        <w:t>下列第</w:t>
      </w:r>
      <w:r>
        <w:rPr>
          <w:rFonts w:ascii="宋体" w:eastAsia="宋体" w:hAnsi="宋体" w:cs="宋体"/>
          <w:sz w:val="21"/>
          <w:szCs w:val="21"/>
          <w:u w:val="single"/>
        </w:rPr>
        <w:t xml:space="preserve">     </w:t>
      </w:r>
      <w:r>
        <w:rPr>
          <w:rFonts w:ascii="宋体" w:eastAsia="宋体" w:hAnsi="宋体" w:cs="宋体"/>
          <w:sz w:val="21"/>
          <w:szCs w:val="21"/>
        </w:rPr>
        <w:t>种方式解决：</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（一）提交</w:t>
      </w:r>
      <w:r>
        <w:rPr>
          <w:rFonts w:ascii="宋体" w:eastAsia="宋体" w:hAnsi="宋体" w:cs="宋体"/>
          <w:sz w:val="21"/>
          <w:szCs w:val="21"/>
          <w:u w:val="single"/>
        </w:rPr>
        <w:t xml:space="preserve">  </w:t>
      </w:r>
      <w:r>
        <w:rPr>
          <w:rFonts w:ascii="宋体" w:eastAsia="宋体" w:hAnsi="宋体" w:cs="宋体"/>
          <w:sz w:val="21"/>
          <w:szCs w:val="21"/>
          <w:u w:val="single"/>
        </w:rPr>
        <w:t xml:space="preserve">　　　 </w:t>
      </w:r>
      <w:r>
        <w:rPr>
          <w:rFonts w:ascii="宋体" w:eastAsia="宋体" w:hAnsi="宋体" w:cs="宋体"/>
          <w:sz w:val="21"/>
          <w:szCs w:val="21"/>
        </w:rPr>
        <w:t>仲裁委员会仲裁；</w:t>
      </w: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 xml:space="preserve">（二）向人民法院提起诉讼。 </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b/>
          <w:bCs/>
          <w:sz w:val="21"/>
          <w:szCs w:val="21"/>
        </w:rPr>
        <w:t>十二、生效与终止</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（一）</w:t>
      </w:r>
      <w:r>
        <w:rPr>
          <w:rFonts w:ascii="宋体" w:eastAsia="宋体" w:hAnsi="宋体" w:cs="宋体"/>
          <w:sz w:val="21"/>
          <w:szCs w:val="21"/>
        </w:rPr>
        <w:t>本合同经供用电双方签字或盖章后生效，办理完毕销户手续时终止。</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（二）</w:t>
      </w:r>
      <w:r>
        <w:rPr>
          <w:rFonts w:ascii="宋体" w:eastAsia="宋体" w:hAnsi="宋体" w:cs="宋体"/>
          <w:sz w:val="21"/>
          <w:szCs w:val="21"/>
        </w:rPr>
        <w:t>本合同一式两份，双方各执一份。本合同附件与本合同具有同等法律效力。</w:t>
      </w:r>
    </w:p>
    <w:p>
      <w:pPr>
        <w:widowControl w:val="0"/>
        <w:spacing w:before="0" w:after="0"/>
        <w:ind w:firstLine="72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 xml:space="preserve">    </w:t>
      </w: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1"/>
          <w:szCs w:val="21"/>
        </w:rPr>
      </w:pPr>
      <w:r>
        <w:rPr>
          <w:rFonts w:ascii="宋体" w:eastAsia="宋体" w:hAnsi="宋体" w:cs="宋体"/>
          <w:sz w:val="21"/>
          <w:szCs w:val="21"/>
        </w:rPr>
        <w:t xml:space="preserve">    </w:t>
      </w:r>
      <w:r>
        <w:rPr>
          <w:rFonts w:ascii="宋体" w:eastAsia="宋体" w:hAnsi="宋体" w:cs="宋体"/>
          <w:sz w:val="21"/>
          <w:szCs w:val="21"/>
        </w:rPr>
        <w:t>供电人（盖章）：</w:t>
      </w:r>
      <w:r>
        <w:rPr>
          <w:rFonts w:ascii="宋体" w:eastAsia="宋体" w:hAnsi="宋体" w:cs="宋体"/>
          <w:sz w:val="21"/>
          <w:szCs w:val="21"/>
        </w:rPr>
        <w:t xml:space="preserve">                   </w:t>
      </w:r>
      <w:r>
        <w:rPr>
          <w:rFonts w:ascii="宋体" w:eastAsia="宋体" w:hAnsi="宋体" w:cs="宋体"/>
          <w:sz w:val="21"/>
          <w:szCs w:val="21"/>
        </w:rPr>
        <w:t>用电人（签章）：</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代理人（签章）：</w:t>
      </w:r>
      <w:r>
        <w:rPr>
          <w:rFonts w:ascii="宋体" w:eastAsia="宋体" w:hAnsi="宋体" w:cs="宋体"/>
          <w:sz w:val="21"/>
          <w:szCs w:val="21"/>
        </w:rPr>
        <w:t xml:space="preserve">                   </w:t>
      </w:r>
      <w:r>
        <w:rPr>
          <w:rFonts w:ascii="宋体" w:eastAsia="宋体" w:hAnsi="宋体" w:cs="宋体"/>
          <w:sz w:val="21"/>
          <w:szCs w:val="21"/>
        </w:rPr>
        <w:t>代理人（签章）：</w:t>
      </w:r>
      <w:r>
        <w:rPr>
          <w:rFonts w:ascii="宋体" w:eastAsia="宋体" w:hAnsi="宋体" w:cs="宋体"/>
          <w:sz w:val="21"/>
          <w:szCs w:val="21"/>
        </w:rPr>
        <w:t xml:space="preserve">          </w:t>
      </w:r>
    </w:p>
    <w:p>
      <w:pPr>
        <w:widowControl w:val="0"/>
        <w:spacing w:before="0" w:after="0"/>
        <w:ind w:firstLine="420"/>
        <w:jc w:val="both"/>
        <w:rPr>
          <w:rFonts w:ascii="Times New Roman" w:eastAsia="Times New Roman" w:hAnsi="Times New Roman" w:cs="Times New Roman"/>
          <w:sz w:val="21"/>
          <w:szCs w:val="21"/>
        </w:rPr>
      </w:pPr>
      <w:r>
        <w:rPr>
          <w:rFonts w:ascii="宋体" w:eastAsia="宋体" w:hAnsi="宋体" w:cs="宋体"/>
          <w:sz w:val="21"/>
          <w:szCs w:val="21"/>
        </w:rPr>
        <w:t>时间：</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r>
        <w:rPr>
          <w:rFonts w:ascii="宋体" w:eastAsia="宋体" w:hAnsi="宋体" w:cs="宋体"/>
          <w:sz w:val="21"/>
          <w:szCs w:val="21"/>
        </w:rPr>
        <w:t xml:space="preserve">            </w:t>
      </w:r>
      <w:r>
        <w:rPr>
          <w:rFonts w:ascii="宋体" w:eastAsia="宋体" w:hAnsi="宋体" w:cs="宋体"/>
          <w:sz w:val="21"/>
          <w:szCs w:val="21"/>
        </w:rPr>
        <w:t>时间：</w:t>
      </w:r>
      <w:r>
        <w:rPr>
          <w:rFonts w:ascii="宋体" w:eastAsia="宋体" w:hAnsi="宋体" w:cs="宋体"/>
          <w:sz w:val="21"/>
          <w:szCs w:val="21"/>
        </w:rPr>
        <w:t xml:space="preserve">    </w:t>
      </w:r>
      <w:r>
        <w:rPr>
          <w:rFonts w:ascii="宋体" w:eastAsia="宋体" w:hAnsi="宋体" w:cs="宋体"/>
          <w:sz w:val="21"/>
          <w:szCs w:val="21"/>
        </w:rPr>
        <w:t>年</w:t>
      </w:r>
      <w:r>
        <w:rPr>
          <w:rFonts w:ascii="宋体" w:eastAsia="宋体" w:hAnsi="宋体" w:cs="宋体"/>
          <w:sz w:val="21"/>
          <w:szCs w:val="21"/>
        </w:rPr>
        <w:t xml:space="preserve">   </w:t>
      </w:r>
      <w:r>
        <w:rPr>
          <w:rFonts w:ascii="宋体" w:eastAsia="宋体" w:hAnsi="宋体" w:cs="宋体"/>
          <w:sz w:val="21"/>
          <w:szCs w:val="21"/>
        </w:rPr>
        <w:t>月</w:t>
      </w:r>
      <w:r>
        <w:rPr>
          <w:rFonts w:ascii="宋体" w:eastAsia="宋体" w:hAnsi="宋体" w:cs="宋体"/>
          <w:sz w:val="21"/>
          <w:szCs w:val="21"/>
        </w:rPr>
        <w:t xml:space="preserve">   </w:t>
      </w:r>
      <w:r>
        <w:rPr>
          <w:rFonts w:ascii="宋体" w:eastAsia="宋体" w:hAnsi="宋体" w:cs="宋体"/>
          <w:sz w:val="21"/>
          <w:szCs w:val="21"/>
        </w:rPr>
        <w:t>日</w:t>
      </w: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ind w:firstLine="42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rPr>
      </w:pPr>
      <w:r>
        <w:rPr>
          <w:rFonts w:ascii="宋体" w:eastAsia="宋体" w:hAnsi="宋体" w:cs="宋体"/>
          <w:b/>
          <w:bCs/>
        </w:rPr>
        <w:t>附件</w:t>
      </w:r>
    </w:p>
    <w:p>
      <w:pPr>
        <w:widowControl w:val="0"/>
        <w:spacing w:before="0" w:after="0"/>
        <w:jc w:val="center"/>
        <w:rPr>
          <w:rFonts w:ascii="Times New Roman" w:eastAsia="Times New Roman" w:hAnsi="Times New Roman" w:cs="Times New Roman"/>
          <w:sz w:val="30"/>
          <w:szCs w:val="30"/>
        </w:rPr>
      </w:pPr>
      <w:r>
        <w:rPr>
          <w:rFonts w:ascii="宋体" w:eastAsia="宋体" w:hAnsi="宋体" w:cs="宋体"/>
          <w:b/>
          <w:bCs/>
          <w:spacing w:val="20"/>
          <w:sz w:val="30"/>
          <w:szCs w:val="30"/>
        </w:rPr>
        <w:t>居民生活用电登记表</w:t>
      </w:r>
    </w:p>
    <w:tbl>
      <w:tblPr>
        <w:tblW w:w="5000" w:type="pct"/>
        <w:jc w:val="center"/>
        <w:tblCellMar>
          <w:top w:w="0" w:type="dxa"/>
          <w:left w:w="0" w:type="dxa"/>
          <w:bottom w:w="0" w:type="dxa"/>
          <w:right w:w="0" w:type="dxa"/>
        </w:tblCellMar>
      </w:tblPr>
      <w:tblGrid>
        <w:gridCol w:w="1173"/>
        <w:gridCol w:w="811"/>
        <w:gridCol w:w="24"/>
        <w:gridCol w:w="502"/>
        <w:gridCol w:w="1092"/>
        <w:gridCol w:w="2155"/>
        <w:gridCol w:w="224"/>
        <w:gridCol w:w="3203"/>
      </w:tblGrid>
      <w:tr>
        <w:tblPrEx>
          <w:tblW w:w="5000" w:type="pct"/>
          <w:jc w:val="center"/>
          <w:tblCellMar>
            <w:top w:w="0" w:type="dxa"/>
            <w:left w:w="0" w:type="dxa"/>
            <w:bottom w:w="0" w:type="dxa"/>
            <w:right w:w="0" w:type="dxa"/>
          </w:tblCellMar>
        </w:tblPrEx>
        <w:trPr>
          <w:jc w:val="center"/>
        </w:trPr>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电</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人</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资</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料</w:t>
            </w:r>
          </w:p>
        </w:tc>
      </w:tr>
      <w:tr>
        <w:tblPrEx>
          <w:tblW w:w="5000" w:type="pct"/>
          <w:jc w:val="center"/>
          <w:tblCellMar>
            <w:top w:w="0" w:type="dxa"/>
            <w:left w:w="0" w:type="dxa"/>
            <w:bottom w:w="0" w:type="dxa"/>
            <w:right w:w="0" w:type="dxa"/>
          </w:tblCellMar>
        </w:tblPrEx>
        <w:trPr>
          <w:trHeight w:val="502"/>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用电人</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ind w:firstLine="10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户</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9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用电地址</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ind w:firstLine="42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用电容量</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ind w:firstLine="42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千瓦</w:t>
            </w: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联系电话</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手机</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座</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机</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通信地址</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邮</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编</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房产证号</w:t>
            </w: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身份证号</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用电性质</w:t>
            </w:r>
          </w:p>
        </w:tc>
        <w:tc>
          <w:tcPr>
            <w:gridSpan w:val="7"/>
            <w:tcBorders>
              <w:left w:val="single" w:sz="6" w:space="0" w:color="000000"/>
              <w:bottom w:val="single" w:sz="6" w:space="0" w:color="000000"/>
              <w:right w:val="single" w:sz="6" w:space="0" w:color="000000"/>
            </w:tcBorders>
            <w:noWrap w:val="0"/>
            <w:tcMar>
              <w:top w:w="5"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240"/>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交费方式</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405"/>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其他说明</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615"/>
          <w:jc w:val="center"/>
        </w:trPr>
        <w:tc>
          <w:tcPr>
            <w:gridSpan w:val="8"/>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电</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代</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理</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人 资</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料</w:t>
            </w: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代理人姓名</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身份证号</w:t>
            </w:r>
          </w:p>
        </w:tc>
        <w:tc>
          <w:tcPr>
            <w:gridSpan w:val="3"/>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联系电话</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3084"/>
          <w:jc w:val="center"/>
        </w:trPr>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240" w:lineRule="atLeast"/>
              <w:ind w:firstLine="42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供电线路产权分界示意图</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 xml:space="preserve"> </w:t>
            </w:r>
          </w:p>
          <w:p>
            <w:pPr>
              <w:widowControl w:val="0"/>
              <w:spacing w:before="0" w:after="0" w:line="240" w:lineRule="atLeast"/>
              <w:jc w:val="both"/>
              <w:rPr>
                <w:rFonts w:ascii="Times New Roman" w:eastAsia="Times New Roman" w:hAnsi="Times New Roman" w:cs="Times New Roman"/>
                <w:b w:val="0"/>
                <w:bCs w:val="0"/>
                <w:i w:val="0"/>
                <w:iCs w:val="0"/>
                <w:smallCaps w:val="0"/>
                <w:color w:val="000000"/>
              </w:rPr>
            </w:pPr>
          </w:p>
          <w:p>
            <w:pPr>
              <w:spacing w:before="0" w:after="0" w:line="240" w:lineRule="atLeast"/>
              <w:ind w:firstLine="288"/>
              <w:jc w:val="both"/>
              <w:rPr>
                <w:rFonts w:ascii="Times New Roman" w:eastAsia="Times New Roman" w:hAnsi="Times New Roman" w:cs="Times New Roman"/>
                <w:b w:val="0"/>
                <w:bCs w:val="0"/>
                <w:i w:val="0"/>
                <w:iCs w:val="0"/>
                <w:smallCaps w:val="0"/>
                <w:color w:val="000000"/>
              </w:rPr>
            </w:pPr>
            <w:r>
              <w:rPr>
                <w:rFonts w:ascii="Times New Roman" w:eastAsia="Times New Roman" w:hAnsi="Times New Roman" w:cs="Times New Roman"/>
                <w:b w:val="0"/>
                <w:bCs w:val="0"/>
                <w:i w:val="0"/>
                <w:iCs w:val="0"/>
                <w:smallCaps w:val="0"/>
                <w:strike w:val="0"/>
                <w:color w:val="000000"/>
                <w:u w:val="none"/>
              </w:rPr>
              <w:drawing>
                <wp:inline>
                  <wp:extent cx="1438275" cy="895350"/>
                  <wp:docPr id="100003" name="" descr="新图片(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438275" cy="895350"/>
                          </a:xfrm>
                          <a:prstGeom prst="rect">
                            <a:avLst/>
                          </a:prstGeom>
                        </pic:spPr>
                      </pic:pic>
                    </a:graphicData>
                  </a:graphic>
                </wp:inline>
              </w:drawing>
            </w:r>
          </w:p>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特别说明：本人特此声明以上所提供的资料完全属实，并愿意签订居民生活用电合同，遵守所签合同中的各项条款。</w:t>
            </w:r>
          </w:p>
          <w:p>
            <w:pPr>
              <w:widowControl w:val="0"/>
              <w:spacing w:before="0" w:after="0" w:line="560" w:lineRule="atLeast"/>
              <w:ind w:firstLine="189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用电人签名：</w:t>
            </w:r>
          </w:p>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（或用电人授权认可的经办人签名）</w:t>
            </w:r>
          </w:p>
          <w:p>
            <w:pPr>
              <w:spacing w:before="0" w:after="0"/>
              <w:ind w:firstLine="2205"/>
              <w:rPr>
                <w:rFonts w:ascii="Times New Roman" w:eastAsia="Times New Roman" w:hAnsi="Times New Roman" w:cs="Times New Roman"/>
                <w:b w:val="0"/>
                <w:bCs w:val="0"/>
                <w:i w:val="0"/>
                <w:iCs w:val="0"/>
                <w:smallCaps w:val="0"/>
                <w:color w:val="000000"/>
                <w:sz w:val="21"/>
                <w:szCs w:val="21"/>
              </w:rPr>
            </w:pP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p>
        </w:tc>
      </w:tr>
      <w:tr>
        <w:tblPrEx>
          <w:tblW w:w="5000" w:type="pct"/>
          <w:jc w:val="center"/>
          <w:tblCellMar>
            <w:top w:w="0" w:type="dxa"/>
            <w:left w:w="0" w:type="dxa"/>
            <w:bottom w:w="0" w:type="dxa"/>
            <w:right w:w="0" w:type="dxa"/>
          </w:tblCellMar>
        </w:tblPrEx>
        <w:trPr>
          <w:jc w:val="center"/>
        </w:trPr>
        <w:tc>
          <w:tcPr>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供电人填写</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ind w:firstLine="210"/>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受理人</w:t>
            </w:r>
          </w:p>
        </w:tc>
        <w:tc>
          <w:tcPr>
            <w:gridSpan w:val="2"/>
            <w:vMerge w:val="restart"/>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ind w:firstLine="315"/>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查询号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trHeight w:val="503"/>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合同编号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vMerge/>
            <w:tcBorders>
              <w:top w:val="single" w:sz="6" w:space="0" w:color="000000"/>
              <w:left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gridSpan w:val="4"/>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受理日期：</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年</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月</w:t>
            </w:r>
            <w:r>
              <w:rPr>
                <w:rFonts w:ascii="宋体" w:eastAsia="宋体" w:hAnsi="宋体" w:cs="宋体"/>
                <w:b w:val="0"/>
                <w:bCs w:val="0"/>
                <w:i w:val="0"/>
                <w:iCs w:val="0"/>
                <w:smallCaps w:val="0"/>
                <w:color w:val="000000"/>
                <w:sz w:val="21"/>
                <w:szCs w:val="21"/>
              </w:rPr>
              <w:t xml:space="preserve">    </w:t>
            </w:r>
            <w:r>
              <w:rPr>
                <w:rFonts w:ascii="宋体" w:eastAsia="宋体" w:hAnsi="宋体" w:cs="宋体"/>
                <w:b w:val="0"/>
                <w:bCs w:val="0"/>
                <w:i w:val="0"/>
                <w:iCs w:val="0"/>
                <w:smallCaps w:val="0"/>
                <w:color w:val="000000"/>
                <w:sz w:val="21"/>
                <w:szCs w:val="21"/>
              </w:rPr>
              <w:t>日</w:t>
            </w:r>
          </w:p>
        </w:tc>
        <w:tc>
          <w:tcPr>
            <w:gridSpan w:val="2"/>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供电人盖章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p>
        </w:tc>
      </w:tr>
      <w:tr>
        <w:tblPrEx>
          <w:tblW w:w="5000" w:type="pct"/>
          <w:jc w:val="center"/>
          <w:tblCellMar>
            <w:top w:w="0" w:type="dxa"/>
            <w:left w:w="0" w:type="dxa"/>
            <w:bottom w:w="0" w:type="dxa"/>
            <w:right w:w="0" w:type="dxa"/>
          </w:tblCellMar>
        </w:tblPrEx>
        <w:trPr>
          <w:jc w:val="center"/>
        </w:trPr>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56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1"/>
                <w:szCs w:val="21"/>
              </w:rPr>
              <w:t>备注</w:t>
            </w:r>
          </w:p>
        </w:tc>
        <w:tc>
          <w:tcPr>
            <w:gridSpan w:val="7"/>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56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jc w:val="both"/>
        <w:rPr>
          <w:rFonts w:ascii="Times New Roman" w:eastAsia="Times New Roman" w:hAnsi="Times New Roman" w:cs="Times New Roman"/>
          <w:sz w:val="21"/>
          <w:szCs w:val="21"/>
        </w:rPr>
      </w:pPr>
    </w:p>
    <w:p w:rsidR="00A77B3E"/>
    <w:sectPr>
      <w:footerReference w:type="default" r:id="rId6"/>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28600" cy="1333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1"/>
                  <a:stretch>
                    <a:fillRect/>
                  </a:stretch>
                </pic:blipFill>
                <pic:spPr>
                  <a:xfrm>
                    <a:off x="0" y="0"/>
                    <a:ext cx="2286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footer" Target="footer1.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CH-2013-01</dc:title>
  <cp:revision>1</cp:revision>
</cp:coreProperties>
</file>