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GF—2004—2505</w:t>
      </w:r>
    </w:p>
    <w:p>
      <w:pPr>
        <w:widowControl w:val="0"/>
        <w:spacing w:before="7" w:after="0"/>
        <w:rPr>
          <w:rFonts w:ascii="Times New Roman" w:eastAsia="Times New Roman" w:hAnsi="Times New Roman" w:cs="Times New Roman"/>
          <w:sz w:val="43"/>
          <w:szCs w:val="43"/>
        </w:rPr>
      </w:pPr>
    </w:p>
    <w:p>
      <w:pPr>
        <w:widowControl w:val="0"/>
        <w:spacing w:before="0" w:after="0"/>
        <w:ind w:right="98"/>
        <w:jc w:val="center"/>
        <w:rPr>
          <w:rFonts w:ascii="Times New Roman" w:eastAsia="Times New Roman" w:hAnsi="Times New Roman" w:cs="Times New Roman"/>
          <w:sz w:val="40"/>
          <w:szCs w:val="40"/>
        </w:rPr>
      </w:pPr>
      <w:r>
        <w:rPr>
          <w:rFonts w:ascii="宋体" w:eastAsia="宋体" w:hAnsi="宋体" w:cs="宋体"/>
          <w:color w:val="231F20"/>
          <w:sz w:val="40"/>
          <w:szCs w:val="40"/>
        </w:rPr>
        <w:t>城市生活垃圾处理特许经营协议</w:t>
      </w:r>
    </w:p>
    <w:p>
      <w:pPr>
        <w:widowControl w:val="0"/>
        <w:spacing w:before="151"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11" w:after="0"/>
        <w:rPr>
          <w:rFonts w:ascii="Times New Roman" w:eastAsia="Times New Roman" w:hAnsi="Times New Roman" w:cs="Times New Roman"/>
          <w:sz w:val="41"/>
          <w:szCs w:val="41"/>
        </w:rPr>
      </w:pPr>
    </w:p>
    <w:p>
      <w:pPr>
        <w:widowControl w:val="0"/>
        <w:tabs>
          <w:tab w:val="left" w:pos="47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目</w:t>
      </w:r>
      <w:r>
        <w:rPr>
          <w:rFonts w:ascii="宋体" w:eastAsia="宋体" w:hAnsi="宋体" w:cs="宋体"/>
          <w:color w:val="231F20"/>
          <w:sz w:val="24"/>
          <w:szCs w:val="24"/>
        </w:rPr>
        <w:tab/>
      </w:r>
      <w:r>
        <w:rPr>
          <w:rFonts w:ascii="宋体" w:eastAsia="宋体" w:hAnsi="宋体" w:cs="宋体"/>
          <w:color w:val="231F20"/>
        </w:rPr>
        <w:t>录</w:t>
      </w:r>
    </w:p>
    <w:p>
      <w:pPr>
        <w:widowControl w:val="0"/>
        <w:spacing w:before="0"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总则</w:t>
      </w:r>
    </w:p>
    <w:p>
      <w:pPr>
        <w:widowControl w:val="0"/>
        <w:tabs>
          <w:tab w:val="left" w:pos="1437"/>
        </w:tabs>
        <w:spacing w:before="89" w:after="0" w:line="305" w:lineRule="auto"/>
        <w:ind w:left="557" w:right="6646"/>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目录与解释 第三章</w:t>
      </w:r>
      <w:r>
        <w:rPr>
          <w:rFonts w:ascii="宋体" w:eastAsia="宋体" w:hAnsi="宋体" w:cs="宋体"/>
          <w:color w:val="231F20"/>
          <w:sz w:val="22"/>
          <w:szCs w:val="22"/>
        </w:rPr>
        <w:tab/>
      </w:r>
      <w:r>
        <w:rPr>
          <w:rFonts w:ascii="宋体" w:eastAsia="宋体" w:hAnsi="宋体" w:cs="宋体"/>
          <w:color w:val="231F20"/>
          <w:sz w:val="22"/>
          <w:szCs w:val="22"/>
        </w:rPr>
        <w:t>特许经营权 第四章</w:t>
      </w:r>
      <w:r>
        <w:rPr>
          <w:rFonts w:ascii="宋体" w:eastAsia="宋体" w:hAnsi="宋体" w:cs="宋体"/>
          <w:color w:val="231F20"/>
          <w:sz w:val="22"/>
          <w:szCs w:val="22"/>
        </w:rPr>
        <w:tab/>
      </w:r>
      <w:r>
        <w:rPr>
          <w:rFonts w:ascii="宋体" w:eastAsia="宋体" w:hAnsi="宋体" w:cs="宋体"/>
          <w:color w:val="231F20"/>
          <w:sz w:val="22"/>
          <w:szCs w:val="22"/>
        </w:rPr>
        <w:t>新建项目建设</w:t>
      </w:r>
    </w:p>
    <w:p>
      <w:pPr>
        <w:widowControl w:val="0"/>
        <w:tabs>
          <w:tab w:val="left" w:pos="1437"/>
        </w:tabs>
        <w:spacing w:before="21" w:after="0" w:line="305" w:lineRule="auto"/>
        <w:ind w:left="557" w:right="6206"/>
        <w:rPr>
          <w:rFonts w:ascii="Times New Roman" w:eastAsia="Times New Roman" w:hAnsi="Times New Roman" w:cs="Times New Roman"/>
          <w:sz w:val="22"/>
          <w:szCs w:val="22"/>
        </w:rPr>
      </w:pPr>
      <w:r>
        <w:rPr>
          <w:rFonts w:ascii="宋体" w:eastAsia="宋体" w:hAnsi="宋体" w:cs="宋体"/>
          <w:color w:val="231F20"/>
          <w:sz w:val="22"/>
          <w:szCs w:val="22"/>
        </w:rPr>
        <w:t>第五章</w:t>
      </w:r>
      <w:r>
        <w:rPr>
          <w:rFonts w:ascii="宋体" w:eastAsia="宋体" w:hAnsi="宋体" w:cs="宋体"/>
          <w:color w:val="231F20"/>
          <w:sz w:val="22"/>
          <w:szCs w:val="22"/>
        </w:rPr>
        <w:tab/>
      </w:r>
      <w:r>
        <w:rPr>
          <w:rFonts w:ascii="宋体" w:eastAsia="宋体" w:hAnsi="宋体" w:cs="宋体"/>
          <w:color w:val="231F20"/>
          <w:sz w:val="22"/>
          <w:szCs w:val="22"/>
        </w:rPr>
        <w:t>项目的运营与维护第六章</w:t>
      </w:r>
      <w:r>
        <w:rPr>
          <w:rFonts w:ascii="宋体" w:eastAsia="宋体" w:hAnsi="宋体" w:cs="宋体"/>
          <w:color w:val="231F20"/>
          <w:sz w:val="22"/>
          <w:szCs w:val="22"/>
        </w:rPr>
        <w:tab/>
      </w:r>
      <w:r>
        <w:rPr>
          <w:rFonts w:ascii="宋体" w:eastAsia="宋体" w:hAnsi="宋体" w:cs="宋体"/>
          <w:color w:val="231F20"/>
          <w:sz w:val="22"/>
          <w:szCs w:val="22"/>
        </w:rPr>
        <w:t>项目的移交</w:t>
      </w:r>
    </w:p>
    <w:p>
      <w:pPr>
        <w:widowControl w:val="0"/>
        <w:tabs>
          <w:tab w:val="left" w:pos="1437"/>
        </w:tabs>
        <w:spacing w:before="21" w:after="0" w:line="305" w:lineRule="auto"/>
        <w:ind w:left="557" w:right="6426"/>
        <w:rPr>
          <w:rFonts w:ascii="Times New Roman" w:eastAsia="Times New Roman" w:hAnsi="Times New Roman" w:cs="Times New Roman"/>
          <w:sz w:val="22"/>
          <w:szCs w:val="22"/>
        </w:rPr>
      </w:pPr>
      <w:r>
        <w:rPr>
          <w:rFonts w:ascii="宋体" w:eastAsia="宋体" w:hAnsi="宋体" w:cs="宋体"/>
          <w:color w:val="231F20"/>
          <w:sz w:val="22"/>
          <w:szCs w:val="22"/>
        </w:rPr>
        <w:t>第七章</w:t>
      </w:r>
      <w:r>
        <w:rPr>
          <w:rFonts w:ascii="宋体" w:eastAsia="宋体" w:hAnsi="宋体" w:cs="宋体"/>
          <w:color w:val="231F20"/>
          <w:sz w:val="22"/>
          <w:szCs w:val="22"/>
        </w:rPr>
        <w:tab/>
      </w:r>
      <w:r>
        <w:rPr>
          <w:rFonts w:ascii="宋体" w:eastAsia="宋体" w:hAnsi="宋体" w:cs="宋体"/>
          <w:color w:val="231F20"/>
          <w:sz w:val="22"/>
          <w:szCs w:val="22"/>
        </w:rPr>
        <w:t>双方的一般义务第八章</w:t>
      </w:r>
      <w:r>
        <w:rPr>
          <w:rFonts w:ascii="宋体" w:eastAsia="宋体" w:hAnsi="宋体" w:cs="宋体"/>
          <w:color w:val="231F20"/>
          <w:sz w:val="22"/>
          <w:szCs w:val="22"/>
        </w:rPr>
        <w:tab/>
      </w:r>
      <w:r>
        <w:rPr>
          <w:rFonts w:ascii="宋体" w:eastAsia="宋体" w:hAnsi="宋体" w:cs="宋体"/>
          <w:color w:val="231F20"/>
          <w:sz w:val="22"/>
          <w:szCs w:val="22"/>
        </w:rPr>
        <w:t>违约的补救</w:t>
      </w:r>
    </w:p>
    <w:p>
      <w:pPr>
        <w:widowControl w:val="0"/>
        <w:tabs>
          <w:tab w:val="left" w:pos="1437"/>
        </w:tabs>
        <w:spacing w:before="21" w:after="0" w:line="305" w:lineRule="auto"/>
        <w:ind w:left="557" w:right="5546"/>
        <w:rPr>
          <w:rFonts w:ascii="Times New Roman" w:eastAsia="Times New Roman" w:hAnsi="Times New Roman" w:cs="Times New Roman"/>
          <w:sz w:val="22"/>
          <w:szCs w:val="22"/>
        </w:rPr>
      </w:pPr>
      <w:r>
        <w:rPr>
          <w:rFonts w:ascii="宋体" w:eastAsia="宋体" w:hAnsi="宋体" w:cs="宋体"/>
          <w:color w:val="231F20"/>
          <w:sz w:val="22"/>
          <w:szCs w:val="22"/>
        </w:rPr>
        <w:t>第九章</w:t>
      </w:r>
      <w:r>
        <w:rPr>
          <w:rFonts w:ascii="宋体" w:eastAsia="宋体" w:hAnsi="宋体" w:cs="宋体"/>
          <w:color w:val="231F20"/>
          <w:sz w:val="22"/>
          <w:szCs w:val="22"/>
        </w:rPr>
        <w:tab/>
      </w:r>
      <w:r>
        <w:rPr>
          <w:rFonts w:ascii="宋体" w:eastAsia="宋体" w:hAnsi="宋体" w:cs="宋体"/>
          <w:color w:val="231F20"/>
          <w:sz w:val="22"/>
          <w:szCs w:val="22"/>
        </w:rPr>
        <w:t>协议的转让和合同的批准第十章</w:t>
      </w:r>
      <w:r>
        <w:rPr>
          <w:rFonts w:ascii="宋体" w:eastAsia="宋体" w:hAnsi="宋体" w:cs="宋体"/>
          <w:color w:val="231F20"/>
          <w:sz w:val="22"/>
          <w:szCs w:val="22"/>
        </w:rPr>
        <w:tab/>
      </w:r>
      <w:r>
        <w:rPr>
          <w:rFonts w:ascii="宋体" w:eastAsia="宋体" w:hAnsi="宋体" w:cs="宋体"/>
          <w:color w:val="231F20"/>
          <w:sz w:val="22"/>
          <w:szCs w:val="22"/>
        </w:rPr>
        <w:t>争议的解决</w:t>
      </w:r>
    </w:p>
    <w:p>
      <w:pPr>
        <w:widowControl w:val="0"/>
        <w:tabs>
          <w:tab w:val="left" w:pos="1657"/>
        </w:tabs>
        <w:spacing w:before="21" w:after="0" w:line="305" w:lineRule="auto"/>
        <w:ind w:left="557" w:right="7306"/>
        <w:rPr>
          <w:rFonts w:ascii="Times New Roman" w:eastAsia="Times New Roman" w:hAnsi="Times New Roman" w:cs="Times New Roman"/>
          <w:sz w:val="22"/>
          <w:szCs w:val="22"/>
        </w:rPr>
      </w:pPr>
      <w:r>
        <w:rPr>
          <w:rFonts w:ascii="宋体" w:eastAsia="宋体" w:hAnsi="宋体" w:cs="宋体"/>
          <w:color w:val="231F20"/>
          <w:sz w:val="22"/>
          <w:szCs w:val="22"/>
        </w:rPr>
        <w:t>第十一章</w:t>
      </w:r>
      <w:r>
        <w:rPr>
          <w:rFonts w:ascii="宋体" w:eastAsia="宋体" w:hAnsi="宋体" w:cs="宋体"/>
          <w:color w:val="231F20"/>
          <w:sz w:val="22"/>
          <w:szCs w:val="22"/>
        </w:rPr>
        <w:tab/>
      </w:r>
      <w:r>
        <w:rPr>
          <w:rFonts w:ascii="宋体" w:eastAsia="宋体" w:hAnsi="宋体" w:cs="宋体"/>
          <w:color w:val="231F20"/>
          <w:sz w:val="22"/>
          <w:szCs w:val="22"/>
        </w:rPr>
        <w:t>其他第十二章</w:t>
      </w:r>
      <w:r>
        <w:rPr>
          <w:rFonts w:ascii="宋体" w:eastAsia="宋体" w:hAnsi="宋体" w:cs="宋体"/>
          <w:color w:val="231F20"/>
          <w:sz w:val="22"/>
          <w:szCs w:val="22"/>
        </w:rPr>
        <w:tab/>
      </w:r>
      <w:r>
        <w:rPr>
          <w:rFonts w:ascii="宋体" w:eastAsia="宋体" w:hAnsi="宋体" w:cs="宋体"/>
          <w:color w:val="231F20"/>
          <w:sz w:val="22"/>
          <w:szCs w:val="22"/>
        </w:rPr>
        <w:t>附件</w:t>
      </w:r>
    </w:p>
    <w:p>
      <w:pPr>
        <w:widowControl w:val="0"/>
        <w:tabs>
          <w:tab w:val="left" w:pos="95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总则</w:t>
      </w:r>
    </w:p>
    <w:p>
      <w:pPr>
        <w:widowControl w:val="0"/>
        <w:spacing w:before="8" w:after="0"/>
        <w:rPr>
          <w:rFonts w:ascii="Times New Roman" w:eastAsia="Times New Roman" w:hAnsi="Times New Roman" w:cs="Times New Roman"/>
          <w:sz w:val="16"/>
          <w:szCs w:val="16"/>
        </w:rPr>
      </w:pPr>
    </w:p>
    <w:p>
      <w:pPr>
        <w:widowControl w:val="0"/>
        <w:tabs>
          <w:tab w:val="left" w:pos="1461"/>
        </w:tabs>
        <w:spacing w:before="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为规范城市生活垃圾处理市</w:t>
      </w:r>
      <w:r>
        <w:rPr>
          <w:rFonts w:ascii="宋体" w:eastAsia="宋体" w:hAnsi="宋体" w:cs="宋体"/>
          <w:color w:val="231F20"/>
          <w:sz w:val="22"/>
          <w:szCs w:val="22"/>
        </w:rPr>
        <w:t>场</w:t>
      </w:r>
      <w:r>
        <w:rPr>
          <w:rFonts w:ascii="宋体" w:eastAsia="宋体" w:hAnsi="宋体" w:cs="宋体"/>
          <w:color w:val="231F20"/>
          <w:spacing w:val="5"/>
          <w:sz w:val="22"/>
          <w:szCs w:val="22"/>
        </w:rPr>
        <w:t>，加强城市生活垃圾处理企业管</w:t>
      </w:r>
      <w:r>
        <w:rPr>
          <w:rFonts w:ascii="宋体" w:eastAsia="宋体" w:hAnsi="宋体" w:cs="宋体"/>
          <w:color w:val="231F20"/>
          <w:sz w:val="22"/>
          <w:szCs w:val="22"/>
        </w:rPr>
        <w:t>理</w:t>
      </w:r>
      <w:r>
        <w:rPr>
          <w:rFonts w:ascii="宋体" w:eastAsia="宋体" w:hAnsi="宋体" w:cs="宋体"/>
          <w:color w:val="231F20"/>
          <w:spacing w:val="5"/>
          <w:sz w:val="22"/>
          <w:szCs w:val="22"/>
        </w:rPr>
        <w:t>，保证按照有 关法</w:t>
      </w:r>
      <w:r>
        <w:rPr>
          <w:rFonts w:ascii="宋体" w:eastAsia="宋体" w:hAnsi="宋体" w:cs="宋体"/>
          <w:color w:val="231F20"/>
          <w:sz w:val="22"/>
          <w:szCs w:val="22"/>
        </w:rPr>
        <w:t>律</w:t>
      </w:r>
      <w:r>
        <w:rPr>
          <w:rFonts w:ascii="宋体" w:eastAsia="宋体" w:hAnsi="宋体" w:cs="宋体"/>
          <w:color w:val="231F20"/>
          <w:spacing w:val="5"/>
          <w:sz w:val="22"/>
          <w:szCs w:val="22"/>
        </w:rPr>
        <w:t>、法规和标准和规范的要求实施城市垃圾处</w:t>
      </w:r>
      <w:r>
        <w:rPr>
          <w:rFonts w:ascii="宋体" w:eastAsia="宋体" w:hAnsi="宋体" w:cs="宋体"/>
          <w:color w:val="231F20"/>
          <w:sz w:val="22"/>
          <w:szCs w:val="22"/>
        </w:rPr>
        <w:t>理</w:t>
      </w:r>
      <w:r>
        <w:rPr>
          <w:rFonts w:ascii="宋体" w:eastAsia="宋体" w:hAnsi="宋体" w:cs="宋体"/>
          <w:color w:val="231F20"/>
          <w:spacing w:val="5"/>
          <w:sz w:val="22"/>
          <w:szCs w:val="22"/>
        </w:rPr>
        <w:t>，维护垃圾处理企业的合法权</w:t>
      </w:r>
      <w:r>
        <w:rPr>
          <w:rFonts w:ascii="宋体" w:eastAsia="宋体" w:hAnsi="宋体" w:cs="宋体"/>
          <w:color w:val="231F20"/>
          <w:sz w:val="22"/>
          <w:szCs w:val="22"/>
        </w:rPr>
        <w:t>益</w:t>
      </w:r>
      <w:r>
        <w:rPr>
          <w:rFonts w:ascii="宋体" w:eastAsia="宋体" w:hAnsi="宋体" w:cs="宋体"/>
          <w:color w:val="231F20"/>
          <w:spacing w:val="5"/>
          <w:sz w:val="22"/>
          <w:szCs w:val="22"/>
        </w:rPr>
        <w:t>，根据</w:t>
      </w:r>
    </w:p>
    <w:p>
      <w:pPr>
        <w:widowControl w:val="0"/>
        <w:tabs>
          <w:tab w:val="left" w:pos="777"/>
          <w:tab w:val="left" w:pos="2191"/>
          <w:tab w:val="left" w:pos="4251"/>
        </w:tabs>
        <w:spacing w:before="20" w:after="0"/>
        <w:ind w:left="117"/>
        <w:rPr>
          <w:rFonts w:ascii="方正书宋_GBK" w:eastAsia="方正书宋_GBK" w:hAnsi="方正书宋_GBK" w:cs="方正书宋_GBK"/>
          <w:sz w:val="22"/>
          <w:szCs w:val="22"/>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4"/>
          <w:sz w:val="22"/>
          <w:szCs w:val="22"/>
        </w:rPr>
        <w:t xml:space="preserve"> </w:t>
      </w:r>
      <w:r>
        <w:rPr>
          <w:rFonts w:ascii="宋体" w:eastAsia="宋体" w:hAnsi="宋体" w:cs="宋体"/>
          <w:color w:val="231F20"/>
          <w:spacing w:val="30"/>
          <w:sz w:val="22"/>
          <w:szCs w:val="22"/>
        </w:rPr>
        <w:t>和中</w:t>
      </w:r>
      <w:r>
        <w:rPr>
          <w:rFonts w:ascii="宋体" w:eastAsia="宋体" w:hAnsi="宋体" w:cs="宋体"/>
          <w:color w:val="231F20"/>
          <w:sz w:val="22"/>
          <w:szCs w:val="22"/>
        </w:rPr>
        <w:t>国</w:t>
      </w:r>
      <w:r>
        <w:rPr>
          <w:rFonts w:ascii="宋体" w:eastAsia="宋体" w:hAnsi="宋体" w:cs="宋体"/>
          <w:color w:val="231F20"/>
          <w:sz w:val="20"/>
          <w:szCs w:val="20"/>
          <w:u w:val="single"/>
        </w:rPr>
        <w:tab/>
      </w:r>
      <w:r>
        <w:rPr>
          <w:rFonts w:ascii="宋体" w:eastAsia="宋体" w:hAnsi="宋体" w:cs="宋体"/>
          <w:color w:val="231F20"/>
          <w:sz w:val="22"/>
          <w:szCs w:val="22"/>
        </w:rPr>
        <w:t>省（</w:t>
      </w:r>
      <w:r>
        <w:rPr>
          <w:rFonts w:ascii="宋体" w:eastAsia="宋体" w:hAnsi="宋体" w:cs="宋体"/>
          <w:color w:val="231F20"/>
          <w:spacing w:val="-23"/>
          <w:sz w:val="22"/>
          <w:szCs w:val="22"/>
        </w:rPr>
        <w:t xml:space="preserve"> </w:t>
      </w:r>
      <w:r>
        <w:rPr>
          <w:rFonts w:ascii="宋体" w:eastAsia="宋体" w:hAnsi="宋体" w:cs="宋体"/>
          <w:color w:val="231F20"/>
          <w:spacing w:val="30"/>
          <w:sz w:val="22"/>
          <w:szCs w:val="22"/>
        </w:rPr>
        <w:t>自治区</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市（</w:t>
      </w:r>
      <w:r>
        <w:rPr>
          <w:rFonts w:ascii="宋体" w:eastAsia="宋体" w:hAnsi="宋体" w:cs="宋体"/>
          <w:color w:val="231F20"/>
          <w:spacing w:val="-19"/>
          <w:sz w:val="22"/>
          <w:szCs w:val="22"/>
        </w:rPr>
        <w:t xml:space="preserve"> </w:t>
      </w:r>
      <w:r>
        <w:rPr>
          <w:rFonts w:ascii="宋体" w:eastAsia="宋体" w:hAnsi="宋体" w:cs="宋体"/>
          <w:color w:val="231F20"/>
          <w:spacing w:val="30"/>
          <w:sz w:val="22"/>
          <w:szCs w:val="22"/>
        </w:rPr>
        <w:t>县</w:t>
      </w:r>
      <w:r>
        <w:rPr>
          <w:rFonts w:ascii="宋体" w:eastAsia="宋体" w:hAnsi="宋体" w:cs="宋体"/>
          <w:color w:val="231F20"/>
          <w:sz w:val="22"/>
          <w:szCs w:val="22"/>
        </w:rPr>
        <w:t>）</w:t>
      </w:r>
      <w:r>
        <w:rPr>
          <w:rFonts w:ascii="宋体" w:eastAsia="宋体" w:hAnsi="宋体" w:cs="宋体"/>
          <w:color w:val="231F20"/>
          <w:spacing w:val="-19"/>
          <w:sz w:val="22"/>
          <w:szCs w:val="22"/>
        </w:rPr>
        <w:t xml:space="preserve"> </w:t>
      </w:r>
      <w:r>
        <w:rPr>
          <w:rFonts w:ascii="宋体" w:eastAsia="宋体" w:hAnsi="宋体" w:cs="宋体"/>
          <w:color w:val="231F20"/>
          <w:spacing w:val="30"/>
          <w:sz w:val="22"/>
          <w:szCs w:val="22"/>
        </w:rPr>
        <w:t>人民政府授</w:t>
      </w:r>
      <w:r>
        <w:rPr>
          <w:rFonts w:ascii="宋体" w:eastAsia="宋体" w:hAnsi="宋体" w:cs="宋体"/>
          <w:color w:val="231F20"/>
          <w:sz w:val="22"/>
          <w:szCs w:val="22"/>
        </w:rPr>
        <w:t>权，</w:t>
      </w:r>
      <w:r>
        <w:rPr>
          <w:rFonts w:ascii="宋体" w:eastAsia="宋体" w:hAnsi="宋体" w:cs="宋体"/>
          <w:color w:val="231F20"/>
          <w:spacing w:val="-19"/>
          <w:sz w:val="22"/>
          <w:szCs w:val="22"/>
        </w:rPr>
        <w:t xml:space="preserve"> </w:t>
      </w:r>
      <w:r>
        <w:rPr>
          <w:rFonts w:ascii="宋体" w:eastAsia="宋体" w:hAnsi="宋体" w:cs="宋体"/>
          <w:color w:val="231F20"/>
          <w:spacing w:val="30"/>
          <w:sz w:val="22"/>
          <w:szCs w:val="22"/>
        </w:rPr>
        <w:t>由第二条所述双方</w:t>
      </w:r>
      <w:r>
        <w:rPr>
          <w:rFonts w:ascii="宋体" w:eastAsia="宋体" w:hAnsi="宋体" w:cs="宋体"/>
          <w:color w:val="231F20"/>
          <w:sz w:val="22"/>
          <w:szCs w:val="22"/>
        </w:rPr>
        <w:t>于</w:t>
      </w:r>
    </w:p>
    <w:p>
      <w:pPr>
        <w:widowControl w:val="0"/>
        <w:tabs>
          <w:tab w:val="left" w:pos="997"/>
          <w:tab w:val="left" w:pos="1877"/>
          <w:tab w:val="left" w:pos="2757"/>
          <w:tab w:val="left" w:pos="4297"/>
          <w:tab w:val="left" w:pos="6167"/>
        </w:tabs>
        <w:spacing w:before="8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日在中国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省（自治区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市（县）签署本协议。</w:t>
      </w:r>
    </w:p>
    <w:p>
      <w:pPr>
        <w:widowControl w:val="0"/>
        <w:tabs>
          <w:tab w:val="left" w:pos="1398"/>
          <w:tab w:val="left" w:pos="1450"/>
          <w:tab w:val="left" w:pos="3617"/>
          <w:tab w:val="left" w:pos="4608"/>
          <w:tab w:val="left" w:pos="5892"/>
          <w:tab w:val="left" w:pos="9078"/>
        </w:tabs>
        <w:spacing w:before="83" w:after="0" w:line="305" w:lineRule="auto"/>
        <w:ind w:left="117" w:right="105" w:firstLine="440"/>
        <w:rPr>
          <w:rFonts w:ascii="Times New Roman" w:eastAsia="Times New Roman" w:hAnsi="Times New Roman" w:cs="Times New Roman"/>
          <w:sz w:val="22"/>
          <w:szCs w:val="22"/>
          <w:u w:val="single"/>
        </w:rPr>
      </w:pPr>
      <w:r>
        <w:rPr>
          <w:rFonts w:ascii="宋体" w:eastAsia="宋体" w:hAnsi="宋体" w:cs="宋体"/>
          <w:color w:val="231F20"/>
          <w:spacing w:val="3"/>
          <w:sz w:val="22"/>
          <w:szCs w:val="22"/>
        </w:rPr>
        <w:t>第二</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3"/>
          <w:sz w:val="22"/>
          <w:szCs w:val="22"/>
        </w:rPr>
        <w:t>协议一</w:t>
      </w:r>
      <w:r>
        <w:rPr>
          <w:rFonts w:ascii="宋体" w:eastAsia="宋体" w:hAnsi="宋体" w:cs="宋体"/>
          <w:color w:val="231F20"/>
          <w:sz w:val="22"/>
          <w:szCs w:val="22"/>
        </w:rPr>
        <w:t>方</w:t>
      </w:r>
      <w:r>
        <w:rPr>
          <w:rFonts w:ascii="宋体" w:eastAsia="宋体" w:hAnsi="宋体" w:cs="宋体"/>
          <w:color w:val="231F20"/>
          <w:spacing w:val="-51"/>
          <w:sz w:val="22"/>
          <w:szCs w:val="22"/>
        </w:rPr>
        <w:t>：</w:t>
      </w:r>
      <w:r>
        <w:rPr>
          <w:rFonts w:ascii="宋体" w:eastAsia="宋体" w:hAnsi="宋体" w:cs="宋体"/>
          <w:color w:val="231F20"/>
          <w:spacing w:val="3"/>
          <w:sz w:val="22"/>
          <w:szCs w:val="22"/>
        </w:rPr>
        <w:t>中</w:t>
      </w:r>
      <w:r>
        <w:rPr>
          <w:rFonts w:ascii="宋体" w:eastAsia="宋体" w:hAnsi="宋体" w:cs="宋体"/>
          <w:color w:val="231F20"/>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pacing w:val="3"/>
          <w:sz w:val="22"/>
          <w:szCs w:val="22"/>
        </w:rPr>
        <w:t>（自治区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w:t>
      </w:r>
      <w:r>
        <w:rPr>
          <w:rFonts w:ascii="宋体" w:eastAsia="宋体" w:hAnsi="宋体" w:cs="宋体"/>
          <w:color w:val="231F20"/>
          <w:spacing w:val="3"/>
          <w:sz w:val="22"/>
          <w:szCs w:val="22"/>
        </w:rPr>
        <w:t>（县）人民政</w:t>
      </w:r>
      <w:r>
        <w:rPr>
          <w:rFonts w:ascii="宋体" w:eastAsia="宋体" w:hAnsi="宋体" w:cs="宋体"/>
          <w:color w:val="231F20"/>
          <w:sz w:val="22"/>
          <w:szCs w:val="22"/>
        </w:rPr>
        <w:t>府</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局</w:t>
      </w:r>
      <w:r>
        <w:rPr>
          <w:rFonts w:ascii="宋体" w:eastAsia="宋体" w:hAnsi="宋体" w:cs="宋体"/>
          <w:color w:val="231F20"/>
          <w:spacing w:val="3"/>
          <w:sz w:val="22"/>
          <w:szCs w:val="22"/>
        </w:rPr>
        <w:t>（委</w:t>
      </w:r>
      <w:r>
        <w:rPr>
          <w:rFonts w:ascii="宋体" w:eastAsia="宋体" w:hAnsi="宋体" w:cs="宋体"/>
          <w:color w:val="231F20"/>
          <w:spacing w:val="-110"/>
          <w:sz w:val="22"/>
          <w:szCs w:val="22"/>
        </w:rPr>
        <w:t>）</w:t>
      </w:r>
      <w:r>
        <w:rPr>
          <w:rFonts w:ascii="宋体" w:eastAsia="宋体" w:hAnsi="宋体" w:cs="宋体"/>
          <w:color w:val="231F20"/>
          <w:spacing w:val="3"/>
          <w:sz w:val="22"/>
          <w:szCs w:val="22"/>
        </w:rPr>
        <w:t>（下</w:t>
      </w:r>
      <w:r>
        <w:rPr>
          <w:rFonts w:ascii="宋体" w:eastAsia="宋体" w:hAnsi="宋体" w:cs="宋体"/>
          <w:color w:val="231F20"/>
          <w:sz w:val="22"/>
          <w:szCs w:val="22"/>
        </w:rPr>
        <w:t>称</w:t>
      </w:r>
      <w:r>
        <w:rPr>
          <w:rFonts w:ascii="宋体" w:eastAsia="宋体" w:hAnsi="宋体" w:cs="宋体"/>
          <w:color w:val="231F20"/>
          <w:spacing w:val="6"/>
          <w:sz w:val="22"/>
          <w:szCs w:val="22"/>
        </w:rPr>
        <w:t>“特许经营权授予方</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pacing w:val="6"/>
          <w:sz w:val="22"/>
          <w:szCs w:val="22"/>
        </w:rPr>
        <w:t>，法定地</w:t>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pacing w:val="6"/>
          <w:sz w:val="22"/>
          <w:szCs w:val="22"/>
        </w:rPr>
        <w:t>，法定代表</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6"/>
          <w:sz w:val="22"/>
          <w:szCs w:val="22"/>
        </w:rPr>
        <w:t>，职</w:t>
      </w:r>
      <w:r>
        <w:rPr>
          <w:rFonts w:ascii="宋体" w:eastAsia="宋体" w:hAnsi="宋体" w:cs="宋体"/>
          <w:color w:val="231F20"/>
          <w:sz w:val="22"/>
          <w:szCs w:val="22"/>
        </w:rPr>
        <w:t>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49"/>
          <w:sz w:val="22"/>
          <w:szCs w:val="22"/>
        </w:rPr>
        <w:t>；</w:t>
      </w:r>
      <w:r>
        <w:rPr>
          <w:rFonts w:ascii="宋体" w:eastAsia="宋体" w:hAnsi="宋体" w:cs="宋体"/>
          <w:color w:val="231F20"/>
          <w:spacing w:val="6"/>
          <w:sz w:val="22"/>
          <w:szCs w:val="22"/>
        </w:rPr>
        <w:t>协议另</w:t>
      </w:r>
      <w:r>
        <w:rPr>
          <w:rFonts w:ascii="宋体" w:eastAsia="宋体" w:hAnsi="宋体" w:cs="宋体"/>
          <w:color w:val="231F20"/>
          <w:spacing w:val="15"/>
          <w:sz w:val="22"/>
          <w:szCs w:val="22"/>
        </w:rPr>
        <w:t>一</w:t>
      </w:r>
      <w:r>
        <w:rPr>
          <w:rFonts w:ascii="宋体" w:eastAsia="宋体" w:hAnsi="宋体" w:cs="宋体"/>
          <w:color w:val="231F20"/>
          <w:sz w:val="22"/>
          <w:szCs w:val="22"/>
        </w:rPr>
        <w:t>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15"/>
          <w:sz w:val="22"/>
          <w:szCs w:val="22"/>
        </w:rPr>
        <w:t>公</w:t>
      </w:r>
      <w:r>
        <w:rPr>
          <w:rFonts w:ascii="宋体" w:eastAsia="宋体" w:hAnsi="宋体" w:cs="宋体"/>
          <w:color w:val="231F20"/>
          <w:sz w:val="22"/>
          <w:szCs w:val="22"/>
        </w:rPr>
        <w:t>司</w:t>
      </w:r>
      <w:r>
        <w:rPr>
          <w:rFonts w:ascii="宋体" w:eastAsia="宋体" w:hAnsi="宋体" w:cs="宋体"/>
          <w:color w:val="231F20"/>
          <w:spacing w:val="15"/>
          <w:sz w:val="22"/>
          <w:szCs w:val="22"/>
        </w:rPr>
        <w:t>（下</w:t>
      </w:r>
      <w:r>
        <w:rPr>
          <w:rFonts w:ascii="宋体" w:eastAsia="宋体" w:hAnsi="宋体" w:cs="宋体"/>
          <w:color w:val="231F20"/>
          <w:sz w:val="22"/>
          <w:szCs w:val="22"/>
        </w:rPr>
        <w:t>称</w:t>
      </w:r>
      <w:r>
        <w:rPr>
          <w:rFonts w:ascii="宋体" w:eastAsia="宋体" w:hAnsi="宋体" w:cs="宋体"/>
          <w:color w:val="231F20"/>
          <w:spacing w:val="15"/>
          <w:sz w:val="22"/>
          <w:szCs w:val="22"/>
        </w:rPr>
        <w:t>“项目公司</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pacing w:val="15"/>
          <w:sz w:val="22"/>
          <w:szCs w:val="22"/>
        </w:rPr>
        <w:t>，注册地</w:t>
      </w:r>
      <w:r>
        <w:rPr>
          <w:rFonts w:ascii="宋体" w:eastAsia="宋体" w:hAnsi="宋体" w:cs="宋体"/>
          <w:color w:val="231F20"/>
          <w:sz w:val="22"/>
          <w:szCs w:val="22"/>
        </w:rPr>
        <w:t>点：</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15"/>
          <w:sz w:val="22"/>
          <w:szCs w:val="22"/>
        </w:rPr>
        <w:t>，注册</w:t>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，国籍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519"/>
          <w:tab w:val="left" w:pos="5119"/>
          <w:tab w:val="left" w:pos="6989"/>
        </w:tabs>
        <w:spacing w:before="14" w:after="0"/>
        <w:ind w:left="557"/>
        <w:rPr>
          <w:rFonts w:ascii="方正书宋_GBK" w:eastAsia="方正书宋_GBK" w:hAnsi="方正书宋_GBK" w:cs="方正书宋_GBK"/>
          <w:sz w:val="20"/>
          <w:szCs w:val="20"/>
          <w:u w:val="single"/>
        </w:rPr>
      </w:pPr>
      <w:r>
        <w:rPr>
          <w:rFonts w:ascii="宋体" w:eastAsia="宋体" w:hAnsi="宋体" w:cs="宋体"/>
          <w:color w:val="231F20"/>
          <w:spacing w:val="25"/>
          <w:sz w:val="22"/>
          <w:szCs w:val="22"/>
        </w:rPr>
        <w:t>第三</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5"/>
          <w:sz w:val="22"/>
          <w:szCs w:val="22"/>
        </w:rPr>
        <w:t>本垃圾处理特许经营项目</w:t>
      </w:r>
      <w:r>
        <w:rPr>
          <w:rFonts w:ascii="宋体" w:eastAsia="宋体" w:hAnsi="宋体" w:cs="宋体"/>
          <w:color w:val="231F20"/>
          <w:sz w:val="22"/>
          <w:szCs w:val="22"/>
        </w:rPr>
        <w:t>是</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5"/>
          <w:sz w:val="22"/>
          <w:szCs w:val="22"/>
        </w:rPr>
        <w:t>，主要处</w:t>
      </w:r>
      <w:r>
        <w:rPr>
          <w:rFonts w:ascii="宋体" w:eastAsia="宋体" w:hAnsi="宋体" w:cs="宋体"/>
          <w:color w:val="231F20"/>
          <w:sz w:val="22"/>
          <w:szCs w:val="22"/>
        </w:rPr>
        <w:t>理</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5"/>
          <w:sz w:val="22"/>
          <w:szCs w:val="22"/>
        </w:rPr>
        <w:t>的垃</w:t>
      </w:r>
      <w:r>
        <w:rPr>
          <w:rFonts w:ascii="宋体" w:eastAsia="宋体" w:hAnsi="宋体" w:cs="宋体"/>
          <w:color w:val="231F20"/>
          <w:sz w:val="22"/>
          <w:szCs w:val="22"/>
        </w:rPr>
        <w:t>圾</w:t>
      </w:r>
      <w:r>
        <w:rPr>
          <w:rFonts w:ascii="宋体" w:eastAsia="宋体" w:hAnsi="宋体" w:cs="宋体"/>
          <w:color w:val="231F20"/>
          <w:spacing w:val="25"/>
          <w:sz w:val="22"/>
          <w:szCs w:val="22"/>
        </w:rPr>
        <w:t>，日处理规模</w:t>
      </w:r>
    </w:p>
    <w:p>
      <w:pPr>
        <w:widowControl w:val="0"/>
        <w:tabs>
          <w:tab w:val="left" w:pos="777"/>
          <w:tab w:val="left" w:pos="2487"/>
          <w:tab w:val="left" w:pos="6507"/>
        </w:tabs>
        <w:spacing w:before="8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吨 / 日（或</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吨 / 年</w:t>
      </w:r>
      <w:r>
        <w:rPr>
          <w:rFonts w:ascii="宋体" w:eastAsia="宋体" w:hAnsi="宋体" w:cs="宋体"/>
          <w:color w:val="231F20"/>
          <w:spacing w:val="-110"/>
          <w:sz w:val="22"/>
          <w:szCs w:val="22"/>
        </w:rPr>
        <w:t>）</w:t>
      </w:r>
      <w:r>
        <w:rPr>
          <w:rFonts w:ascii="宋体" w:eastAsia="宋体" w:hAnsi="宋体" w:cs="宋体"/>
          <w:color w:val="231F20"/>
          <w:sz w:val="22"/>
          <w:szCs w:val="22"/>
        </w:rPr>
        <w:t>，主要工艺为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4570"/>
          <w:tab w:val="left" w:pos="5669"/>
          <w:tab w:val="left" w:pos="6549"/>
          <w:tab w:val="left" w:pos="7868"/>
          <w:tab w:val="left" w:pos="8748"/>
        </w:tabs>
        <w:spacing w:before="8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第四条</w:t>
      </w:r>
      <w:r>
        <w:rPr>
          <w:rFonts w:ascii="宋体" w:eastAsia="宋体" w:hAnsi="宋体" w:cs="宋体"/>
          <w:color w:val="231F20"/>
          <w:spacing w:val="42"/>
          <w:sz w:val="22"/>
          <w:szCs w:val="22"/>
        </w:rPr>
        <w:t xml:space="preserve"> </w:t>
      </w:r>
      <w:r>
        <w:rPr>
          <w:rFonts w:ascii="宋体" w:eastAsia="宋体" w:hAnsi="宋体" w:cs="宋体"/>
          <w:color w:val="231F20"/>
          <w:sz w:val="22"/>
          <w:szCs w:val="22"/>
        </w:rPr>
        <w:t>（</w:t>
      </w:r>
      <w:r>
        <w:rPr>
          <w:rFonts w:ascii="宋体" w:eastAsia="宋体" w:hAnsi="宋体" w:cs="宋体"/>
          <w:color w:val="231F20"/>
          <w:sz w:val="22"/>
          <w:szCs w:val="22"/>
          <w:u w:val="single" w:color="231F20"/>
        </w:rPr>
        <w:t>特许经营权授予方</w:t>
      </w:r>
      <w:r>
        <w:rPr>
          <w:rFonts w:ascii="宋体" w:eastAsia="宋体" w:hAnsi="宋体" w:cs="宋体"/>
          <w:color w:val="231F20"/>
          <w:spacing w:val="-56"/>
          <w:sz w:val="22"/>
          <w:szCs w:val="22"/>
          <w:u w:val="single" w:color="231F20"/>
        </w:rPr>
        <w:t>）</w:t>
      </w:r>
      <w:r>
        <w:rPr>
          <w:rFonts w:ascii="宋体" w:eastAsia="宋体" w:hAnsi="宋体" w:cs="宋体"/>
          <w:color w:val="231F20"/>
          <w:sz w:val="22"/>
          <w:szCs w:val="22"/>
        </w:rPr>
        <w:t>委托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月</w:t>
      </w:r>
      <w:r>
        <w:rPr>
          <w:rFonts w:ascii="宋体" w:eastAsia="宋体" w:hAnsi="宋体" w:cs="宋体"/>
          <w:color w:val="231F20"/>
          <w:sz w:val="22"/>
          <w:szCs w:val="22"/>
        </w:rPr>
        <w:t>对</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777"/>
          <w:tab w:val="left" w:pos="3087"/>
          <w:tab w:val="left" w:pos="4097"/>
        </w:tabs>
        <w:spacing w:before="24" w:after="0" w:line="305" w:lineRule="auto"/>
        <w:ind w:left="117" w:right="214"/>
        <w:rPr>
          <w:rFonts w:ascii="方正书宋_GBK" w:eastAsia="方正书宋_GBK" w:hAnsi="方正书宋_GBK" w:cs="方正书宋_GBK"/>
          <w:sz w:val="22"/>
          <w:szCs w:val="22"/>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项目进行了公开招标，经过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，确定</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为本项目的中标人，组建项目公司。项 目公司的组成为</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，和</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w:t>
      </w:r>
    </w:p>
    <w:p>
      <w:pPr>
        <w:widowControl w:val="0"/>
        <w:spacing w:before="15" w:after="0" w:line="305" w:lineRule="auto"/>
        <w:ind w:left="117" w:right="191" w:firstLine="440"/>
        <w:rPr>
          <w:rFonts w:ascii="Times New Roman" w:eastAsia="Times New Roman" w:hAnsi="Times New Roman" w:cs="Times New Roman"/>
          <w:sz w:val="22"/>
          <w:szCs w:val="22"/>
        </w:rPr>
      </w:pPr>
      <w:r>
        <w:rPr>
          <w:rFonts w:ascii="宋体" w:eastAsia="宋体" w:hAnsi="宋体" w:cs="宋体"/>
          <w:color w:val="231F20"/>
          <w:sz w:val="22"/>
          <w:szCs w:val="22"/>
        </w:rPr>
        <w:t xml:space="preserve">第五条 </w:t>
      </w:r>
      <w:r>
        <w:rPr>
          <w:rFonts w:ascii="宋体" w:eastAsia="宋体" w:hAnsi="宋体" w:cs="宋体"/>
          <w:color w:val="231F20"/>
          <w:sz w:val="22"/>
          <w:szCs w:val="22"/>
        </w:rPr>
        <w:t>（</w:t>
      </w:r>
      <w:r>
        <w:rPr>
          <w:rFonts w:ascii="宋体" w:eastAsia="宋体" w:hAnsi="宋体" w:cs="宋体"/>
          <w:color w:val="231F20"/>
          <w:sz w:val="22"/>
          <w:szCs w:val="22"/>
          <w:u w:val="single" w:color="231F20"/>
        </w:rPr>
        <w:t>中标人）</w:t>
      </w:r>
      <w:r>
        <w:rPr>
          <w:rFonts w:ascii="宋体" w:eastAsia="宋体" w:hAnsi="宋体" w:cs="宋体"/>
          <w:color w:val="231F20"/>
          <w:sz w:val="22"/>
          <w:szCs w:val="22"/>
        </w:rPr>
        <w:t>符合资格预审要求，具有要求的技术实力，提供的技术方案成熟、可靠，技术路线正确、合理，经营方案切实可行。</w:t>
      </w:r>
    </w:p>
    <w:p>
      <w:pPr>
        <w:widowControl w:val="0"/>
        <w:tabs>
          <w:tab w:val="left" w:pos="2100"/>
        </w:tabs>
        <w:spacing w:before="15" w:after="0" w:line="305" w:lineRule="auto"/>
        <w:ind w:left="117" w:right="208" w:firstLine="440"/>
        <w:jc w:val="both"/>
        <w:rPr>
          <w:rFonts w:ascii="方正黑体_GBK" w:eastAsia="方正黑体_GBK" w:hAnsi="方正黑体_GBK" w:cs="方正黑体_GBK"/>
          <w:sz w:val="20"/>
          <w:szCs w:val="20"/>
          <w:u w:val="single"/>
        </w:rPr>
      </w:pPr>
      <w:r>
        <w:rPr>
          <w:rFonts w:ascii="宋体" w:eastAsia="宋体" w:hAnsi="宋体" w:cs="宋体"/>
          <w:color w:val="231F20"/>
          <w:sz w:val="22"/>
          <w:szCs w:val="22"/>
        </w:rPr>
        <w:t>第六条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市人民政府愿意授予项目公司特许经营权，由项目公司按照本协议的条款 </w:t>
      </w:r>
      <w:r>
        <w:rPr>
          <w:rFonts w:ascii="宋体" w:eastAsia="宋体" w:hAnsi="宋体" w:cs="宋体"/>
          <w:color w:val="231F20"/>
          <w:spacing w:val="2"/>
          <w:sz w:val="22"/>
          <w:szCs w:val="22"/>
        </w:rPr>
        <w:t>和条件实施项</w:t>
      </w:r>
      <w:r>
        <w:rPr>
          <w:rFonts w:ascii="宋体" w:eastAsia="宋体" w:hAnsi="宋体" w:cs="宋体"/>
          <w:color w:val="231F20"/>
          <w:sz w:val="22"/>
          <w:szCs w:val="22"/>
        </w:rPr>
        <w:t>目</w:t>
      </w:r>
      <w:r>
        <w:rPr>
          <w:rFonts w:ascii="宋体" w:eastAsia="宋体" w:hAnsi="宋体" w:cs="宋体"/>
          <w:color w:val="231F20"/>
          <w:spacing w:val="2"/>
          <w:sz w:val="22"/>
          <w:szCs w:val="22"/>
        </w:rPr>
        <w:t>，并授权特许经营权授予方与项目公司签</w:t>
      </w:r>
      <w:r>
        <w:rPr>
          <w:rFonts w:ascii="宋体" w:eastAsia="宋体" w:hAnsi="宋体" w:cs="宋体"/>
          <w:color w:val="231F20"/>
          <w:sz w:val="22"/>
          <w:szCs w:val="22"/>
        </w:rPr>
        <w:t>署</w:t>
      </w:r>
      <w:r>
        <w:rPr>
          <w:rFonts w:ascii="宋体" w:eastAsia="宋体" w:hAnsi="宋体" w:cs="宋体"/>
          <w:color w:val="231F20"/>
          <w:spacing w:val="2"/>
          <w:sz w:val="22"/>
          <w:szCs w:val="22"/>
        </w:rPr>
        <w:t>《特许经营协议</w:t>
      </w:r>
      <w:r>
        <w:rPr>
          <w:rFonts w:ascii="宋体" w:eastAsia="宋体" w:hAnsi="宋体" w:cs="宋体"/>
          <w:color w:val="231F20"/>
          <w:spacing w:val="-110"/>
          <w:sz w:val="22"/>
          <w:szCs w:val="22"/>
        </w:rPr>
        <w:t>》</w:t>
      </w:r>
      <w:r>
        <w:rPr>
          <w:rFonts w:ascii="宋体" w:eastAsia="宋体" w:hAnsi="宋体" w:cs="宋体"/>
          <w:color w:val="231F20"/>
          <w:spacing w:val="2"/>
          <w:sz w:val="22"/>
          <w:szCs w:val="22"/>
        </w:rPr>
        <w:t>，并授权特许经</w:t>
      </w:r>
      <w:r>
        <w:rPr>
          <w:rFonts w:ascii="宋体" w:eastAsia="宋体" w:hAnsi="宋体" w:cs="宋体"/>
          <w:color w:val="231F20"/>
          <w:sz w:val="22"/>
          <w:szCs w:val="22"/>
        </w:rPr>
        <w:t>营权授予方与项目公司签署作为本协议附件 1 的《垃圾供应与结算协议</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4532"/>
        </w:tabs>
        <w:spacing w:before="177" w:after="0"/>
        <w:ind w:left="3572"/>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定义与解释</w:t>
      </w:r>
    </w:p>
    <w:p>
      <w:pPr>
        <w:widowControl w:val="0"/>
        <w:spacing w:before="8" w:after="0"/>
        <w:rPr>
          <w:rFonts w:ascii="Times New Roman" w:eastAsia="Times New Roman" w:hAnsi="Times New Roman" w:cs="Times New Roman"/>
          <w:sz w:val="16"/>
          <w:szCs w:val="16"/>
        </w:rPr>
      </w:pPr>
    </w:p>
    <w:p>
      <w:pPr>
        <w:widowControl w:val="0"/>
        <w:tabs>
          <w:tab w:val="left" w:pos="1455"/>
        </w:tabs>
        <w:spacing w:before="0" w:after="0" w:line="305"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第七</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名词解</w:t>
      </w:r>
      <w:r>
        <w:rPr>
          <w:rFonts w:ascii="宋体" w:eastAsia="宋体" w:hAnsi="宋体" w:cs="宋体"/>
          <w:color w:val="231F20"/>
          <w:sz w:val="22"/>
          <w:szCs w:val="22"/>
        </w:rPr>
        <w:t>释</w:t>
      </w:r>
      <w:r>
        <w:rPr>
          <w:rFonts w:ascii="宋体" w:eastAsia="宋体" w:hAnsi="宋体" w:cs="宋体"/>
          <w:color w:val="231F20"/>
          <w:spacing w:val="-165"/>
          <w:sz w:val="22"/>
          <w:szCs w:val="22"/>
        </w:rPr>
        <w:t>：</w:t>
      </w:r>
      <w:r>
        <w:rPr>
          <w:rFonts w:ascii="宋体" w:eastAsia="宋体" w:hAnsi="宋体" w:cs="宋体"/>
          <w:color w:val="231F20"/>
          <w:spacing w:val="5"/>
          <w:sz w:val="22"/>
          <w:szCs w:val="22"/>
        </w:rPr>
        <w:t>（对协议中涉及的技术的和商务的特定含义的词汇和语句进行定义或</w:t>
      </w:r>
      <w:r>
        <w:rPr>
          <w:rFonts w:ascii="宋体" w:eastAsia="宋体" w:hAnsi="宋体" w:cs="宋体"/>
          <w:color w:val="231F20"/>
          <w:sz w:val="22"/>
          <w:szCs w:val="22"/>
        </w:rPr>
        <w:t>限定，明确协议中使用的字母缩写和单位，包括但不限于以下内容）</w:t>
      </w:r>
    </w:p>
    <w:p>
      <w:pPr>
        <w:widowControl w:val="0"/>
        <w:spacing w:before="2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中国：指中华人民共和国，仅为本协议之目的，不包括香港特别行政区、澳门特别行政区和台湾地区。</w:t>
      </w:r>
    </w:p>
    <w:p>
      <w:pPr>
        <w:widowControl w:val="0"/>
        <w:spacing w:before="2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法律：指所有适用的中国法律、行政法规、规章、自治条例、单行条例、地方性法规、司法解释及其他有法律约束力的规范性文件。</w:t>
      </w:r>
    </w:p>
    <w:p>
      <w:pPr>
        <w:widowControl w:val="0"/>
        <w:spacing w:before="2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垃圾：指特许经营权授予方或由特许经营权授予方指定的其他机构按照《垃圾供应与结算协议》的规定提供给垃圾处理厂（场）处理的垃圾。</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项目：指第三条规定的垃圾处理项目。</w:t>
      </w:r>
    </w:p>
    <w:p>
      <w:pPr>
        <w:widowControl w:val="0"/>
        <w:spacing w:before="88" w:after="0" w:line="305" w:lineRule="auto"/>
        <w:ind w:left="117" w:right="33" w:firstLine="440"/>
        <w:rPr>
          <w:rFonts w:ascii="Times New Roman" w:eastAsia="Times New Roman" w:hAnsi="Times New Roman" w:cs="Times New Roman"/>
          <w:sz w:val="22"/>
          <w:szCs w:val="22"/>
        </w:rPr>
      </w:pPr>
      <w:r>
        <w:rPr>
          <w:rFonts w:ascii="宋体" w:eastAsia="宋体" w:hAnsi="宋体" w:cs="宋体"/>
          <w:color w:val="231F20"/>
          <w:sz w:val="22"/>
          <w:szCs w:val="22"/>
        </w:rPr>
        <w:t>项目建设：指项目的垃圾处理厂（场）及其相关的设施和设备的设计、采购、施工、安装、完工、测试和调试。</w:t>
      </w:r>
    </w:p>
    <w:p>
      <w:pPr>
        <w:widowControl w:val="0"/>
        <w:spacing w:before="2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公用设施：指由特许经营权授予方为了项目施工和运营，连接至场区边界并在特许期内负责维护和正常服务的输变电、供水、供气和通讯等设施。</w:t>
      </w:r>
    </w:p>
    <w:p>
      <w:pPr>
        <w:widowControl w:val="0"/>
        <w:spacing w:before="20" w:after="0" w:line="305" w:lineRule="auto"/>
        <w:ind w:left="117" w:right="138" w:firstLine="440"/>
        <w:rPr>
          <w:rFonts w:ascii="Times New Roman" w:eastAsia="Times New Roman" w:hAnsi="Times New Roman" w:cs="Times New Roman"/>
          <w:sz w:val="22"/>
          <w:szCs w:val="22"/>
        </w:rPr>
      </w:pPr>
      <w:r>
        <w:rPr>
          <w:rFonts w:ascii="宋体" w:eastAsia="宋体" w:hAnsi="宋体" w:cs="宋体"/>
          <w:color w:val="231F20"/>
          <w:sz w:val="22"/>
          <w:szCs w:val="22"/>
        </w:rPr>
        <w:t>日处理量：指根据垃圾供应与结算协议确定的以吨（ t）为单位的垃圾日处理量，包括额定日处理量、月核定日处理量、预计核定日处理量、最高日处理量和最低日处理量。</w:t>
      </w:r>
    </w:p>
    <w:p>
      <w:pPr>
        <w:widowControl w:val="0"/>
        <w:spacing w:before="20"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pacing w:val="15"/>
          <w:sz w:val="22"/>
          <w:szCs w:val="22"/>
        </w:rPr>
        <w:t>协</w:t>
      </w:r>
      <w:r>
        <w:rPr>
          <w:rFonts w:ascii="宋体" w:eastAsia="宋体" w:hAnsi="宋体" w:cs="宋体"/>
          <w:color w:val="231F20"/>
          <w:sz w:val="22"/>
          <w:szCs w:val="22"/>
        </w:rPr>
        <w:t>议</w:t>
      </w:r>
      <w:r>
        <w:rPr>
          <w:rFonts w:ascii="宋体" w:eastAsia="宋体" w:hAnsi="宋体" w:cs="宋体"/>
          <w:color w:val="231F20"/>
          <w:spacing w:val="-39"/>
          <w:sz w:val="22"/>
          <w:szCs w:val="22"/>
        </w:rPr>
        <w:t>：</w:t>
      </w:r>
      <w:r>
        <w:rPr>
          <w:rFonts w:ascii="宋体" w:eastAsia="宋体" w:hAnsi="宋体" w:cs="宋体"/>
          <w:color w:val="231F20"/>
          <w:spacing w:val="15"/>
          <w:sz w:val="22"/>
          <w:szCs w:val="22"/>
        </w:rPr>
        <w:t>指特许经营权授予方与项目公司之间签订的本特许经营协</w:t>
      </w:r>
      <w:r>
        <w:rPr>
          <w:rFonts w:ascii="宋体" w:eastAsia="宋体" w:hAnsi="宋体" w:cs="宋体"/>
          <w:color w:val="231F20"/>
          <w:sz w:val="22"/>
          <w:szCs w:val="22"/>
        </w:rPr>
        <w:t>议</w:t>
      </w:r>
      <w:r>
        <w:rPr>
          <w:rFonts w:ascii="宋体" w:eastAsia="宋体" w:hAnsi="宋体" w:cs="宋体"/>
          <w:color w:val="231F20"/>
          <w:spacing w:val="15"/>
          <w:sz w:val="22"/>
          <w:szCs w:val="22"/>
        </w:rPr>
        <w:t>，包括附</w:t>
      </w:r>
      <w:r>
        <w:rPr>
          <w:rFonts w:ascii="宋体" w:eastAsia="宋体" w:hAnsi="宋体" w:cs="宋体"/>
          <w:color w:val="231F20"/>
          <w:sz w:val="22"/>
          <w:szCs w:val="22"/>
        </w:rPr>
        <w:t>件</w:t>
      </w:r>
      <w:r>
        <w:rPr>
          <w:rFonts w:ascii="宋体" w:eastAsia="宋体" w:hAnsi="宋体" w:cs="宋体"/>
          <w:color w:val="231F20"/>
          <w:spacing w:val="16"/>
          <w:sz w:val="22"/>
          <w:szCs w:val="22"/>
        </w:rPr>
        <w:t xml:space="preserve"> </w:t>
      </w:r>
      <w:r>
        <w:rPr>
          <w:rFonts w:ascii="宋体" w:eastAsia="宋体" w:hAnsi="宋体" w:cs="宋体"/>
          <w:color w:val="231F20"/>
          <w:sz w:val="22"/>
          <w:szCs w:val="22"/>
          <w:u w:val="single" w:color="231F20"/>
        </w:rPr>
        <w:t>1</w:t>
      </w:r>
      <w:r>
        <w:rPr>
          <w:rFonts w:ascii="宋体" w:eastAsia="宋体" w:hAnsi="宋体" w:cs="宋体"/>
          <w:color w:val="231F20"/>
          <w:spacing w:val="16"/>
          <w:sz w:val="22"/>
          <w:szCs w:val="22"/>
          <w:u w:val="single" w:color="231F20"/>
        </w:rPr>
        <w:t xml:space="preserve"> </w:t>
      </w:r>
      <w:r>
        <w:rPr>
          <w:rFonts w:ascii="宋体" w:eastAsia="宋体" w:hAnsi="宋体" w:cs="宋体"/>
          <w:color w:val="231F20"/>
          <w:spacing w:val="15"/>
          <w:sz w:val="22"/>
          <w:szCs w:val="22"/>
          <w:u w:val="single" w:color="231F20"/>
        </w:rPr>
        <w:t>至</w:t>
      </w:r>
      <w:r>
        <w:rPr>
          <w:rFonts w:ascii="宋体" w:eastAsia="宋体" w:hAnsi="宋体" w:cs="宋体"/>
          <w:color w:val="231F20"/>
          <w:sz w:val="22"/>
          <w:szCs w:val="22"/>
        </w:rPr>
        <w:t>附件</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，每一部分都应视为本协议的一部分。</w:t>
      </w:r>
    </w:p>
    <w:p>
      <w:pPr>
        <w:widowControl w:val="0"/>
        <w:spacing w:before="20"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批准</w:t>
      </w:r>
      <w:r>
        <w:rPr>
          <w:rFonts w:ascii="宋体" w:eastAsia="宋体" w:hAnsi="宋体" w:cs="宋体"/>
          <w:color w:val="231F20"/>
          <w:spacing w:val="-55"/>
          <w:sz w:val="22"/>
          <w:szCs w:val="22"/>
        </w:rPr>
        <w:t>：</w:t>
      </w:r>
      <w:r>
        <w:rPr>
          <w:rFonts w:ascii="宋体" w:eastAsia="宋体" w:hAnsi="宋体" w:cs="宋体"/>
          <w:color w:val="231F20"/>
          <w:sz w:val="22"/>
          <w:szCs w:val="22"/>
        </w:rPr>
        <w:t>指需从政府部门依法获得的为项目公司或为垃圾处理</w:t>
      </w:r>
      <w:r>
        <w:rPr>
          <w:rFonts w:ascii="宋体" w:eastAsia="宋体" w:hAnsi="宋体" w:cs="宋体"/>
          <w:color w:val="231F20"/>
          <w:spacing w:val="-3"/>
          <w:sz w:val="22"/>
          <w:szCs w:val="22"/>
        </w:rPr>
        <w:t>厂</w:t>
      </w:r>
      <w:r>
        <w:rPr>
          <w:rFonts w:ascii="宋体" w:eastAsia="宋体" w:hAnsi="宋体" w:cs="宋体"/>
          <w:color w:val="231F20"/>
          <w:sz w:val="22"/>
          <w:szCs w:val="22"/>
        </w:rPr>
        <w:t>（场</w:t>
      </w:r>
      <w:r>
        <w:rPr>
          <w:rFonts w:ascii="宋体" w:eastAsia="宋体" w:hAnsi="宋体" w:cs="宋体"/>
          <w:color w:val="231F20"/>
          <w:spacing w:val="-3"/>
          <w:sz w:val="22"/>
          <w:szCs w:val="22"/>
        </w:rPr>
        <w:t>）</w:t>
      </w:r>
      <w:r>
        <w:rPr>
          <w:rFonts w:ascii="宋体" w:eastAsia="宋体" w:hAnsi="宋体" w:cs="宋体"/>
          <w:color w:val="231F20"/>
          <w:sz w:val="22"/>
          <w:szCs w:val="22"/>
        </w:rPr>
        <w:t>的投资、设计、建设、运营和移交所需的许可、执照、同意、授权、核准或批准，包括附件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所列举的批准。</w:t>
      </w:r>
    </w:p>
    <w:p>
      <w:pPr>
        <w:widowControl w:val="0"/>
        <w:spacing w:before="2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 xml:space="preserve">仲裁协议：指特许经营权授予方、项目公司和贷款代理人在本协议签订之日签订的仲裁协议，并作为本协议附件 </w:t>
      </w:r>
      <w:r>
        <w:rPr>
          <w:rFonts w:ascii="宋体" w:eastAsia="宋体" w:hAnsi="宋体" w:cs="宋体"/>
          <w:color w:val="231F20"/>
          <w:sz w:val="22"/>
          <w:szCs w:val="22"/>
        </w:rPr>
        <w:t>15</w:t>
      </w:r>
      <w:r>
        <w:rPr>
          <w:rFonts w:ascii="宋体" w:eastAsia="宋体" w:hAnsi="宋体" w:cs="宋体"/>
          <w:color w:val="231F20"/>
          <w:spacing w:val="-1"/>
          <w:sz w:val="22"/>
          <w:szCs w:val="22"/>
        </w:rPr>
        <w:t xml:space="preserve"> 附后。</w:t>
      </w:r>
    </w:p>
    <w:p>
      <w:pPr>
        <w:widowControl w:val="0"/>
        <w:spacing w:before="2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投标保函：指发起人按照投资竞争人须知要求与本项目建议书同时提交的保证金、担保书或备用信用证。</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履约保函：指根据第</w:t>
      </w:r>
      <w:r>
        <w:rPr>
          <w:rFonts w:ascii="宋体" w:eastAsia="宋体" w:hAnsi="宋体" w:cs="宋体"/>
          <w:color w:val="231F20"/>
          <w:sz w:val="22"/>
          <w:szCs w:val="22"/>
          <w:u w:val="single" w:color="231F20"/>
        </w:rPr>
        <w:t>八条</w:t>
      </w:r>
      <w:r>
        <w:rPr>
          <w:rFonts w:ascii="宋体" w:eastAsia="宋体" w:hAnsi="宋体" w:cs="宋体"/>
          <w:color w:val="231F20"/>
          <w:sz w:val="22"/>
          <w:szCs w:val="22"/>
        </w:rPr>
        <w:t>要求向特许经营权授予方提供的针对项目建设阶段的保证金、担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保书或备用信用证。</w:t>
      </w:r>
    </w:p>
    <w:p>
      <w:pPr>
        <w:widowControl w:val="0"/>
        <w:spacing w:before="89"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维护保函：指根据第</w:t>
      </w:r>
      <w:r>
        <w:rPr>
          <w:rFonts w:ascii="宋体" w:eastAsia="宋体" w:hAnsi="宋体" w:cs="宋体"/>
          <w:color w:val="231F20"/>
          <w:sz w:val="22"/>
          <w:szCs w:val="22"/>
          <w:u w:val="single" w:color="231F20"/>
        </w:rPr>
        <w:t>八条</w:t>
      </w:r>
      <w:r>
        <w:rPr>
          <w:rFonts w:ascii="宋体" w:eastAsia="宋体" w:hAnsi="宋体" w:cs="宋体"/>
          <w:color w:val="231F20"/>
          <w:sz w:val="22"/>
          <w:szCs w:val="22"/>
        </w:rPr>
        <w:t>要求向特许经营权授予方提供的针对项目运营和维护阶段的保证金、担保书或备用信用证。</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法律变更：指</w:t>
      </w:r>
    </w:p>
    <w:p>
      <w:pPr>
        <w:widowControl w:val="0"/>
        <w:tabs>
          <w:tab w:val="left" w:pos="1861"/>
          <w:tab w:val="left" w:pos="2749"/>
          <w:tab w:val="left" w:pos="3637"/>
        </w:tabs>
        <w:spacing w:before="89" w:after="0" w:line="305" w:lineRule="auto"/>
        <w:ind w:left="117" w:right="107"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6"/>
          <w:sz w:val="22"/>
          <w:szCs w:val="22"/>
        </w:rPr>
        <w:t>a）</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日之</w:t>
      </w:r>
      <w:r>
        <w:rPr>
          <w:rFonts w:ascii="宋体" w:eastAsia="宋体" w:hAnsi="宋体" w:cs="宋体"/>
          <w:color w:val="231F20"/>
          <w:sz w:val="22"/>
          <w:szCs w:val="22"/>
        </w:rPr>
        <w:t>后</w:t>
      </w:r>
      <w:r>
        <w:rPr>
          <w:rFonts w:ascii="宋体" w:eastAsia="宋体" w:hAnsi="宋体" w:cs="宋体"/>
          <w:color w:val="231F20"/>
          <w:spacing w:val="5"/>
          <w:sz w:val="22"/>
          <w:szCs w:val="22"/>
        </w:rPr>
        <w:t>，任何政府部门对任何法</w:t>
      </w:r>
      <w:r>
        <w:rPr>
          <w:rFonts w:ascii="宋体" w:eastAsia="宋体" w:hAnsi="宋体" w:cs="宋体"/>
          <w:color w:val="231F20"/>
          <w:sz w:val="22"/>
          <w:szCs w:val="22"/>
        </w:rPr>
        <w:t>令</w:t>
      </w:r>
      <w:r>
        <w:rPr>
          <w:rFonts w:ascii="宋体" w:eastAsia="宋体" w:hAnsi="宋体" w:cs="宋体"/>
          <w:color w:val="231F20"/>
          <w:spacing w:val="5"/>
          <w:sz w:val="22"/>
          <w:szCs w:val="22"/>
        </w:rPr>
        <w:t>、法</w:t>
      </w:r>
      <w:r>
        <w:rPr>
          <w:rFonts w:ascii="宋体" w:eastAsia="宋体" w:hAnsi="宋体" w:cs="宋体"/>
          <w:color w:val="231F20"/>
          <w:sz w:val="22"/>
          <w:szCs w:val="22"/>
        </w:rPr>
        <w:t>律</w:t>
      </w:r>
      <w:r>
        <w:rPr>
          <w:rFonts w:ascii="宋体" w:eastAsia="宋体" w:hAnsi="宋体" w:cs="宋体"/>
          <w:color w:val="231F20"/>
          <w:spacing w:val="5"/>
          <w:sz w:val="22"/>
          <w:szCs w:val="22"/>
        </w:rPr>
        <w:t>、条</w:t>
      </w:r>
      <w:r>
        <w:rPr>
          <w:rFonts w:ascii="宋体" w:eastAsia="宋体" w:hAnsi="宋体" w:cs="宋体"/>
          <w:color w:val="231F20"/>
          <w:sz w:val="22"/>
          <w:szCs w:val="22"/>
        </w:rPr>
        <w:t>例</w:t>
      </w:r>
      <w:r>
        <w:rPr>
          <w:rFonts w:ascii="宋体" w:eastAsia="宋体" w:hAnsi="宋体" w:cs="宋体"/>
          <w:color w:val="231F20"/>
          <w:spacing w:val="5"/>
          <w:sz w:val="22"/>
          <w:szCs w:val="22"/>
        </w:rPr>
        <w:t>、法</w:t>
      </w:r>
      <w:r>
        <w:rPr>
          <w:rFonts w:ascii="宋体" w:eastAsia="宋体" w:hAnsi="宋体" w:cs="宋体"/>
          <w:color w:val="231F20"/>
          <w:sz w:val="22"/>
          <w:szCs w:val="22"/>
        </w:rPr>
        <w:t>规、 通知、通告的实施、颁布、修改或废除；</w:t>
      </w:r>
    </w:p>
    <w:p>
      <w:pPr>
        <w:widowControl w:val="0"/>
        <w:tabs>
          <w:tab w:val="left" w:pos="1868"/>
          <w:tab w:val="left" w:pos="2750"/>
          <w:tab w:val="left" w:pos="3633"/>
        </w:tabs>
        <w:spacing w:before="20" w:after="0" w:line="305" w:lineRule="auto"/>
        <w:ind w:left="117" w:right="214"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8"/>
          <w:sz w:val="22"/>
          <w:szCs w:val="22"/>
        </w:rPr>
        <w:t>b）</w:t>
      </w:r>
      <w:r>
        <w:rPr>
          <w:rFonts w:ascii="宋体" w:eastAsia="宋体" w:hAnsi="宋体" w:cs="宋体"/>
          <w:color w:val="231F20"/>
          <w:sz w:val="22"/>
          <w:szCs w:val="22"/>
        </w:rPr>
        <w:t>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日之后，任何政府部门对有关任何批准的发出、续延或修 改实施、修改或废除了任何实质性的条件。</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无论是上述哪一种情况，</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a）导致适用于项目公司的税收、税收优惠或关税发生任何变化；</w:t>
      </w:r>
    </w:p>
    <w:p>
      <w:pPr>
        <w:widowControl w:val="0"/>
        <w:spacing w:before="89" w:after="0" w:line="305" w:lineRule="auto"/>
        <w:ind w:left="557" w:right="295" w:hanging="11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b）</w:t>
      </w:r>
      <w:r>
        <w:rPr>
          <w:rFonts w:ascii="宋体" w:eastAsia="宋体" w:hAnsi="宋体" w:cs="宋体"/>
          <w:color w:val="231F20"/>
          <w:sz w:val="22"/>
          <w:szCs w:val="22"/>
        </w:rPr>
        <w:t>实施、修改或取消了对垃圾处理厂（场）的投资、建设、运营、维护或移交的要求。</w:t>
      </w:r>
      <w:r>
        <w:rPr>
          <w:rFonts w:ascii="宋体" w:eastAsia="宋体" w:hAnsi="宋体" w:cs="宋体"/>
          <w:color w:val="231F20"/>
          <w:spacing w:val="-7"/>
          <w:sz w:val="22"/>
          <w:szCs w:val="22"/>
        </w:rPr>
        <w:t>商业运营开始日：指完工证书签发日的同一日，即垃圾处理厂</w:t>
      </w:r>
      <w:r>
        <w:rPr>
          <w:rFonts w:ascii="宋体" w:eastAsia="宋体" w:hAnsi="宋体" w:cs="宋体"/>
          <w:color w:val="231F20"/>
          <w:sz w:val="22"/>
          <w:szCs w:val="22"/>
        </w:rPr>
        <w:t>（场）的商业运营开始日。</w:t>
      </w:r>
      <w:r>
        <w:rPr>
          <w:rFonts w:ascii="宋体" w:eastAsia="宋体" w:hAnsi="宋体" w:cs="宋体"/>
          <w:color w:val="231F20"/>
          <w:spacing w:val="-7"/>
          <w:sz w:val="22"/>
          <w:szCs w:val="22"/>
        </w:rPr>
        <w:t>建设工程开始：指建设承包商按照项目计划在场地进行的工程建设的开始。</w:t>
      </w:r>
    </w:p>
    <w:p>
      <w:pPr>
        <w:widowControl w:val="0"/>
        <w:spacing w:before="20"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项目公司：指以实施本协议为目的，根据中华人民共和国有关法律和法规在中国成立和登记注册的项目公司。</w:t>
      </w:r>
    </w:p>
    <w:p>
      <w:pPr>
        <w:widowControl w:val="0"/>
        <w:tabs>
          <w:tab w:val="left" w:pos="3362"/>
          <w:tab w:val="left" w:pos="6167"/>
          <w:tab w:val="left" w:pos="8092"/>
        </w:tabs>
        <w:spacing w:before="20" w:after="0" w:line="305" w:lineRule="auto"/>
        <w:ind w:left="557" w:right="1311"/>
        <w:rPr>
          <w:rFonts w:ascii="方正书宋_GBK" w:eastAsia="方正书宋_GBK" w:hAnsi="方正书宋_GBK" w:cs="方正书宋_GBK"/>
          <w:sz w:val="20"/>
          <w:szCs w:val="20"/>
          <w:u w:val="single"/>
        </w:rPr>
      </w:pPr>
      <w:r>
        <w:rPr>
          <w:rFonts w:ascii="宋体" w:eastAsia="宋体" w:hAnsi="宋体" w:cs="宋体"/>
          <w:color w:val="231F20"/>
          <w:sz w:val="22"/>
          <w:szCs w:val="22"/>
        </w:rPr>
        <w:t>法定地址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，国籍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及其继承人及经许可的受让人。</w:t>
      </w:r>
    </w:p>
    <w:p>
      <w:pPr>
        <w:widowControl w:val="0"/>
        <w:spacing w:before="20"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特许经营权：指本协议中特许经营权授予方授予项目公司的、在特许经营期限内独家在特许经营区域范围内投资、设计、建设、运营、维护垃圾处理项目并收取费用的权利。</w:t>
      </w:r>
    </w:p>
    <w:p>
      <w:pPr>
        <w:widowControl w:val="0"/>
        <w:spacing w:before="20"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建设合同：指由项目公司和建设承包商之间达成的且由特许经营权授予方及 </w:t>
      </w:r>
      <w:r>
        <w:rPr>
          <w:rFonts w:ascii="宋体" w:eastAsia="宋体" w:hAnsi="宋体" w:cs="宋体"/>
          <w:color w:val="231F20"/>
          <w:sz w:val="22"/>
          <w:szCs w:val="22"/>
        </w:rPr>
        <w:t>/</w:t>
      </w:r>
      <w:r>
        <w:rPr>
          <w:rFonts w:ascii="宋体" w:eastAsia="宋体" w:hAnsi="宋体" w:cs="宋体"/>
          <w:color w:val="231F20"/>
          <w:spacing w:val="2"/>
          <w:sz w:val="22"/>
          <w:szCs w:val="22"/>
        </w:rPr>
        <w:t xml:space="preserve"> 或其他政府</w:t>
      </w:r>
      <w:r>
        <w:rPr>
          <w:rFonts w:ascii="宋体" w:eastAsia="宋体" w:hAnsi="宋体" w:cs="宋体"/>
          <w:color w:val="231F20"/>
          <w:sz w:val="22"/>
          <w:szCs w:val="22"/>
        </w:rPr>
        <w:t>主管部门批准或备案的有关垃圾处理厂（场）设计、建筑安装、工程监理和材料与设备采购的一个或多个协议。</w:t>
      </w:r>
    </w:p>
    <w:p>
      <w:pPr>
        <w:widowControl w:val="0"/>
        <w:spacing w:before="20"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 xml:space="preserve">建设承包商：指由项目公司通过招标所聘用且由特许经营权授予方及 </w:t>
      </w:r>
      <w:r>
        <w:rPr>
          <w:rFonts w:ascii="宋体" w:eastAsia="宋体" w:hAnsi="宋体" w:cs="宋体"/>
          <w:color w:val="231F20"/>
          <w:sz w:val="22"/>
          <w:szCs w:val="22"/>
        </w:rPr>
        <w:t>/</w:t>
      </w:r>
      <w:r>
        <w:rPr>
          <w:rFonts w:ascii="宋体" w:eastAsia="宋体" w:hAnsi="宋体" w:cs="宋体"/>
          <w:color w:val="231F20"/>
          <w:spacing w:val="2"/>
          <w:sz w:val="22"/>
          <w:szCs w:val="22"/>
        </w:rPr>
        <w:t xml:space="preserve"> 或其他政府主管部</w:t>
      </w:r>
      <w:r>
        <w:rPr>
          <w:rFonts w:ascii="宋体" w:eastAsia="宋体" w:hAnsi="宋体" w:cs="宋体"/>
          <w:color w:val="231F20"/>
          <w:sz w:val="22"/>
          <w:szCs w:val="22"/>
        </w:rPr>
        <w:t>门批准或备案的根据建设合同和本协议履行建设工程的一个或多个承包商及其各自的继承人和许可受让人。</w:t>
      </w:r>
    </w:p>
    <w:p>
      <w:pPr>
        <w:widowControl w:val="0"/>
        <w:spacing w:before="20" w:after="0" w:line="305" w:lineRule="auto"/>
        <w:ind w:left="557" w:right="956"/>
        <w:rPr>
          <w:rFonts w:ascii="Times New Roman" w:eastAsia="Times New Roman" w:hAnsi="Times New Roman" w:cs="Times New Roman"/>
          <w:sz w:val="22"/>
          <w:szCs w:val="22"/>
        </w:rPr>
      </w:pPr>
      <w:r>
        <w:rPr>
          <w:rFonts w:ascii="宋体" w:eastAsia="宋体" w:hAnsi="宋体" w:cs="宋体"/>
          <w:color w:val="231F20"/>
          <w:spacing w:val="-8"/>
          <w:sz w:val="22"/>
          <w:szCs w:val="22"/>
        </w:rPr>
        <w:t>建设期：指自项目公司进场开工日始至完工日止的垃圾处理厂</w:t>
      </w:r>
      <w:r>
        <w:rPr>
          <w:rFonts w:ascii="宋体" w:eastAsia="宋体" w:hAnsi="宋体" w:cs="宋体"/>
          <w:color w:val="231F20"/>
          <w:sz w:val="22"/>
          <w:szCs w:val="22"/>
        </w:rPr>
        <w:t>（场）的建设期间。</w:t>
      </w:r>
      <w:r>
        <w:rPr>
          <w:rFonts w:ascii="宋体" w:eastAsia="宋体" w:hAnsi="宋体" w:cs="宋体"/>
          <w:color w:val="231F20"/>
          <w:spacing w:val="-8"/>
          <w:sz w:val="22"/>
          <w:szCs w:val="22"/>
        </w:rPr>
        <w:t>协调机构：指根据第十条规定成立的机构。</w:t>
      </w:r>
    </w:p>
    <w:p>
      <w:pPr>
        <w:widowControl w:val="0"/>
        <w:spacing w:before="20"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违约：指一方不履行其任何项目协议项下的义务，并且不是由于另一方的作为或不作为违反任何项目协议项下的义务，也不是由于不可抗力或另一方承担风险的事件造成的。</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生效日：指本协议条款中双方约定的生效日期。</w:t>
      </w:r>
    </w:p>
    <w:p>
      <w:pPr>
        <w:widowControl w:val="0"/>
        <w:spacing w:before="89"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不可抗力：是指在签订本协议时不能合理预见的、不能克服和不能避免的事件或情形。以满足上述条件为前提，不可抗力包括但不限于：</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1）雷电、地震、火山爆发、滑坡、水灾、暴雨、海啸、台风、龙卷风或旱灾；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2）流行病、瘟疫；</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3）战争行为、入侵、武装冲突或外敌行为、封锁或军事力量的使用，暴乱或恐怖行为；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4）全国性、地区性、城市性或行业性罢工；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5）国家政策的变更，如对垃圾处理设施的国有化等；</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6）国家政府部门实行的任何进口限制或配额限制；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7）由于非特许经营权授予方或其指定或委托的机构造成的运输中断。</w:t>
      </w:r>
    </w:p>
    <w:p>
      <w:pPr>
        <w:widowControl w:val="0"/>
        <w:spacing w:before="89" w:after="0" w:line="305" w:lineRule="auto"/>
        <w:ind w:left="117" w:right="100"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移交日期：是指特许经营期届满之日</w:t>
      </w:r>
      <w:r>
        <w:rPr>
          <w:rFonts w:ascii="宋体" w:eastAsia="宋体" w:hAnsi="宋体" w:cs="宋体"/>
          <w:color w:val="231F20"/>
          <w:sz w:val="22"/>
          <w:szCs w:val="22"/>
        </w:rPr>
        <w:t>（适用于本协议期满终止）或根据本协议第二十四条规定确定的移交日期（适用于本协议提前终止</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line="305" w:lineRule="auto"/>
        <w:ind w:left="117" w:right="100"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环境污染：指垃圾处理项目对于地上、地下或周围的空气、土地或水的污染，且该等污染违背或不符合有关环境的适用法律或国际惯例。</w:t>
      </w:r>
    </w:p>
    <w:p>
      <w:pPr>
        <w:widowControl w:val="0"/>
        <w:spacing w:before="21" w:after="0" w:line="305" w:lineRule="auto"/>
        <w:ind w:left="117" w:right="100"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融资文件：指依适用法律批准的与项目的融资或再融资相关的贷款协议、票据、契约、担保协议、保函、外汇套期保值协议和其他文件，但不包括</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1）与股权投资者的认股书或股权出资相关的任何文件。</w:t>
      </w:r>
    </w:p>
    <w:p>
      <w:pPr>
        <w:widowControl w:val="0"/>
        <w:spacing w:before="89" w:after="0" w:line="305" w:lineRule="auto"/>
        <w:ind w:left="557" w:right="4099" w:hanging="110"/>
        <w:rPr>
          <w:rFonts w:ascii="Times New Roman" w:eastAsia="Times New Roman" w:hAnsi="Times New Roman" w:cs="Times New Roman"/>
          <w:sz w:val="22"/>
          <w:szCs w:val="22"/>
        </w:rPr>
      </w:pPr>
      <w:r>
        <w:rPr>
          <w:rFonts w:ascii="宋体" w:eastAsia="宋体" w:hAnsi="宋体" w:cs="宋体"/>
          <w:color w:val="231F20"/>
          <w:sz w:val="22"/>
          <w:szCs w:val="22"/>
        </w:rPr>
        <w:t>（ 2）与提供履约保函和维护保函相关的文件。贷款人：指融资文件中的贷款人。</w:t>
      </w:r>
    </w:p>
    <w:p>
      <w:pPr>
        <w:widowControl w:val="0"/>
        <w:spacing w:before="20"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验收：指第</w:t>
      </w:r>
      <w:r>
        <w:rPr>
          <w:rFonts w:ascii="宋体" w:eastAsia="宋体" w:hAnsi="宋体" w:cs="宋体"/>
          <w:color w:val="231F20"/>
          <w:sz w:val="22"/>
          <w:szCs w:val="22"/>
          <w:u w:val="single" w:color="231F20"/>
        </w:rPr>
        <w:t>十四</w:t>
      </w:r>
      <w:r>
        <w:rPr>
          <w:rFonts w:ascii="宋体" w:eastAsia="宋体" w:hAnsi="宋体" w:cs="宋体"/>
          <w:color w:val="231F20"/>
          <w:sz w:val="22"/>
          <w:szCs w:val="22"/>
        </w:rPr>
        <w:t>条所述的确保项目设施达到技术标准、规范和要求及设计标准的测试和审核。</w:t>
      </w:r>
    </w:p>
    <w:p>
      <w:pPr>
        <w:widowControl w:val="0"/>
        <w:tabs>
          <w:tab w:val="left" w:pos="959"/>
        </w:tabs>
        <w:spacing w:before="176" w:after="0"/>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特许经营权</w:t>
      </w:r>
    </w:p>
    <w:p>
      <w:pPr>
        <w:widowControl w:val="0"/>
        <w:spacing w:before="8" w:after="0"/>
        <w:rPr>
          <w:rFonts w:ascii="Times New Roman" w:eastAsia="Times New Roman" w:hAnsi="Times New Roman" w:cs="Times New Roman"/>
          <w:sz w:val="16"/>
          <w:szCs w:val="16"/>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特许经营权</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本条主要包括以下几方面的内容：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1）授权范围：</w:t>
      </w:r>
    </w:p>
    <w:p>
      <w:pPr>
        <w:widowControl w:val="0"/>
        <w:numPr>
          <w:ilvl w:val="0"/>
          <w:numId w:val="1"/>
        </w:numPr>
        <w:tabs>
          <w:tab w:val="left" w:pos="862"/>
        </w:tabs>
        <w:spacing w:before="89" w:line="305" w:lineRule="auto"/>
        <w:ind w:left="117" w:right="1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规定特许经营权授予方授予项目公司承担一个特许经营垃圾处理建设或运营项目权利的范围；</w:t>
      </w:r>
    </w:p>
    <w:p>
      <w:pPr>
        <w:widowControl w:val="0"/>
        <w:numPr>
          <w:ilvl w:val="0"/>
          <w:numId w:val="1"/>
        </w:numPr>
        <w:tabs>
          <w:tab w:val="left" w:pos="867"/>
        </w:tabs>
        <w:spacing w:before="21" w:line="305" w:lineRule="auto"/>
        <w:ind w:left="117" w:right="1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为控制项目公司的风险，限制项目公司从事未经特许经营权授予方批准或同意的其他业务的权利；</w:t>
      </w:r>
    </w:p>
    <w:p>
      <w:pPr>
        <w:widowControl w:val="0"/>
        <w:numPr>
          <w:ilvl w:val="0"/>
          <w:numId w:val="1"/>
        </w:numPr>
        <w:spacing w:before="21" w:after="0"/>
        <w:ind w:left="763" w:right="0" w:hanging="291"/>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涉及到的所处理垃圾的地域范围和其他授权范围等。</w:t>
      </w:r>
    </w:p>
    <w:p>
      <w:pPr>
        <w:widowControl w:val="0"/>
        <w:spacing w:before="89" w:after="0" w:line="305" w:lineRule="auto"/>
        <w:ind w:left="117" w:right="108"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8"/>
          <w:sz w:val="22"/>
          <w:szCs w:val="22"/>
        </w:rPr>
        <w:t>特许期限：即业主政府许可项目公司在该项目建成后运营合同设施的期限，该条款与</w:t>
      </w:r>
      <w:r>
        <w:rPr>
          <w:rFonts w:ascii="宋体" w:eastAsia="宋体" w:hAnsi="宋体" w:cs="宋体"/>
          <w:color w:val="231F20"/>
          <w:spacing w:val="3"/>
          <w:sz w:val="22"/>
          <w:szCs w:val="22"/>
        </w:rPr>
        <w:t>业主政府及其用户、项目公司的利益都有非常密切的关系，特许经营期限应根据垃圾处理规</w:t>
      </w:r>
      <w:r>
        <w:rPr>
          <w:rFonts w:ascii="宋体" w:eastAsia="宋体" w:hAnsi="宋体" w:cs="宋体"/>
          <w:color w:val="231F20"/>
          <w:sz w:val="22"/>
          <w:szCs w:val="22"/>
        </w:rPr>
        <w:t>模、技术路线、经营方式等因素确定，最长不得超过 30 年。并说明在不可抗力事件、一方违约、重大法律变更时特许期限的调整程序。</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3）转让和抵押</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应说明项目公司抵押或转让垃圾处理设施的资产、设施和设备的条件。对于特许经营权的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Pr>
          <w:rFonts w:ascii="Times New Roman" w:eastAsia="Times New Roman" w:hAnsi="Times New Roman" w:cs="Times New Roman"/>
          <w:sz w:val="22"/>
          <w:szCs w:val="22"/>
        </w:rPr>
      </w:pPr>
      <w:r>
        <w:rPr>
          <w:rFonts w:ascii="宋体" w:eastAsia="宋体" w:hAnsi="宋体" w:cs="宋体"/>
          <w:color w:val="231F20"/>
          <w:spacing w:val="-2"/>
          <w:sz w:val="22"/>
          <w:szCs w:val="22"/>
        </w:rPr>
        <w:t>转让和抵押的限制等。其中：</w:t>
      </w:r>
      <w:r>
        <w:rPr>
          <w:rFonts w:ascii="宋体" w:eastAsia="宋体" w:hAnsi="宋体" w:cs="宋体"/>
          <w:color w:val="231F20"/>
          <w:spacing w:val="-19"/>
          <w:sz w:val="22"/>
          <w:szCs w:val="22"/>
        </w:rPr>
        <w:t>1.</w:t>
      </w:r>
      <w:r>
        <w:rPr>
          <w:rFonts w:ascii="宋体" w:eastAsia="宋体" w:hAnsi="宋体" w:cs="宋体"/>
          <w:color w:val="231F20"/>
          <w:spacing w:val="-5"/>
          <w:sz w:val="22"/>
          <w:szCs w:val="22"/>
        </w:rPr>
        <w:t xml:space="preserve">  </w:t>
      </w:r>
      <w:r>
        <w:rPr>
          <w:rFonts w:ascii="宋体" w:eastAsia="宋体" w:hAnsi="宋体" w:cs="宋体"/>
          <w:color w:val="231F20"/>
          <w:spacing w:val="-5"/>
          <w:sz w:val="22"/>
          <w:szCs w:val="22"/>
        </w:rPr>
        <w:t>项目公司如为本项目融资目的，经特许经营权授予方同意</w:t>
      </w:r>
      <w:r>
        <w:rPr>
          <w:rFonts w:ascii="宋体" w:eastAsia="宋体" w:hAnsi="宋体" w:cs="宋体"/>
          <w:color w:val="231F20"/>
          <w:sz w:val="22"/>
          <w:szCs w:val="22"/>
        </w:rPr>
        <w:t>（特</w:t>
      </w:r>
      <w:r>
        <w:rPr>
          <w:rFonts w:ascii="宋体" w:eastAsia="宋体" w:hAnsi="宋体" w:cs="宋体"/>
          <w:color w:val="231F20"/>
          <w:spacing w:val="10"/>
          <w:sz w:val="22"/>
          <w:szCs w:val="22"/>
        </w:rPr>
        <w:t>许经营权授予方不得不合理地拒绝同意）</w:t>
      </w:r>
      <w:r>
        <w:rPr>
          <w:rFonts w:ascii="宋体" w:eastAsia="宋体" w:hAnsi="宋体" w:cs="宋体"/>
          <w:color w:val="231F20"/>
          <w:spacing w:val="5"/>
          <w:sz w:val="22"/>
          <w:szCs w:val="22"/>
        </w:rPr>
        <w:t>的情况下，可以在其资产和权利上设置担保权益；</w:t>
      </w:r>
    </w:p>
    <w:p>
      <w:pPr>
        <w:widowControl w:val="0"/>
        <w:numPr>
          <w:ilvl w:val="0"/>
          <w:numId w:val="2"/>
        </w:numPr>
        <w:tabs>
          <w:tab w:val="left" w:pos="427"/>
          <w:tab w:val="left" w:pos="4128"/>
        </w:tabs>
        <w:spacing w:before="21" w:after="0" w:line="305" w:lineRule="auto"/>
        <w:ind w:left="117" w:right="21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项目公司股东在项目稳定运行</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年限后应可以转让股权，前提是不影响项目继续稳定运行。</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4）特许期内项目公司的主要责任和特许经营权下项目公司应支付的费用，如项目的前期开发费（如征地拆迁，勘察、设计等</w:t>
      </w:r>
      <w:r>
        <w:rPr>
          <w:rFonts w:ascii="宋体" w:eastAsia="宋体" w:hAnsi="宋体" w:cs="宋体"/>
          <w:color w:val="231F20"/>
          <w:spacing w:val="-110"/>
          <w:sz w:val="22"/>
          <w:szCs w:val="22"/>
        </w:rPr>
        <w:t>）</w:t>
      </w:r>
      <w:r>
        <w:rPr>
          <w:rFonts w:ascii="宋体" w:eastAsia="宋体" w:hAnsi="宋体" w:cs="宋体"/>
          <w:color w:val="231F20"/>
          <w:sz w:val="22"/>
          <w:szCs w:val="22"/>
        </w:rPr>
        <w:t>、各种保函（或其他方式的担保</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43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声明、保证和前提条件</w:t>
      </w:r>
    </w:p>
    <w:p>
      <w:pPr>
        <w:widowControl w:val="0"/>
        <w:spacing w:before="89"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主要是申明双方的法律地位、经济情况和对于项目的许可、评审、听证、公示、批准等情况及承担项目资格和能力、项目成立的基本条件等。</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特许经营权的监管</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1）特许经营权授予方应明确对于垃圾处理特许经营过程的行业监督管理机构、监管内容和方式，并明确不合格情况下的处理措施。</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2）应当包括对于运行过程处理标准的监管、环境标准的监管、财务状况的监管和安全卫生的监管。</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3）明确协调机构的组建时间、人员组成、任务和责任。</w:t>
      </w:r>
    </w:p>
    <w:p>
      <w:pPr>
        <w:widowControl w:val="0"/>
        <w:spacing w:before="5" w:after="0"/>
        <w:rPr>
          <w:rFonts w:ascii="Times New Roman" w:eastAsia="Times New Roman" w:hAnsi="Times New Roman" w:cs="Times New Roman"/>
          <w:sz w:val="16"/>
          <w:szCs w:val="16"/>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新建项目建设</w:t>
      </w:r>
    </w:p>
    <w:p>
      <w:pPr>
        <w:widowControl w:val="0"/>
        <w:spacing w:before="8" w:after="0"/>
        <w:rPr>
          <w:rFonts w:ascii="Times New Roman" w:eastAsia="Times New Roman" w:hAnsi="Times New Roman" w:cs="Times New Roman"/>
          <w:sz w:val="16"/>
          <w:szCs w:val="16"/>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土地使用权</w:t>
      </w:r>
    </w:p>
    <w:p>
      <w:pPr>
        <w:widowControl w:val="0"/>
        <w:spacing w:before="88"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主要包括土地使用权的获得过程中双方责权利，场地使用限制、使用权的改变和抵押、土地使用费等，土地使用期限及其延长。</w:t>
      </w:r>
    </w:p>
    <w:p>
      <w:pPr>
        <w:widowControl w:val="0"/>
        <w:tabs>
          <w:tab w:val="left" w:pos="165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设计</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包括设计要求、设计审批过程、设计变更程序等。</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建设</w:t>
      </w:r>
    </w:p>
    <w:p>
      <w:pPr>
        <w:widowControl w:val="0"/>
        <w:spacing w:before="89"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主要包括建设过程中特许经营权授予方和项目公司各自的责任、建设工程的质量保证和质量控制的责任和措施等，也包括了设备及材料采购和建设承包商的选择、项目计划及进度安排和保证措施、工期延误和不合格工程拒收等。</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运营期的分期建设或扩建参照本章执行。</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验收和完工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1）规定验收时间、依据的法规和标准。</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2）明确参加验收的人员组成。</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3）明确项目公司验收计划的通知的时间和通知方式。</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4）明确工程验收结果的认可方式，初步完工证书的颁发和试运营的进行，以及最后完工的审核和证书的颁发。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5）明确验收失败后的重新验收或审核的方式和程序。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6）特许经营权授予方对提前完工情况下项目的实施安排。</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7）明确特许经营权授予方检验和接收工程或设施及发出初步完工证书或完工证书并不解除项目公司承担项目设计或建设方面任何缺陷或延误的责任。</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完工延误和放弃</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1）明确由于不可抗力造成的完工延误情况下，双方责任的免除及进度日期的顺延。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2）明确在特许经营权授予方导致的完工延误情况下，及进度日期的顺延。</w:t>
      </w:r>
    </w:p>
    <w:p>
      <w:pPr>
        <w:widowControl w:val="0"/>
        <w:spacing w:before="89" w:after="0" w:line="305"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3）明确在不是由于特许经营权授予方的违约，或不是由于不可抗力造成的延误情况下， 项目公司的责任。</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4）明确最后完工延误的违约金，以及这种违约金的最高限额。</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5）明确在由于项目公司违约造成建设工程已被项目公司放弃或视为放弃情况下，项目公司的责任或违约金。</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6）明确项目公司被视为放弃的条件。</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7）明确特许经营权授予方解除全部或尚未支取的履约保函（或其他方式的担保）项下的金额的时间或条件。</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8）如对项目建设工期要求特别高，可以考虑加入介入建设条款，即如项目建设工期或质量严重不符合要求时，特许经营权授予方选择自行或指定第三方建设项目的条件。</w:t>
      </w:r>
    </w:p>
    <w:p>
      <w:pPr>
        <w:widowControl w:val="0"/>
        <w:tabs>
          <w:tab w:val="left" w:pos="95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项目的运营与维护</w:t>
      </w:r>
    </w:p>
    <w:p>
      <w:pPr>
        <w:widowControl w:val="0"/>
        <w:spacing w:before="8" w:after="0"/>
        <w:rPr>
          <w:rFonts w:ascii="Times New Roman" w:eastAsia="Times New Roman" w:hAnsi="Times New Roman" w:cs="Times New Roman"/>
          <w:sz w:val="16"/>
          <w:szCs w:val="16"/>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运营与维护</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1）明确在整个特许期内项目公司负责垃圾处理设施的管理、运营、安全和维护的任务和责任。</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2）在整个特许期内运营维护期间，特许经营权授予方的责任和义务。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3）明确监管机构对于运营安全和技术要求监督和检查要求。</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4）检验与维护手册：明确项目公司的垃圾处理设施的检验与维护手册的要求。</w:t>
      </w:r>
    </w:p>
    <w:p>
      <w:pPr>
        <w:widowControl w:val="0"/>
        <w:spacing w:before="89"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6"/>
          <w:sz w:val="22"/>
          <w:szCs w:val="22"/>
        </w:rPr>
        <w:t>5）</w:t>
      </w:r>
      <w:r>
        <w:rPr>
          <w:rFonts w:ascii="宋体" w:eastAsia="宋体" w:hAnsi="宋体" w:cs="宋体"/>
          <w:color w:val="231F20"/>
          <w:spacing w:val="-7"/>
          <w:sz w:val="22"/>
          <w:szCs w:val="22"/>
        </w:rPr>
        <w:t>监督管理手册：明确特许经营权授予方对于项目公司运营和维护工作的监督管理权限、程序、措施和惩处手段。</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6）明确运营与维护保函（或其他担保）数额、补足要求和有效期等。</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7）明确项目公司违反其维护垃圾处理设施的义务情况下的处理措施。</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8）明确项目或其任何部分违反应适用的中国的安全标准和法规情况下的处理措施。</w:t>
      </w:r>
    </w:p>
    <w:p>
      <w:pPr>
        <w:widowControl w:val="0"/>
        <w:spacing w:before="89" w:after="0" w:line="305"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9）明确项目公司运营垃圾处理设施应达到附件 2 技术规范规定的处置标准、产品标准、环境标准。</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z w:val="22"/>
          <w:szCs w:val="22"/>
        </w:rPr>
        <w:t>10）明确特许经营权授予方及其代表在不影响正常作业情况下进入垃圾处理设施，以监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察垃圾处理设施的运营和维护的权利和条件。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11）明确项目公司应提供的定期报告：包括运营报告、财务报告、环境监测报告等。</w:t>
      </w:r>
    </w:p>
    <w:p>
      <w:pPr>
        <w:widowControl w:val="0"/>
        <w:spacing w:before="89"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 12）明确如项目运营和维护严重不符合要求时，特许经营权授予方选择自行或指定第三方运营和维护的权利。</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13）明确运营期间需要扩建等建设项目时的程序与条件。</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垃圾的供应与运输</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明确特许经营权授予方在整个特许期内根据附件 1 的条款，调配并向项目公司供应垃圾，</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项目公司应接收其运营垃圾处理设施所需的符合附件 1 条款要求的全部垃圾。项目公司不得接</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收附件 1 或其补充修订协议之外的垃圾。</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垃圾处理服务和垃圾处理费</w:t>
      </w:r>
    </w:p>
    <w:p>
      <w:pPr>
        <w:widowControl w:val="0"/>
        <w:spacing w:before="89"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特许经营权授予方应在整个特许期内根据附件 1 的有关条款供应垃圾，并向项目公司支付垃圾处理费，或明确收费方式和金额并办理完整的收费文件；协助相关部门核算和监控项目公司成本，提出价格调整意见。</w:t>
      </w:r>
    </w:p>
    <w:p>
      <w:pPr>
        <w:widowControl w:val="0"/>
        <w:tabs>
          <w:tab w:val="left" w:pos="165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项目的融资和财务管理</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1）明确在特许期内，项目公司负责筹集垃圾处理设施建设、运营和维护所需的所有资金的义务。</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2）明确项目公司在特许期内项目公司股东在项目投资的股本金数额及比例要求。</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3）在使用外资情况下，规定项目公司所有需要以外汇进行有关本项目的结算的银行账户使用方法。</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4）在使用外资情况下，特许经营权授予方应明确项目公司、建设承包商和运营维护承包商在中国境内开立、使用外汇账户，向境外账户汇出资金等事宜。</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5）在使用外资情况下，应规定项目公司在特许期内将项目的人民币收入兑换成外汇，以支付项目外汇支出、外币贷款还本付息和支付外国股东股本金的利润等事宜。</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6）在利用外资情况下，项目公司（或股东）将其利润汇出境外的条件。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7）对于项目公司财务报表的要求。</w:t>
      </w:r>
    </w:p>
    <w:p>
      <w:pPr>
        <w:widowControl w:val="0"/>
        <w:spacing w:before="5" w:after="0"/>
        <w:rPr>
          <w:rFonts w:ascii="Times New Roman" w:eastAsia="Times New Roman" w:hAnsi="Times New Roman" w:cs="Times New Roman"/>
          <w:sz w:val="16"/>
          <w:szCs w:val="16"/>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项目的移交</w:t>
      </w:r>
    </w:p>
    <w:p>
      <w:pPr>
        <w:widowControl w:val="0"/>
        <w:spacing w:before="8" w:after="0"/>
        <w:rPr>
          <w:rFonts w:ascii="Times New Roman" w:eastAsia="Times New Roman" w:hAnsi="Times New Roman" w:cs="Times New Roman"/>
          <w:sz w:val="16"/>
          <w:szCs w:val="16"/>
        </w:rPr>
      </w:pPr>
    </w:p>
    <w:p>
      <w:pPr>
        <w:widowControl w:val="0"/>
        <w:tabs>
          <w:tab w:val="left" w:pos="165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特许期结束后的移交</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1）明确特许期结束后，项目公司向特许经营权授予方移交的有形、无形资产内容及完好程度。</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2）明确最后恢复性大修的时间、范围和要求，以及移交验收程序。</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3）明确移交的备品备件的内容和程序。</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4）填埋场情况下，对于项目公司进行封场及后处理的要求。</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5）明确移交日期垃圾处理设施的状况要求、缺陷责任期内项目公司的责任和责任的限制以及对于未能修复缺陷或损害的赔偿、对于移交维护保险的要求等。</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6）明确在移交时，项目公司所有承包商和供应商提供的尚未期满的担保及保证、所有保险单、暂保单和保险单批单等转让给特许经营权授予方或其指定机构的方式。</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7）关于项目公司运营和维护垃圾处理设施的所有文件、图纸、技术和技术诀窍，及所有无形资产的移交和授让方式。</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8）明确特许期结束后原项目公司雇员的处置。</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9）明确对于项目公司签订的、于移交日期仍有效的运营维护合同、设备合同、供货合同和所有其他合同的处置。</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10）明确项目公司移走的物品的范围和方式。</w:t>
      </w:r>
    </w:p>
    <w:p>
      <w:pPr>
        <w:widowControl w:val="0"/>
        <w:spacing w:before="88"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 11）明确项目公司应承担移交日期前垃圾处理设施的全部或部分损失或损坏的风险，除非损失或损坏是由特许经营权授予方的违约所致。</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12）明确所进行移交和转让及其批准所需的费用和支出方式。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13）明确移交机构组成及移交程序。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14）明确本协议移交后的效力。</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5"/>
          <w:sz w:val="22"/>
          <w:szCs w:val="22"/>
        </w:rPr>
        <w:t>15）</w:t>
      </w:r>
      <w:r>
        <w:rPr>
          <w:rFonts w:ascii="宋体" w:eastAsia="宋体" w:hAnsi="宋体" w:cs="宋体"/>
          <w:color w:val="231F20"/>
          <w:spacing w:val="-6"/>
          <w:sz w:val="22"/>
          <w:szCs w:val="22"/>
        </w:rPr>
        <w:t>明确特许经营权授予方对于运营与维护保函</w:t>
      </w:r>
      <w:r>
        <w:rPr>
          <w:rFonts w:ascii="宋体" w:eastAsia="宋体" w:hAnsi="宋体" w:cs="宋体"/>
          <w:color w:val="231F20"/>
          <w:spacing w:val="-5"/>
          <w:sz w:val="22"/>
          <w:szCs w:val="22"/>
        </w:rPr>
        <w:t>（或其他担保</w:t>
      </w:r>
      <w:r>
        <w:rPr>
          <w:rFonts w:ascii="宋体" w:eastAsia="宋体" w:hAnsi="宋体" w:cs="宋体"/>
          <w:color w:val="231F20"/>
          <w:spacing w:val="-17"/>
          <w:sz w:val="22"/>
          <w:szCs w:val="22"/>
        </w:rPr>
        <w:t>）</w:t>
      </w:r>
      <w:r>
        <w:rPr>
          <w:rFonts w:ascii="宋体" w:eastAsia="宋体" w:hAnsi="宋体" w:cs="宋体"/>
          <w:color w:val="231F20"/>
          <w:spacing w:val="-5"/>
          <w:sz w:val="22"/>
          <w:szCs w:val="22"/>
        </w:rPr>
        <w:t>的余额解除的时间或条件。</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3"/>
          <w:sz w:val="22"/>
          <w:szCs w:val="22"/>
        </w:rPr>
        <w:t>16）</w:t>
      </w:r>
      <w:r>
        <w:rPr>
          <w:rFonts w:ascii="宋体" w:eastAsia="宋体" w:hAnsi="宋体" w:cs="宋体"/>
          <w:color w:val="231F20"/>
          <w:spacing w:val="-5"/>
          <w:sz w:val="22"/>
          <w:szCs w:val="22"/>
        </w:rPr>
        <w:t>明确如果特许经营权授予方将再次授予特许经营权，项目公司是否有优先权及其条件。</w:t>
      </w:r>
    </w:p>
    <w:p>
      <w:pPr>
        <w:widowControl w:val="0"/>
        <w:spacing w:before="4" w:after="0"/>
        <w:rPr>
          <w:rFonts w:ascii="Times New Roman" w:eastAsia="Times New Roman" w:hAnsi="Times New Roman" w:cs="Times New Roman"/>
          <w:sz w:val="16"/>
          <w:szCs w:val="16"/>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双方的一般义务</w:t>
      </w:r>
    </w:p>
    <w:p>
      <w:pPr>
        <w:widowControl w:val="0"/>
        <w:spacing w:before="8" w:after="0"/>
        <w:rPr>
          <w:rFonts w:ascii="Times New Roman" w:eastAsia="Times New Roman" w:hAnsi="Times New Roman" w:cs="Times New Roman"/>
          <w:sz w:val="16"/>
          <w:szCs w:val="16"/>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特许经营权授予方的一般义务</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1）明确特许经营权授予方应始终遵守并促使遵守任何中华人民共和国及政府部门颁布的所有有关法律、法规和法令。</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2）明确在重要的法律变更情况下协议的执行和补偿。</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3）明确可能的税收优惠。</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4）明确对项目公司为垃圾处理设施的投资、设计、建设、运营和移交所需的审查、许可、执照、同意、授权或批准。</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5）明确需要获得和保持批准，包括特许经营权授予方协助获得的批准和将由特许经营权授予方给予的批准的责任。</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6）明确特许经营权授予方对于项目公司、建设承包商及运营维护承包商或其各自的授权代表的物品和设备进出口所需的批准清单及责任。</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7）明确特许经营权授予方对于为项目公司、建设承包商、运营维护承包商的外籍人员及向项目公司提供为垃圾处理设施服务的必要人员取得就业许可的责任。</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8）明确特许经营权授予方提供的公用设施条件。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9）明确特许经营权授予方在垃圾处理设施的建设、运营和维护过程中，对项目公司的经营计划实施情况、产品和服务的质量以及安全生产情况进行监督，并向政府提交年度监督检查报告。监督检查工作不得妨碍项目公司的正常生产经营活动。</w:t>
      </w:r>
    </w:p>
    <w:p>
      <w:pPr>
        <w:widowControl w:val="0"/>
        <w:spacing w:before="21"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10）在项目的建设及运营期间，根据双方商定，特许经营权授予方将联系有关部门向项目公司提供公共安全保障。</w:t>
      </w:r>
    </w:p>
    <w:p>
      <w:pPr>
        <w:widowControl w:val="0"/>
        <w:spacing w:before="21"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11）明确限制特许经营权授予方不当提取项目公司提交的投标保函、履约保函和运营与维护保函或其他方式的担保。</w:t>
      </w:r>
    </w:p>
    <w:p>
      <w:pPr>
        <w:widowControl w:val="0"/>
        <w:spacing w:before="21"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12）明确特许经营权授予方是垃圾供应与运输协议项下的首要义务人，并享有相应的所有权利和应承担其各自协议项下的所有义务。</w:t>
      </w:r>
    </w:p>
    <w:p>
      <w:pPr>
        <w:widowControl w:val="0"/>
        <w:spacing w:before="21"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13）明确特许经营权授予方任何违反垃圾供应与运输协议项下的义务应为特许经营权授予方本协议项下的违约。</w:t>
      </w:r>
    </w:p>
    <w:p>
      <w:pPr>
        <w:widowControl w:val="0"/>
        <w:spacing w:before="21"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14）明确特许经营权授予方对项目公司在特许经营期间有不当行为时的终止协议或取消特许经营权的情况。</w:t>
      </w:r>
    </w:p>
    <w:p>
      <w:pPr>
        <w:widowControl w:val="0"/>
        <w:spacing w:before="21"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15）明确协议上报备案要求，以及受理调查公众对项目公司擅自停业、歇业的，应令其限期改正，督促其履行义务。</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16）项目公司承担政府公益性指令任务造成经济损失的，政府相应的补偿责任。</w:t>
      </w:r>
    </w:p>
    <w:p>
      <w:pPr>
        <w:widowControl w:val="0"/>
        <w:tabs>
          <w:tab w:val="left" w:pos="187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项目公司的一般义务</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1）明确对于项目公司所有权的变更及股份转让的限制，及变更名称、地址、法定代表人时应提前书面告之特许经营权授予方并经其同意。</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2）明确对于项目公司履行本协议项下的义务应遵守的法律、法规和法令的要求。</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3）明确重要的法律变更情况下的要求和垃圾处理价格调整的规定。</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4）接受主管部门对产品、安全、服务、质量的监督检查。</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5）按规定的时间将项目公司中长期发展规划、年度经营计划、年度报告、董事会决议等报特许经营权授予方备案。</w:t>
      </w:r>
    </w:p>
    <w:p>
      <w:pPr>
        <w:widowControl w:val="0"/>
        <w:spacing w:before="21"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6）明确项目公司应遵守和执行的有关环保标准和要求，以及项目公司在建设、运营和维护垃圾处理设施时对于避免或尽量减少对设施、建筑物和居民区的妨害的责任。</w:t>
      </w:r>
    </w:p>
    <w:p>
      <w:pPr>
        <w:widowControl w:val="0"/>
        <w:spacing w:before="21"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7）明确项目公司应保证生产设施、设备运营维护和更新改造所必须的投入，并确保设施完好。未经政府批准，项目公司不得擅自停业、歇业。</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8）项目公司对于考古、地质及历史文物的保护的要求。</w:t>
      </w:r>
    </w:p>
    <w:p>
      <w:pPr>
        <w:widowControl w:val="0"/>
        <w:spacing w:before="89" w:after="0" w:line="305"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9）明确是否优先使用中国的服务、货物及优先条件，对于招标过程中对于是否优先使用中国的承包商或中国的服务及货物等的要求，以及本垃圾处理设施中使用中国的服务和货物的程度对于将来其他的特许经营权项目招商时对于本项目公司地位的影响。</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z w:val="22"/>
          <w:szCs w:val="22"/>
        </w:rPr>
        <w:t>10）对于项目公司使用中国的劳动力的要求，明确应遵守的相关劳动和工会法律和尊重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法规赋予的工人的各项权利。明确应遵守的健康和安全法规和标准规范。</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11）明确项目公司与本项目有关的文件、协议与本协议的一致性。</w:t>
      </w:r>
    </w:p>
    <w:p>
      <w:pPr>
        <w:widowControl w:val="0"/>
        <w:spacing w:before="89" w:after="0" w:line="305" w:lineRule="auto"/>
        <w:ind w:left="117" w:right="90" w:firstLine="330"/>
        <w:rPr>
          <w:rFonts w:ascii="Times New Roman" w:eastAsia="Times New Roman" w:hAnsi="Times New Roman" w:cs="Times New Roman"/>
          <w:sz w:val="22"/>
          <w:szCs w:val="22"/>
        </w:rPr>
      </w:pPr>
      <w:r>
        <w:rPr>
          <w:rFonts w:ascii="宋体" w:eastAsia="宋体" w:hAnsi="宋体" w:cs="宋体"/>
          <w:color w:val="231F20"/>
          <w:sz w:val="22"/>
          <w:szCs w:val="22"/>
        </w:rPr>
        <w:t>（ 12）明确项目公司应按照中华人民共和国及其政府部门颁布的法律和法规缴纳所有税金、关税及收费。</w:t>
      </w:r>
    </w:p>
    <w:p>
      <w:pPr>
        <w:widowControl w:val="0"/>
        <w:spacing w:before="21" w:after="0" w:line="305" w:lineRule="auto"/>
        <w:ind w:left="117" w:right="212"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13）明确在特许期内，项目公司应购买和保持的保险单；明确对于项目公司应责成其承保人或代理人向特许经营权授予方提供保险证明书的要求；对于项目公司向特许经营权授予方提供承保人的报告副本或项目公司从任何承保人处收到的其他报告副本等的要求。</w:t>
      </w:r>
    </w:p>
    <w:p>
      <w:pPr>
        <w:widowControl w:val="0"/>
        <w:spacing w:before="21"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 14）明确项目公司对承包商和其雇员及代理人的责任，应明确项目公司对于其雇用承包商的责任及与承包商签订的任何合同应包括使项目公司履行本协议必要的本协议项下的条款。</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15）明确项目公司融资文件的条款要求。</w:t>
      </w:r>
    </w:p>
    <w:p>
      <w:pPr>
        <w:widowControl w:val="0"/>
        <w:spacing w:before="89" w:after="0" w:line="305" w:lineRule="auto"/>
        <w:ind w:left="117" w:right="90" w:firstLine="330"/>
        <w:rPr>
          <w:rFonts w:ascii="Times New Roman" w:eastAsia="Times New Roman" w:hAnsi="Times New Roman" w:cs="Times New Roman"/>
          <w:sz w:val="22"/>
          <w:szCs w:val="22"/>
        </w:rPr>
      </w:pPr>
      <w:r>
        <w:rPr>
          <w:rFonts w:ascii="宋体" w:eastAsia="宋体" w:hAnsi="宋体" w:cs="宋体"/>
          <w:color w:val="231F20"/>
          <w:sz w:val="22"/>
          <w:szCs w:val="22"/>
        </w:rPr>
        <w:t>（ 16）项目公司对其财产和本协议项下的任何所有权或其他权利和权益进行质押、抵押、不动产抵押或其他担保物权给贷款人以外的任何人的限制。</w:t>
      </w:r>
    </w:p>
    <w:p>
      <w:pPr>
        <w:widowControl w:val="0"/>
        <w:spacing w:before="20"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 17）明确项目公司在协议有效期内单方提出解除协议的提前申请时限，及在特许经营权授予方同意解除协议前，项目公司履行正常经营的义务。</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特许经营权授予方和项目公司的共同义务和权利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1）明确对于不可抗力引起的中止履行的规定</w:t>
      </w:r>
    </w:p>
    <w:p>
      <w:pPr>
        <w:widowControl w:val="0"/>
        <w:numPr>
          <w:ilvl w:val="0"/>
          <w:numId w:val="3"/>
        </w:numPr>
        <w:tabs>
          <w:tab w:val="left" w:pos="862"/>
        </w:tabs>
        <w:spacing w:before="89" w:line="305"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明确对于项目公司声称的不可抗力而中止履行本协议或作为其不履行本协议项下义务的理由的限制条件；</w:t>
      </w:r>
    </w:p>
    <w:p>
      <w:pPr>
        <w:widowControl w:val="0"/>
        <w:numPr>
          <w:ilvl w:val="0"/>
          <w:numId w:val="3"/>
        </w:numPr>
        <w:tabs>
          <w:tab w:val="left" w:pos="867"/>
        </w:tabs>
        <w:spacing w:before="21" w:line="305" w:lineRule="auto"/>
        <w:ind w:left="117" w:right="21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明确对于特许经营权授予方声称不可抗力而中止履行其本协议项下的义务或作为其不履行协议项下义务的理由的限制条件；</w:t>
      </w:r>
    </w:p>
    <w:p>
      <w:pPr>
        <w:widowControl w:val="0"/>
        <w:numPr>
          <w:ilvl w:val="0"/>
          <w:numId w:val="3"/>
        </w:numPr>
        <w:spacing w:before="21"/>
        <w:ind w:left="763" w:right="0" w:hanging="291"/>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明确对于不可抗力声称的程序；</w:t>
      </w:r>
    </w:p>
    <w:p>
      <w:pPr>
        <w:widowControl w:val="0"/>
        <w:numPr>
          <w:ilvl w:val="0"/>
          <w:numId w:val="3"/>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明确不可抗力造成影响情况下的费用补偿条件或时间表修改要求；</w:t>
      </w:r>
    </w:p>
    <w:p>
      <w:pPr>
        <w:widowControl w:val="0"/>
        <w:numPr>
          <w:ilvl w:val="0"/>
          <w:numId w:val="3"/>
        </w:numPr>
        <w:spacing w:before="89"/>
        <w:ind w:left="763" w:right="0" w:hanging="305"/>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在商业运营开始日之后，不可抗力事件期间的支付条件和方式；</w:t>
      </w:r>
    </w:p>
    <w:p>
      <w:pPr>
        <w:widowControl w:val="0"/>
        <w:numPr>
          <w:ilvl w:val="0"/>
          <w:numId w:val="3"/>
        </w:numPr>
        <w:spacing w:before="89"/>
        <w:ind w:left="726" w:right="0" w:hanging="247"/>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明确不可抗力造成的终止的程序要求；</w:t>
      </w:r>
    </w:p>
    <w:p>
      <w:pPr>
        <w:widowControl w:val="0"/>
        <w:numPr>
          <w:ilvl w:val="0"/>
          <w:numId w:val="3"/>
        </w:numPr>
        <w:tabs>
          <w:tab w:val="left" w:pos="1440"/>
        </w:tabs>
        <w:spacing w:before="89"/>
        <w:ind w:left="763" w:right="0" w:hanging="206"/>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对于在受到不可抗力影响情况下，双方减少损失和协商的责任和要求；</w:t>
      </w:r>
    </w:p>
    <w:p>
      <w:pPr>
        <w:widowControl w:val="0"/>
        <w:numPr>
          <w:ilvl w:val="0"/>
          <w:numId w:val="3"/>
        </w:numPr>
        <w:spacing w:before="89" w:after="0"/>
        <w:ind w:left="775" w:right="0" w:hanging="309"/>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如果不可抗力造成建设工程或垃圾处理设施的实质性损坏情况下，设施修复的责任。</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2）明确在危及或者可能危及公众利益、公众安全的紧急情况下，特许经营权授予方临时接管特许经营项目的条件和程序。</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3）明确由特许经营权授予方向项目公司提供的文件的权属和限制、由项目公司向特许经营权授予方提供的文件权属和限制以及双方遵守对于文件的有关规定。</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4）明确特许期结束后双方的保密规定。</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5）明确双方相互合作以实现本协议的目的义务。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6）明确特许经营权授予方和项目公司反对以欺骗、贿赂等不正当手段获得特许经营权的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陈述、保证、约定、法律责任并声明。</w:t>
      </w:r>
    </w:p>
    <w:p>
      <w:pPr>
        <w:widowControl w:val="0"/>
        <w:spacing w:before="4" w:after="0"/>
        <w:rPr>
          <w:rFonts w:ascii="Times New Roman" w:eastAsia="Times New Roman" w:hAnsi="Times New Roman" w:cs="Times New Roman"/>
          <w:sz w:val="16"/>
          <w:szCs w:val="16"/>
        </w:rPr>
      </w:pPr>
    </w:p>
    <w:p>
      <w:pPr>
        <w:widowControl w:val="0"/>
        <w:tabs>
          <w:tab w:val="left" w:pos="959"/>
        </w:tabs>
        <w:spacing w:before="1" w:after="0"/>
        <w:jc w:val="center"/>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违约的补救</w:t>
      </w:r>
    </w:p>
    <w:p>
      <w:pPr>
        <w:widowControl w:val="0"/>
        <w:spacing w:before="8" w:after="0"/>
        <w:rPr>
          <w:rFonts w:ascii="Times New Roman" w:eastAsia="Times New Roman" w:hAnsi="Times New Roman" w:cs="Times New Roman"/>
          <w:sz w:val="16"/>
          <w:szCs w:val="16"/>
        </w:rPr>
      </w:pPr>
    </w:p>
    <w:p>
      <w:pPr>
        <w:widowControl w:val="0"/>
        <w:tabs>
          <w:tab w:val="left" w:pos="187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终止</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1）明确项目公司违约事件下，特许经营权授予方有权立即发出终止意向通知。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2）明确特许经营权授予方违约事件下，项目公司有权立即发出终止意向通知。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3）明确终止意向通知的形式和程序以及发出终止通知的条件、程序。</w:t>
      </w:r>
    </w:p>
    <w:p>
      <w:pPr>
        <w:widowControl w:val="0"/>
        <w:spacing w:before="89" w:after="0" w:line="305" w:lineRule="auto"/>
        <w:ind w:left="117" w:right="1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4）明确贷款人限制终止的条件、贷款人的介入权和条件、贷款人的介入承诺的内容要求、程序、有效期及其限制等、介入期结束条件和贷款人选择一个替代本协议项下项目公司的替代公司的条件和程序。</w:t>
      </w:r>
    </w:p>
    <w:p>
      <w:pPr>
        <w:widowControl w:val="0"/>
        <w:spacing w:before="21" w:after="0" w:line="305" w:lineRule="auto"/>
        <w:ind w:left="117" w:right="113"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5）明确由特许经营权授予方或其指定机构经营垃圾处理设施的权利和条件以及在项目公司违约事件发生之后且特许经营权授予方发出终止意向通知之后，特许经营权授予方在任何时候终止协议的权利。</w:t>
      </w:r>
    </w:p>
    <w:p>
      <w:pPr>
        <w:widowControl w:val="0"/>
        <w:spacing w:before="21"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6）明确如果垃圾供应与运输协议终止、垃圾供应与运输协议项下项目公司违约事件、在垃圾供应与运输协议项下出现不可抗力导致的协议终止等对于本协议的影响。</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7）明确本协议终止后双方在本协议项下的进一步的义务，或对其他条款的影响。</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8）终止后的补偿。</w:t>
      </w:r>
    </w:p>
    <w:p>
      <w:pPr>
        <w:widowControl w:val="0"/>
        <w:numPr>
          <w:ilvl w:val="0"/>
          <w:numId w:val="4"/>
        </w:numPr>
        <w:tabs>
          <w:tab w:val="left" w:pos="862"/>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明确项目公司违约事件下项目中止时，项目公司的赔偿方式和垃圾处理设施的处置。</w:t>
      </w:r>
    </w:p>
    <w:p>
      <w:pPr>
        <w:widowControl w:val="0"/>
        <w:numPr>
          <w:ilvl w:val="0"/>
          <w:numId w:val="4"/>
        </w:numPr>
        <w:tabs>
          <w:tab w:val="left" w:pos="867"/>
        </w:tabs>
        <w:spacing w:before="89" w:line="305" w:lineRule="auto"/>
        <w:ind w:left="117" w:right="1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明确如果在生效日期后项目公司因特许经营权授予方违约事件终止本协议，特许经营权授予方对于项目公司的补偿方式。</w:t>
      </w:r>
    </w:p>
    <w:p>
      <w:pPr>
        <w:widowControl w:val="0"/>
        <w:numPr>
          <w:ilvl w:val="0"/>
          <w:numId w:val="4"/>
        </w:numPr>
        <w:tabs>
          <w:tab w:val="left" w:pos="848"/>
        </w:tabs>
        <w:spacing w:before="21"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因法律变更导致的终止情况下特许经营权授予方对于项目公司的补偿方式。</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9）明确由于不可抗力造成垃圾处理设施破坏，致使本协议终止情况下，项目公司得到垃圾处理设施保险的保单项下的付款的权利，以及该保险赔款的支付顺序。</w:t>
      </w:r>
    </w:p>
    <w:p>
      <w:pPr>
        <w:widowControl w:val="0"/>
        <w:spacing w:before="20" w:after="0" w:line="305" w:lineRule="auto"/>
        <w:ind w:left="117" w:right="100" w:firstLine="330"/>
        <w:rPr>
          <w:rFonts w:ascii="Times New Roman" w:eastAsia="Times New Roman" w:hAnsi="Times New Roman" w:cs="Times New Roman"/>
          <w:sz w:val="22"/>
          <w:szCs w:val="22"/>
        </w:rPr>
      </w:pPr>
      <w:r>
        <w:rPr>
          <w:rFonts w:ascii="宋体" w:eastAsia="宋体" w:hAnsi="宋体" w:cs="宋体"/>
          <w:color w:val="231F20"/>
          <w:sz w:val="22"/>
          <w:szCs w:val="22"/>
        </w:rPr>
        <w:t>（ 10）明确一方终止本协议的权利并不排除该方采取本协议规定的或法律规定的其他可用的补救措施。</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本协议违约的赔偿</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1）明确以本协议的其他规定为条件，每一方应有权获得因违约方未遵守本协议的全部或部分而使其遭受的损失、支出和费用的赔偿，该项赔偿由违约方支付。</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2）明确各方未能履行义务情况下的免责条件。</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3）明确由于另一方违约而遭受损失或受损失威胁的一方应采取合理行动减轻或最大程度地减少另一方违约引起的损失的责任。</w:t>
      </w:r>
    </w:p>
    <w:p>
      <w:pPr>
        <w:widowControl w:val="0"/>
        <w:spacing w:before="21"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4）如果损失部分是由于受侵害方的作为或不作为造成的，或是由该方承担风险的事件造成的，赔偿的数额应按照这些因素对损失发生的影响程度而扣减。</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5）明确各方对于由于本协议引起的、在本协议下或与本协议有关的任何索赔为对方的任何间接、特殊、附带、后果性或惩罚性损害赔偿的责任。</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6）</w:t>
      </w:r>
      <w:r>
        <w:rPr>
          <w:rFonts w:ascii="宋体" w:eastAsia="宋体" w:hAnsi="宋体" w:cs="宋体"/>
          <w:color w:val="231F20"/>
          <w:spacing w:val="-5"/>
          <w:sz w:val="22"/>
          <w:szCs w:val="22"/>
        </w:rPr>
        <w:t>本条中的任何规定不应阻止任一方采取本协议规定的或有法可依的任何其他补救措施。</w:t>
      </w:r>
    </w:p>
    <w:p>
      <w:pPr>
        <w:widowControl w:val="0"/>
        <w:tabs>
          <w:tab w:val="left" w:pos="187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责任与保障</w:t>
      </w:r>
    </w:p>
    <w:p>
      <w:pPr>
        <w:widowControl w:val="0"/>
        <w:spacing w:before="89" w:after="0" w:line="305" w:lineRule="auto"/>
        <w:ind w:left="117" w:right="206"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1）明确每一方对于其在履行本协议中的违约所产生的死亡、人身伤害和财产损害或损失，从而产生的基于此之上的责任、损害、损失、费用和任何形式的请求权，对另一方进行赔偿、提供辩护的权利。</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2）明确项目公司是否对于保障、赔偿特许经营权授予方免于承担由于项目的建设、运营和维护造成的环境污染所产生的所有债务、损害、损失、费用和索赔等的规定。</w:t>
      </w:r>
    </w:p>
    <w:p>
      <w:pPr>
        <w:widowControl w:val="0"/>
        <w:spacing w:before="21" w:after="0" w:line="305"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3）明确上述规定的各方由于在本协议期满或终止之前发生的任何作为、不作为、行动、事情或事件产生的义务在本协议期满或终止后的继续有效性。</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4）明确提出索赔和抗辩程序。</w:t>
      </w:r>
    </w:p>
    <w:p>
      <w:pPr>
        <w:widowControl w:val="0"/>
        <w:spacing w:before="5" w:after="0"/>
        <w:rPr>
          <w:rFonts w:ascii="Times New Roman" w:eastAsia="Times New Roman" w:hAnsi="Times New Roman" w:cs="Times New Roman"/>
          <w:sz w:val="16"/>
          <w:szCs w:val="16"/>
        </w:rPr>
      </w:pPr>
    </w:p>
    <w:p>
      <w:pPr>
        <w:widowControl w:val="0"/>
        <w:tabs>
          <w:tab w:val="left" w:pos="3812"/>
        </w:tabs>
        <w:spacing w:before="0" w:after="0"/>
        <w:ind w:left="2852"/>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协议的转让和合同的批准</w:t>
      </w:r>
    </w:p>
    <w:p>
      <w:pPr>
        <w:widowControl w:val="0"/>
        <w:spacing w:before="8" w:after="0"/>
        <w:rPr>
          <w:rFonts w:ascii="Times New Roman" w:eastAsia="Times New Roman" w:hAnsi="Times New Roman" w:cs="Times New Roman"/>
          <w:sz w:val="16"/>
          <w:szCs w:val="16"/>
        </w:rPr>
      </w:pPr>
    </w:p>
    <w:p>
      <w:pPr>
        <w:widowControl w:val="0"/>
        <w:tabs>
          <w:tab w:val="left" w:pos="187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第二十七条</w:t>
      </w:r>
      <w:r>
        <w:rPr>
          <w:rFonts w:ascii="宋体" w:eastAsia="宋体" w:hAnsi="宋体" w:cs="宋体"/>
          <w:color w:val="231F20"/>
          <w:sz w:val="22"/>
          <w:szCs w:val="22"/>
        </w:rPr>
        <w:tab/>
      </w:r>
      <w:r>
        <w:rPr>
          <w:rFonts w:ascii="宋体" w:eastAsia="宋体" w:hAnsi="宋体" w:cs="宋体"/>
          <w:color w:val="231F20"/>
          <w:sz w:val="22"/>
          <w:szCs w:val="22"/>
        </w:rPr>
        <w:t>协议的转让</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1）明确对于特许经营权授予方授让或转让其本协议项下全部或部分的权利或义务的条件和限制。</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2）明确项目公司转让其本协议项下全部或部分的权利或义务的条件和限制。</w:t>
      </w:r>
    </w:p>
    <w:p>
      <w:pPr>
        <w:widowControl w:val="0"/>
        <w:tabs>
          <w:tab w:val="left" w:pos="187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第二十八条</w:t>
      </w:r>
      <w:r>
        <w:rPr>
          <w:rFonts w:ascii="宋体" w:eastAsia="宋体" w:hAnsi="宋体" w:cs="宋体"/>
          <w:color w:val="231F20"/>
          <w:sz w:val="22"/>
          <w:szCs w:val="22"/>
        </w:rPr>
        <w:tab/>
      </w:r>
      <w:r>
        <w:rPr>
          <w:rFonts w:ascii="宋体" w:eastAsia="宋体" w:hAnsi="宋体" w:cs="宋体"/>
          <w:color w:val="231F20"/>
          <w:sz w:val="22"/>
          <w:szCs w:val="22"/>
        </w:rPr>
        <w:t>合同的批准</w:t>
      </w:r>
    </w:p>
    <w:p>
      <w:pPr>
        <w:widowControl w:val="0"/>
        <w:spacing w:before="88"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明确项目公司需要特许经营权授予方批准或备案的合同，并列于附件 10。并明确上述合同批准或备案的程序。同时，特许经营权授予方对合同的批准并不免除项目公司在本协议项下的任何义务或责任。</w:t>
      </w:r>
    </w:p>
    <w:p>
      <w:pPr>
        <w:widowControl w:val="0"/>
        <w:tabs>
          <w:tab w:val="left" w:pos="959"/>
        </w:tabs>
        <w:spacing w:before="176" w:after="0"/>
        <w:ind w:right="98"/>
        <w:jc w:val="center"/>
        <w:rPr>
          <w:rFonts w:ascii="Times New Roman" w:eastAsia="Times New Roman" w:hAnsi="Times New Roman" w:cs="Times New Roman"/>
          <w:sz w:val="24"/>
          <w:szCs w:val="24"/>
        </w:rPr>
      </w:pPr>
      <w:r>
        <w:rPr>
          <w:rFonts w:ascii="宋体" w:eastAsia="宋体" w:hAnsi="宋体" w:cs="宋体"/>
          <w:color w:val="231F20"/>
        </w:rPr>
        <w:t>第十章</w:t>
      </w:r>
      <w:r>
        <w:rPr>
          <w:rFonts w:ascii="宋体" w:eastAsia="宋体" w:hAnsi="宋体" w:cs="宋体"/>
          <w:color w:val="231F20"/>
          <w:sz w:val="24"/>
          <w:szCs w:val="24"/>
        </w:rPr>
        <w:tab/>
      </w:r>
      <w:r>
        <w:rPr>
          <w:rFonts w:ascii="宋体" w:eastAsia="宋体" w:hAnsi="宋体" w:cs="宋体"/>
          <w:color w:val="231F20"/>
        </w:rPr>
        <w:t>争议的解决</w:t>
      </w:r>
    </w:p>
    <w:p>
      <w:pPr>
        <w:widowControl w:val="0"/>
        <w:spacing w:before="8" w:after="0"/>
        <w:rPr>
          <w:rFonts w:ascii="Times New Roman" w:eastAsia="Times New Roman" w:hAnsi="Times New Roman" w:cs="Times New Roman"/>
          <w:sz w:val="16"/>
          <w:szCs w:val="16"/>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第二十九条</w:t>
      </w:r>
      <w:r>
        <w:rPr>
          <w:rFonts w:ascii="宋体" w:eastAsia="宋体" w:hAnsi="宋体" w:cs="宋体"/>
          <w:color w:val="231F20"/>
          <w:sz w:val="22"/>
          <w:szCs w:val="22"/>
        </w:rPr>
        <w:tab/>
      </w:r>
      <w:r>
        <w:rPr>
          <w:rFonts w:ascii="宋体" w:eastAsia="宋体" w:hAnsi="宋体" w:cs="宋体"/>
          <w:color w:val="231F20"/>
          <w:sz w:val="22"/>
          <w:szCs w:val="22"/>
        </w:rPr>
        <w:t>解释规则</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1）明确本协议包括的文件内容。</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2）明确本协议构成双方对项目的完全的理解，并且取代双方以前所有的有关项目的书面和口头声明、协议或安排。</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3）明确本协议任何修改、补充或变更的形式和程序。</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4）明确如果本协议任何部分被任何有管辖权的仲裁庭或法院宣布为无效，协议其他部分的有效性。</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5）明确特许期内本协议及附件 1 相对于其他协议的优先顺序。</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6）明确执行本协议需要的一些解释。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5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第三十条</w:t>
      </w:r>
      <w:r>
        <w:rPr>
          <w:rFonts w:ascii="宋体" w:eastAsia="宋体" w:hAnsi="宋体" w:cs="宋体"/>
          <w:color w:val="231F20"/>
          <w:sz w:val="22"/>
          <w:szCs w:val="22"/>
        </w:rPr>
        <w:tab/>
      </w:r>
      <w:r>
        <w:rPr>
          <w:rFonts w:ascii="宋体" w:eastAsia="宋体" w:hAnsi="宋体" w:cs="宋体"/>
          <w:color w:val="231F20"/>
          <w:sz w:val="22"/>
          <w:szCs w:val="22"/>
        </w:rPr>
        <w:t>争议的解决</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1）明确对于产生争议时，组织协调机构友好解决的方式和程序。</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2）明确在不能通过协调机构友好解决情况下，通过专家组的调解时，专家组的组成、调解程序和费用等。</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3）若双方未能通过协调机构友好解决或通过专家组的调解解决争议、分歧或索赔，或如果对专家组的决议提出异议时，明确仲裁解决的机构。</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
          <w:sz w:val="22"/>
          <w:szCs w:val="22"/>
        </w:rPr>
        <w:t>4</w:t>
      </w:r>
      <w:r>
        <w:rPr>
          <w:rFonts w:ascii="宋体" w:eastAsia="宋体" w:hAnsi="宋体" w:cs="宋体"/>
          <w:color w:val="231F20"/>
          <w:spacing w:val="-15"/>
          <w:sz w:val="22"/>
          <w:szCs w:val="22"/>
        </w:rPr>
        <w:t>）</w:t>
      </w:r>
      <w:r>
        <w:rPr>
          <w:rFonts w:ascii="宋体" w:eastAsia="宋体" w:hAnsi="宋体" w:cs="宋体"/>
          <w:color w:val="231F20"/>
          <w:spacing w:val="-3"/>
          <w:sz w:val="22"/>
          <w:szCs w:val="22"/>
        </w:rPr>
        <w:t>根据仲裁协议</w:t>
      </w:r>
      <w:r>
        <w:rPr>
          <w:rFonts w:ascii="宋体" w:eastAsia="宋体" w:hAnsi="宋体" w:cs="宋体"/>
          <w:color w:val="231F20"/>
          <w:sz w:val="22"/>
          <w:szCs w:val="22"/>
        </w:rPr>
        <w:t xml:space="preserve">（附件 </w:t>
      </w:r>
      <w:r>
        <w:rPr>
          <w:rFonts w:ascii="宋体" w:eastAsia="宋体" w:hAnsi="宋体" w:cs="宋体"/>
          <w:color w:val="231F20"/>
          <w:spacing w:val="-1"/>
          <w:sz w:val="22"/>
          <w:szCs w:val="22"/>
        </w:rPr>
        <w:t>15</w:t>
      </w:r>
      <w:r>
        <w:rPr>
          <w:rFonts w:ascii="宋体" w:eastAsia="宋体" w:hAnsi="宋体" w:cs="宋体"/>
          <w:color w:val="231F20"/>
          <w:spacing w:val="-110"/>
          <w:sz w:val="22"/>
          <w:szCs w:val="22"/>
        </w:rPr>
        <w:t>）</w:t>
      </w:r>
      <w:r>
        <w:rPr>
          <w:rFonts w:ascii="宋体" w:eastAsia="宋体" w:hAnsi="宋体" w:cs="宋体"/>
          <w:color w:val="231F20"/>
          <w:sz w:val="22"/>
          <w:szCs w:val="22"/>
        </w:rPr>
        <w:t>，明确双方将协议或附件项下的同一实质性问题发生的争议，提交仲裁的解决程序合并等事宜。</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5）明确通过司法解决争议、分歧或索赔的可能性。</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6）明确双方应在争议解决期间继续履行其本协议项下的所有义务。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7）明确本条规定的争议解决条款在本协议终止后继续有效。</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（注：争议解决方式只能选择仲裁机构和法院中的一种）</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第十一章</w:t>
      </w:r>
      <w:r>
        <w:rPr>
          <w:rFonts w:ascii="宋体" w:eastAsia="宋体" w:hAnsi="宋体" w:cs="宋体"/>
          <w:color w:val="231F20"/>
          <w:sz w:val="24"/>
          <w:szCs w:val="24"/>
        </w:rPr>
        <w:tab/>
      </w:r>
      <w:r>
        <w:rPr>
          <w:rFonts w:ascii="宋体" w:eastAsia="宋体" w:hAnsi="宋体" w:cs="宋体"/>
          <w:color w:val="231F20"/>
        </w:rPr>
        <w:t>其他</w:t>
      </w:r>
    </w:p>
    <w:p>
      <w:pPr>
        <w:widowControl w:val="0"/>
        <w:spacing w:before="9" w:after="0"/>
        <w:rPr>
          <w:rFonts w:ascii="Times New Roman" w:eastAsia="Times New Roman" w:hAnsi="Times New Roman" w:cs="Times New Roman"/>
          <w:sz w:val="16"/>
          <w:szCs w:val="16"/>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第三十一条</w:t>
      </w:r>
      <w:r>
        <w:rPr>
          <w:rFonts w:ascii="宋体" w:eastAsia="宋体" w:hAnsi="宋体" w:cs="宋体"/>
          <w:color w:val="231F20"/>
          <w:sz w:val="22"/>
          <w:szCs w:val="22"/>
        </w:rPr>
        <w:tab/>
      </w:r>
      <w:r>
        <w:rPr>
          <w:rFonts w:ascii="宋体" w:eastAsia="宋体" w:hAnsi="宋体" w:cs="宋体"/>
          <w:color w:val="231F20"/>
          <w:sz w:val="22"/>
          <w:szCs w:val="22"/>
        </w:rPr>
        <w:t>其他条款</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1）明确双方在本协议项下各自独立的责任、义务及债务。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2）明确本协议项下的通知应采取的方式和文字。</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3）明确一些对于协议条款不视为弃权的行为。</w:t>
      </w:r>
    </w:p>
    <w:p>
      <w:pPr>
        <w:widowControl w:val="0"/>
        <w:spacing w:before="89" w:after="0" w:line="305" w:lineRule="auto"/>
        <w:ind w:left="117" w:right="207"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4）明确特许经营权授予方对于任何司法管辖权下对其自己或其财产或收益所具有的诉讼、执行、扣押或其他法律程序的主权豁免，同意不请求主权豁免并特此不可撤销地放弃上述主权豁免。</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5）明确本协议适用中华人民共和国法律并根据中华人民共和国法律解释。</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6）明确项目公司根据本协议及其附件的要求申请获得的各种执照、许可和审批，均应向特许经营权授予方提交复印件备案。</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7）规定协议文本的文字和数量。</w:t>
      </w:r>
    </w:p>
    <w:p>
      <w:pPr>
        <w:widowControl w:val="0"/>
        <w:spacing w:before="5" w:after="0"/>
        <w:rPr>
          <w:rFonts w:ascii="Times New Roman" w:eastAsia="Times New Roman" w:hAnsi="Times New Roman" w:cs="Times New Roman"/>
          <w:sz w:val="16"/>
          <w:szCs w:val="16"/>
        </w:rPr>
      </w:pPr>
    </w:p>
    <w:p>
      <w:pPr>
        <w:widowControl w:val="0"/>
        <w:tabs>
          <w:tab w:val="left" w:pos="119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第十二章</w:t>
      </w:r>
      <w:r>
        <w:rPr>
          <w:rFonts w:ascii="宋体" w:eastAsia="宋体" w:hAnsi="宋体" w:cs="宋体"/>
          <w:color w:val="231F20"/>
          <w:sz w:val="24"/>
          <w:szCs w:val="24"/>
        </w:rPr>
        <w:tab/>
      </w:r>
      <w:r>
        <w:rPr>
          <w:rFonts w:ascii="宋体" w:eastAsia="宋体" w:hAnsi="宋体" w:cs="宋体"/>
          <w:color w:val="231F20"/>
        </w:rPr>
        <w:t>附件</w:t>
      </w:r>
    </w:p>
    <w:p>
      <w:pPr>
        <w:widowControl w:val="0"/>
        <w:spacing w:before="0" w:after="0"/>
        <w:rPr>
          <w:rFonts w:ascii="Times New Roman" w:eastAsia="Times New Roman" w:hAnsi="Times New Roman" w:cs="Times New Roman"/>
          <w:sz w:val="17"/>
          <w:szCs w:val="17"/>
        </w:rPr>
      </w:pPr>
    </w:p>
    <w:p>
      <w:pPr>
        <w:widowControl w:val="0"/>
        <w:tabs>
          <w:tab w:val="left" w:pos="1435"/>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1</w:t>
      </w:r>
      <w:r>
        <w:rPr>
          <w:rFonts w:ascii="宋体" w:eastAsia="宋体" w:hAnsi="宋体" w:cs="宋体"/>
          <w:color w:val="231F20"/>
          <w:sz w:val="22"/>
          <w:szCs w:val="22"/>
        </w:rPr>
        <w:tab/>
      </w:r>
      <w:r>
        <w:rPr>
          <w:rFonts w:ascii="宋体" w:eastAsia="宋体" w:hAnsi="宋体" w:cs="宋体"/>
          <w:color w:val="231F20"/>
          <w:sz w:val="22"/>
          <w:szCs w:val="22"/>
        </w:rPr>
        <w:t>垃圾供应与结算协议</w:t>
      </w:r>
    </w:p>
    <w:p>
      <w:pPr>
        <w:widowControl w:val="0"/>
        <w:tabs>
          <w:tab w:val="left" w:pos="1435"/>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2</w:t>
      </w:r>
      <w:r>
        <w:rPr>
          <w:rFonts w:ascii="宋体" w:eastAsia="宋体" w:hAnsi="宋体" w:cs="宋体"/>
          <w:color w:val="231F20"/>
          <w:sz w:val="22"/>
          <w:szCs w:val="22"/>
        </w:rPr>
        <w:tab/>
      </w:r>
      <w:r>
        <w:rPr>
          <w:rFonts w:ascii="宋体" w:eastAsia="宋体" w:hAnsi="宋体" w:cs="宋体"/>
          <w:color w:val="231F20"/>
          <w:sz w:val="22"/>
          <w:szCs w:val="22"/>
        </w:rPr>
        <w:t>技术规范与要求</w:t>
      </w:r>
    </w:p>
    <w:p>
      <w:pPr>
        <w:widowControl w:val="0"/>
        <w:tabs>
          <w:tab w:val="left" w:pos="1435"/>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3</w:t>
      </w:r>
      <w:r>
        <w:rPr>
          <w:rFonts w:ascii="宋体" w:eastAsia="宋体" w:hAnsi="宋体" w:cs="宋体"/>
          <w:color w:val="231F20"/>
          <w:sz w:val="22"/>
          <w:szCs w:val="22"/>
        </w:rPr>
        <w:tab/>
      </w:r>
      <w:r>
        <w:rPr>
          <w:rFonts w:ascii="宋体" w:eastAsia="宋体" w:hAnsi="宋体" w:cs="宋体"/>
          <w:color w:val="231F20"/>
          <w:sz w:val="22"/>
          <w:szCs w:val="22"/>
        </w:rPr>
        <w:t>项目公司建设和运营范围</w:t>
      </w:r>
    </w:p>
    <w:p>
      <w:pPr>
        <w:widowControl w:val="0"/>
        <w:tabs>
          <w:tab w:val="left" w:pos="1435"/>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4</w:t>
      </w:r>
      <w:r>
        <w:rPr>
          <w:rFonts w:ascii="宋体" w:eastAsia="宋体" w:hAnsi="宋体" w:cs="宋体"/>
          <w:color w:val="231F20"/>
          <w:sz w:val="22"/>
          <w:szCs w:val="22"/>
        </w:rPr>
        <w:tab/>
      </w:r>
      <w:r>
        <w:rPr>
          <w:rFonts w:ascii="宋体" w:eastAsia="宋体" w:hAnsi="宋体" w:cs="宋体"/>
          <w:color w:val="231F20"/>
          <w:sz w:val="22"/>
          <w:szCs w:val="22"/>
        </w:rPr>
        <w:t>特许经营权授予方提供的设施与服务</w:t>
      </w:r>
    </w:p>
    <w:p>
      <w:pPr>
        <w:widowControl w:val="0"/>
        <w:tabs>
          <w:tab w:val="left" w:pos="1435"/>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5</w:t>
      </w:r>
      <w:r>
        <w:rPr>
          <w:rFonts w:ascii="宋体" w:eastAsia="宋体" w:hAnsi="宋体" w:cs="宋体"/>
          <w:color w:val="231F20"/>
          <w:sz w:val="22"/>
          <w:szCs w:val="22"/>
        </w:rPr>
        <w:tab/>
      </w:r>
      <w:r>
        <w:rPr>
          <w:rFonts w:ascii="宋体" w:eastAsia="宋体" w:hAnsi="宋体" w:cs="宋体"/>
          <w:color w:val="231F20"/>
          <w:sz w:val="22"/>
          <w:szCs w:val="22"/>
        </w:rPr>
        <w:t>建设、运营和维护的质量保证和质量控制计划</w:t>
      </w:r>
    </w:p>
    <w:p>
      <w:pPr>
        <w:widowControl w:val="0"/>
        <w:tabs>
          <w:tab w:val="left" w:pos="1435"/>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6</w:t>
      </w:r>
      <w:r>
        <w:rPr>
          <w:rFonts w:ascii="宋体" w:eastAsia="宋体" w:hAnsi="宋体" w:cs="宋体"/>
          <w:color w:val="231F20"/>
          <w:sz w:val="22"/>
          <w:szCs w:val="22"/>
        </w:rPr>
        <w:tab/>
      </w:r>
      <w:r>
        <w:rPr>
          <w:rFonts w:ascii="宋体" w:eastAsia="宋体" w:hAnsi="宋体" w:cs="宋体"/>
          <w:color w:val="231F20"/>
          <w:sz w:val="22"/>
          <w:szCs w:val="22"/>
        </w:rPr>
        <w:t>技术方案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381"/>
        </w:tabs>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7</w:t>
      </w:r>
      <w:r>
        <w:rPr>
          <w:rFonts w:ascii="宋体" w:eastAsia="宋体" w:hAnsi="宋体" w:cs="宋体"/>
          <w:color w:val="231F20"/>
          <w:sz w:val="22"/>
          <w:szCs w:val="22"/>
        </w:rPr>
        <w:tab/>
      </w:r>
      <w:r>
        <w:rPr>
          <w:rFonts w:ascii="宋体" w:eastAsia="宋体" w:hAnsi="宋体" w:cs="宋体"/>
          <w:color w:val="231F20"/>
          <w:sz w:val="22"/>
          <w:szCs w:val="22"/>
        </w:rPr>
        <w:t>融资方案</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8</w:t>
      </w:r>
      <w:r>
        <w:rPr>
          <w:rFonts w:ascii="宋体" w:eastAsia="宋体" w:hAnsi="宋体" w:cs="宋体"/>
          <w:color w:val="231F20"/>
          <w:sz w:val="22"/>
          <w:szCs w:val="22"/>
        </w:rPr>
        <w:tab/>
      </w:r>
      <w:r>
        <w:rPr>
          <w:rFonts w:ascii="宋体" w:eastAsia="宋体" w:hAnsi="宋体" w:cs="宋体"/>
          <w:color w:val="231F20"/>
          <w:sz w:val="22"/>
          <w:szCs w:val="22"/>
        </w:rPr>
        <w:t>项目公司的初始股东名单</w:t>
      </w:r>
    </w:p>
    <w:p>
      <w:pPr>
        <w:widowControl w:val="0"/>
        <w:tabs>
          <w:tab w:val="left" w:pos="1381"/>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 9</w:t>
      </w:r>
      <w:r>
        <w:rPr>
          <w:rFonts w:ascii="宋体" w:eastAsia="宋体" w:hAnsi="宋体" w:cs="宋体"/>
          <w:color w:val="231F20"/>
          <w:sz w:val="22"/>
          <w:szCs w:val="22"/>
        </w:rPr>
        <w:tab/>
      </w:r>
      <w:r>
        <w:rPr>
          <w:rFonts w:ascii="宋体" w:eastAsia="宋体" w:hAnsi="宋体" w:cs="宋体"/>
          <w:color w:val="231F20"/>
          <w:sz w:val="22"/>
          <w:szCs w:val="22"/>
        </w:rPr>
        <w:t>所需的执照、许可及批准</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10</w:t>
      </w:r>
      <w:r>
        <w:rPr>
          <w:rFonts w:ascii="宋体" w:eastAsia="宋体" w:hAnsi="宋体" w:cs="宋体"/>
          <w:color w:val="231F20"/>
          <w:sz w:val="22"/>
          <w:szCs w:val="22"/>
        </w:rPr>
        <w:tab/>
      </w:r>
      <w:r>
        <w:rPr>
          <w:rFonts w:ascii="宋体" w:eastAsia="宋体" w:hAnsi="宋体" w:cs="宋体"/>
          <w:color w:val="231F20"/>
          <w:sz w:val="22"/>
          <w:szCs w:val="22"/>
        </w:rPr>
        <w:t>需预先批准的合同清单</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11</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z w:val="22"/>
          <w:szCs w:val="22"/>
        </w:rPr>
        <w:tab/>
      </w:r>
      <w:r>
        <w:rPr>
          <w:rFonts w:ascii="宋体" w:eastAsia="宋体" w:hAnsi="宋体" w:cs="宋体"/>
          <w:color w:val="231F20"/>
          <w:sz w:val="22"/>
          <w:szCs w:val="22"/>
        </w:rPr>
        <w:t>终止补偿金额</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13</w:t>
      </w:r>
      <w:r>
        <w:rPr>
          <w:rFonts w:ascii="宋体" w:eastAsia="宋体" w:hAnsi="宋体" w:cs="宋体"/>
          <w:color w:val="231F20"/>
          <w:sz w:val="22"/>
          <w:szCs w:val="22"/>
        </w:rPr>
        <w:tab/>
      </w:r>
      <w:r>
        <w:rPr>
          <w:rFonts w:ascii="宋体" w:eastAsia="宋体" w:hAnsi="宋体" w:cs="宋体"/>
          <w:color w:val="231F20"/>
          <w:sz w:val="22"/>
          <w:szCs w:val="22"/>
        </w:rPr>
        <w:t>项目公司法律顾问的法律意见书格式</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z w:val="22"/>
          <w:szCs w:val="22"/>
        </w:rPr>
        <w:tab/>
      </w:r>
      <w:r>
        <w:rPr>
          <w:rFonts w:ascii="宋体" w:eastAsia="宋体" w:hAnsi="宋体" w:cs="宋体"/>
          <w:color w:val="231F20"/>
          <w:sz w:val="22"/>
          <w:szCs w:val="22"/>
        </w:rPr>
        <w:t>特许经营权授予方法律顾问的法律意见书格式</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15</w:t>
      </w:r>
      <w:r>
        <w:rPr>
          <w:rFonts w:ascii="宋体" w:eastAsia="宋体" w:hAnsi="宋体" w:cs="宋体"/>
          <w:color w:val="231F20"/>
          <w:sz w:val="22"/>
          <w:szCs w:val="22"/>
        </w:rPr>
        <w:tab/>
      </w:r>
      <w:r>
        <w:rPr>
          <w:rFonts w:ascii="宋体" w:eastAsia="宋体" w:hAnsi="宋体" w:cs="宋体"/>
          <w:color w:val="231F20"/>
          <w:sz w:val="22"/>
          <w:szCs w:val="22"/>
        </w:rPr>
        <w:t>仲裁协议</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16</w:t>
      </w:r>
      <w:r>
        <w:rPr>
          <w:rFonts w:ascii="宋体" w:eastAsia="宋体" w:hAnsi="宋体" w:cs="宋体"/>
          <w:color w:val="231F20"/>
          <w:sz w:val="22"/>
          <w:szCs w:val="22"/>
        </w:rPr>
        <w:tab/>
      </w:r>
      <w:r>
        <w:rPr>
          <w:rFonts w:ascii="宋体" w:eastAsia="宋体" w:hAnsi="宋体" w:cs="宋体"/>
          <w:color w:val="231F20"/>
          <w:sz w:val="22"/>
          <w:szCs w:val="22"/>
        </w:rPr>
        <w:t>履约保函格式</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17</w:t>
      </w:r>
      <w:r>
        <w:rPr>
          <w:rFonts w:ascii="宋体" w:eastAsia="宋体" w:hAnsi="宋体" w:cs="宋体"/>
          <w:color w:val="231F20"/>
          <w:sz w:val="22"/>
          <w:szCs w:val="22"/>
        </w:rPr>
        <w:tab/>
      </w:r>
      <w:r>
        <w:rPr>
          <w:rFonts w:ascii="宋体" w:eastAsia="宋体" w:hAnsi="宋体" w:cs="宋体"/>
          <w:color w:val="231F20"/>
          <w:sz w:val="22"/>
          <w:szCs w:val="22"/>
        </w:rPr>
        <w:t>运营与维护保函格式</w:t>
      </w:r>
    </w:p>
    <w:p>
      <w:pPr>
        <w:widowControl w:val="0"/>
        <w:tabs>
          <w:tab w:val="left" w:pos="1544"/>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18</w:t>
      </w:r>
      <w:r>
        <w:rPr>
          <w:rFonts w:ascii="宋体" w:eastAsia="宋体" w:hAnsi="宋体" w:cs="宋体"/>
          <w:color w:val="231F20"/>
          <w:sz w:val="22"/>
          <w:szCs w:val="22"/>
        </w:rPr>
        <w:tab/>
      </w:r>
      <w:r>
        <w:rPr>
          <w:rFonts w:ascii="宋体" w:eastAsia="宋体" w:hAnsi="宋体" w:cs="宋体"/>
          <w:color w:val="231F20"/>
          <w:sz w:val="22"/>
          <w:szCs w:val="22"/>
        </w:rPr>
        <w:t>供电购电协议（在利用垃圾发电的情况下）</w:t>
      </w:r>
    </w:p>
    <w:p>
      <w:pPr>
        <w:widowControl w:val="0"/>
        <w:spacing w:before="13" w:after="0"/>
        <w:rPr>
          <w:rFonts w:ascii="Times New Roman" w:eastAsia="Times New Roman" w:hAnsi="Times New Roman" w:cs="Times New Roman"/>
          <w:sz w:val="33"/>
          <w:szCs w:val="33"/>
        </w:rPr>
      </w:pPr>
    </w:p>
    <w:p>
      <w:pPr>
        <w:widowControl w:val="0"/>
        <w:spacing w:before="0" w:after="0" w:line="305" w:lineRule="auto"/>
        <w:ind w:left="117" w:right="214" w:firstLine="440"/>
        <w:rPr>
          <w:rFonts w:ascii="Times New Roman" w:eastAsia="Times New Roman" w:hAnsi="Times New Roman" w:cs="Times New Roman"/>
          <w:sz w:val="22"/>
          <w:szCs w:val="22"/>
        </w:rPr>
      </w:pPr>
      <w:r>
        <w:rPr>
          <w:rFonts w:ascii="宋体" w:eastAsia="宋体" w:hAnsi="宋体" w:cs="宋体"/>
          <w:color w:val="231F20"/>
          <w:sz w:val="22"/>
          <w:szCs w:val="22"/>
        </w:rPr>
        <w:t>本协议由愿受其法律效力约束的双方经正式授权的代表在其签字下注明之日签署本协议， 以昭信守。</w:t>
      </w:r>
    </w:p>
    <w:p>
      <w:pPr>
        <w:widowControl w:val="0"/>
        <w:spacing w:before="5" w:after="0"/>
        <w:rPr>
          <w:rFonts w:ascii="Times New Roman" w:eastAsia="Times New Roman" w:hAnsi="Times New Roman" w:cs="Times New Roman"/>
          <w:sz w:val="29"/>
          <w:szCs w:val="29"/>
        </w:rPr>
      </w:pPr>
    </w:p>
    <w:p>
      <w:pPr>
        <w:widowControl w:val="0"/>
        <w:tabs>
          <w:tab w:val="left" w:pos="5457"/>
        </w:tabs>
        <w:spacing w:before="0" w:after="0" w:line="305" w:lineRule="atLeast"/>
        <w:ind w:left="557"/>
        <w:rPr>
          <w:rFonts w:ascii="Times New Roman" w:eastAsia="Times New Roman" w:hAnsi="Times New Roman" w:cs="Times New Roman"/>
          <w:sz w:val="24"/>
          <w:szCs w:val="24"/>
        </w:rPr>
      </w:pPr>
      <w:r>
        <w:rPr>
          <w:rFonts w:ascii="宋体" w:eastAsia="宋体" w:hAnsi="宋体" w:cs="宋体"/>
          <w:color w:val="231F20"/>
          <w:sz w:val="22"/>
          <w:szCs w:val="22"/>
        </w:rPr>
        <w:t>特许经营权授予方</w:t>
      </w:r>
      <w:r>
        <w:rPr>
          <w:rFonts w:ascii="宋体" w:eastAsia="宋体" w:hAnsi="宋体" w:cs="宋体"/>
          <w:color w:val="231F20"/>
          <w:position w:val="-3"/>
          <w:sz w:val="22"/>
          <w:szCs w:val="22"/>
        </w:rPr>
        <w:t>：</w:t>
      </w:r>
      <w:r>
        <w:rPr>
          <w:rFonts w:ascii="宋体" w:eastAsia="宋体" w:hAnsi="宋体" w:cs="宋体"/>
          <w:color w:val="231F20"/>
          <w:position w:val="-3"/>
          <w:sz w:val="24"/>
          <w:szCs w:val="24"/>
        </w:rPr>
        <w:tab/>
      </w:r>
      <w:r>
        <w:rPr>
          <w:rFonts w:ascii="宋体" w:eastAsia="宋体" w:hAnsi="宋体" w:cs="宋体"/>
          <w:color w:val="231F20"/>
          <w:sz w:val="22"/>
          <w:szCs w:val="22"/>
        </w:rPr>
        <w:t>项目公司：</w:t>
      </w:r>
    </w:p>
    <w:p>
      <w:pPr>
        <w:widowControl w:val="0"/>
        <w:tabs>
          <w:tab w:val="left" w:pos="7052"/>
        </w:tabs>
        <w:spacing w:before="0" w:after="0" w:line="305" w:lineRule="atLeast"/>
        <w:ind w:left="3032"/>
        <w:rPr>
          <w:rFonts w:ascii="Times New Roman" w:eastAsia="Times New Roman" w:hAnsi="Times New Roman" w:cs="Times New Roman"/>
          <w:sz w:val="24"/>
          <w:szCs w:val="24"/>
        </w:rPr>
      </w:pPr>
      <w:r>
        <w:rPr>
          <w:rFonts w:ascii="宋体" w:eastAsia="宋体" w:hAnsi="宋体" w:cs="宋体"/>
          <w:color w:val="231F20"/>
          <w:position w:val="-3"/>
          <w:sz w:val="22"/>
          <w:szCs w:val="22"/>
        </w:rPr>
        <w:t>（公章）</w:t>
      </w:r>
      <w:r>
        <w:rPr>
          <w:rFonts w:ascii="宋体" w:eastAsia="宋体" w:hAnsi="宋体" w:cs="宋体"/>
          <w:color w:val="231F20"/>
          <w:position w:val="-3"/>
          <w:sz w:val="24"/>
          <w:szCs w:val="24"/>
        </w:rPr>
        <w:tab/>
      </w:r>
      <w:r>
        <w:rPr>
          <w:rFonts w:ascii="宋体" w:eastAsia="宋体" w:hAnsi="宋体" w:cs="宋体"/>
          <w:color w:val="231F20"/>
          <w:sz w:val="22"/>
          <w:szCs w:val="22"/>
        </w:rPr>
        <w:t>（公章）</w:t>
      </w:r>
    </w:p>
    <w:p>
      <w:pPr>
        <w:widowControl w:val="0"/>
        <w:tabs>
          <w:tab w:val="left" w:pos="545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法定代表人（签字</w:t>
      </w:r>
      <w:r>
        <w:rPr>
          <w:rFonts w:ascii="宋体" w:eastAsia="宋体" w:hAnsi="宋体" w:cs="宋体"/>
          <w:color w:val="231F20"/>
          <w:spacing w:val="-28"/>
          <w:sz w:val="22"/>
          <w:szCs w:val="22"/>
        </w:rPr>
        <w:t>）：</w:t>
      </w:r>
    </w:p>
    <w:p>
      <w:pPr>
        <w:widowControl w:val="0"/>
        <w:tabs>
          <w:tab w:val="left" w:pos="5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姓名：</w:t>
      </w:r>
      <w:r>
        <w:rPr>
          <w:rFonts w:ascii="宋体" w:eastAsia="宋体" w:hAnsi="宋体" w:cs="宋体"/>
          <w:color w:val="231F20"/>
          <w:sz w:val="22"/>
          <w:szCs w:val="22"/>
        </w:rPr>
        <w:tab/>
      </w:r>
      <w:r>
        <w:rPr>
          <w:rFonts w:ascii="宋体" w:eastAsia="宋体" w:hAnsi="宋体" w:cs="宋体"/>
          <w:color w:val="231F20"/>
          <w:sz w:val="22"/>
          <w:szCs w:val="22"/>
        </w:rPr>
        <w:t>姓名：</w:t>
      </w:r>
    </w:p>
    <w:p>
      <w:pPr>
        <w:widowControl w:val="0"/>
        <w:tabs>
          <w:tab w:val="left" w:pos="5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职务：</w:t>
      </w:r>
      <w:r>
        <w:rPr>
          <w:rFonts w:ascii="宋体" w:eastAsia="宋体" w:hAnsi="宋体" w:cs="宋体"/>
          <w:color w:val="231F20"/>
          <w:sz w:val="22"/>
          <w:szCs w:val="22"/>
        </w:rPr>
        <w:tab/>
      </w:r>
      <w:r>
        <w:rPr>
          <w:rFonts w:ascii="宋体" w:eastAsia="宋体" w:hAnsi="宋体" w:cs="宋体"/>
          <w:color w:val="231F20"/>
          <w:sz w:val="22"/>
          <w:szCs w:val="22"/>
        </w:rPr>
        <w:t>职务：</w:t>
      </w:r>
    </w:p>
    <w:p>
      <w:pPr>
        <w:widowControl w:val="0"/>
        <w:tabs>
          <w:tab w:val="left" w:pos="54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日期：</w:t>
      </w:r>
      <w:r>
        <w:rPr>
          <w:rFonts w:ascii="宋体" w:eastAsia="宋体" w:hAnsi="宋体" w:cs="宋体"/>
          <w:color w:val="231F20"/>
          <w:sz w:val="22"/>
          <w:szCs w:val="22"/>
        </w:rPr>
        <w:tab/>
      </w:r>
      <w:r>
        <w:rPr>
          <w:rFonts w:ascii="宋体" w:eastAsia="宋体" w:hAnsi="宋体" w:cs="宋体"/>
          <w:color w:val="231F20"/>
          <w:sz w:val="22"/>
          <w:szCs w:val="22"/>
        </w:rPr>
        <w:t>日期：</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