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GF—2006—2503</w:t>
      </w:r>
    </w:p>
    <w:p>
      <w:pPr>
        <w:widowControl w:val="0"/>
        <w:spacing w:before="0" w:after="0"/>
        <w:rPr>
          <w:rFonts w:ascii="Times New Roman" w:eastAsia="Times New Roman" w:hAnsi="Times New Roman" w:cs="Times New Roman"/>
          <w:sz w:val="20"/>
          <w:szCs w:val="20"/>
        </w:rPr>
      </w:pPr>
    </w:p>
    <w:p>
      <w:pPr>
        <w:widowControl w:val="0"/>
        <w:spacing w:before="8" w:after="0"/>
        <w:rPr>
          <w:rFonts w:ascii="Times New Roman" w:eastAsia="Times New Roman" w:hAnsi="Times New Roman" w:cs="Times New Roman"/>
          <w:sz w:val="27"/>
          <w:szCs w:val="27"/>
        </w:rPr>
      </w:pPr>
    </w:p>
    <w:p>
      <w:pPr>
        <w:widowControl w:val="0"/>
        <w:spacing w:before="0" w:after="0" w:line="577" w:lineRule="atLeast"/>
        <w:jc w:val="center"/>
        <w:rPr>
          <w:rFonts w:ascii="Times New Roman" w:eastAsia="Times New Roman" w:hAnsi="Times New Roman" w:cs="Times New Roman"/>
        </w:rPr>
      </w:pPr>
      <w:r>
        <w:rPr>
          <w:rFonts w:ascii="宋体" w:eastAsia="宋体" w:hAnsi="宋体" w:cs="宋体"/>
          <w:color w:val="231F20"/>
          <w:sz w:val="40"/>
          <w:szCs w:val="40"/>
        </w:rPr>
        <w:t>城镇供热特许经营协议</w:t>
      </w:r>
    </w:p>
    <w:p>
      <w:pPr>
        <w:widowControl w:val="0"/>
        <w:spacing w:before="152" w:after="0"/>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9" w:after="0"/>
        <w:rPr>
          <w:rFonts w:ascii="Times New Roman" w:eastAsia="Times New Roman" w:hAnsi="Times New Roman" w:cs="Times New Roman"/>
          <w:sz w:val="22"/>
          <w:szCs w:val="22"/>
        </w:rPr>
      </w:pPr>
    </w:p>
    <w:p>
      <w:pPr>
        <w:widowControl w:val="0"/>
        <w:tabs>
          <w:tab w:val="left" w:pos="559"/>
        </w:tabs>
        <w:spacing w:before="0" w:after="0"/>
        <w:jc w:val="center"/>
        <w:rPr>
          <w:rFonts w:ascii="Times New Roman" w:eastAsia="Times New Roman" w:hAnsi="Times New Roman" w:cs="Times New Roman"/>
          <w:sz w:val="28"/>
          <w:szCs w:val="28"/>
        </w:rPr>
      </w:pPr>
      <w:r>
        <w:rPr>
          <w:rFonts w:ascii="宋体" w:eastAsia="宋体" w:hAnsi="宋体" w:cs="宋体"/>
          <w:color w:val="231F20"/>
          <w:sz w:val="28"/>
          <w:szCs w:val="28"/>
        </w:rPr>
        <w:t>目</w:t>
      </w:r>
      <w:r>
        <w:rPr>
          <w:rFonts w:ascii="宋体" w:eastAsia="宋体" w:hAnsi="宋体" w:cs="宋体"/>
          <w:color w:val="231F20"/>
          <w:sz w:val="28"/>
          <w:szCs w:val="28"/>
        </w:rPr>
        <w:tab/>
      </w:r>
      <w:r>
        <w:rPr>
          <w:rFonts w:ascii="宋体" w:eastAsia="宋体" w:hAnsi="宋体" w:cs="宋体"/>
          <w:color w:val="231F20"/>
          <w:sz w:val="28"/>
          <w:szCs w:val="28"/>
        </w:rPr>
        <w:t>录</w:t>
      </w:r>
    </w:p>
    <w:p>
      <w:pPr>
        <w:widowControl w:val="0"/>
        <w:spacing w:before="8" w:after="0"/>
        <w:rPr>
          <w:rFonts w:ascii="Times New Roman" w:eastAsia="Times New Roman" w:hAnsi="Times New Roman" w:cs="Times New Roman"/>
          <w:sz w:val="25"/>
          <w:szCs w:val="25"/>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第一章</w:t>
      </w:r>
      <w:r>
        <w:rPr>
          <w:rFonts w:ascii="宋体" w:eastAsia="宋体" w:hAnsi="宋体" w:cs="宋体"/>
          <w:color w:val="231F20"/>
          <w:sz w:val="22"/>
          <w:szCs w:val="22"/>
        </w:rPr>
        <w:tab/>
      </w:r>
      <w:r>
        <w:rPr>
          <w:rFonts w:ascii="宋体" w:eastAsia="宋体" w:hAnsi="宋体" w:cs="宋体"/>
          <w:color w:val="231F20"/>
          <w:sz w:val="22"/>
          <w:szCs w:val="22"/>
        </w:rPr>
        <w:t>总则</w:t>
      </w:r>
    </w:p>
    <w:p>
      <w:pPr>
        <w:widowControl w:val="0"/>
        <w:tabs>
          <w:tab w:val="left" w:pos="1437"/>
        </w:tabs>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第二章</w:t>
      </w:r>
      <w:r>
        <w:rPr>
          <w:rFonts w:ascii="宋体" w:eastAsia="宋体" w:hAnsi="宋体" w:cs="宋体"/>
          <w:color w:val="231F20"/>
          <w:sz w:val="22"/>
          <w:szCs w:val="22"/>
        </w:rPr>
        <w:tab/>
      </w:r>
      <w:r>
        <w:rPr>
          <w:rFonts w:ascii="宋体" w:eastAsia="宋体" w:hAnsi="宋体" w:cs="宋体"/>
          <w:color w:val="231F20"/>
          <w:sz w:val="22"/>
          <w:szCs w:val="22"/>
        </w:rPr>
        <w:t>定义与解释</w:t>
      </w:r>
    </w:p>
    <w:p>
      <w:pPr>
        <w:widowControl w:val="0"/>
        <w:tabs>
          <w:tab w:val="left" w:pos="1437"/>
        </w:tabs>
        <w:spacing w:before="88" w:after="0" w:line="305" w:lineRule="auto"/>
        <w:ind w:left="557" w:right="4566"/>
        <w:rPr>
          <w:rFonts w:ascii="Times New Roman" w:eastAsia="Times New Roman" w:hAnsi="Times New Roman" w:cs="Times New Roman"/>
          <w:sz w:val="22"/>
          <w:szCs w:val="22"/>
        </w:rPr>
      </w:pPr>
      <w:r>
        <w:rPr>
          <w:rFonts w:ascii="宋体" w:eastAsia="宋体" w:hAnsi="宋体" w:cs="宋体"/>
          <w:color w:val="231F20"/>
          <w:sz w:val="22"/>
          <w:szCs w:val="22"/>
        </w:rPr>
        <w:t>第三章</w:t>
      </w:r>
      <w:r>
        <w:rPr>
          <w:rFonts w:ascii="宋体" w:eastAsia="宋体" w:hAnsi="宋体" w:cs="宋体"/>
          <w:color w:val="231F20"/>
          <w:sz w:val="22"/>
          <w:szCs w:val="22"/>
        </w:rPr>
        <w:tab/>
      </w:r>
      <w:r>
        <w:rPr>
          <w:rFonts w:ascii="宋体" w:eastAsia="宋体" w:hAnsi="宋体" w:cs="宋体"/>
          <w:color w:val="231F20"/>
          <w:sz w:val="22"/>
          <w:szCs w:val="22"/>
        </w:rPr>
        <w:t>特许经营权授予、期限及履约担保第四章</w:t>
      </w:r>
      <w:r>
        <w:rPr>
          <w:rFonts w:ascii="宋体" w:eastAsia="宋体" w:hAnsi="宋体" w:cs="宋体"/>
          <w:color w:val="231F20"/>
          <w:sz w:val="22"/>
          <w:szCs w:val="22"/>
        </w:rPr>
        <w:tab/>
      </w:r>
      <w:r>
        <w:rPr>
          <w:rFonts w:ascii="宋体" w:eastAsia="宋体" w:hAnsi="宋体" w:cs="宋体"/>
          <w:color w:val="231F20"/>
          <w:sz w:val="22"/>
          <w:szCs w:val="22"/>
        </w:rPr>
        <w:t>特许经营权范围与实施</w:t>
      </w:r>
    </w:p>
    <w:p>
      <w:pPr>
        <w:widowControl w:val="0"/>
        <w:tabs>
          <w:tab w:val="left" w:pos="1437"/>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第五章</w:t>
      </w:r>
      <w:r>
        <w:rPr>
          <w:rFonts w:ascii="宋体" w:eastAsia="宋体" w:hAnsi="宋体" w:cs="宋体"/>
          <w:color w:val="231F20"/>
          <w:sz w:val="22"/>
          <w:szCs w:val="22"/>
        </w:rPr>
        <w:tab/>
      </w:r>
      <w:r>
        <w:rPr>
          <w:rFonts w:ascii="宋体" w:eastAsia="宋体" w:hAnsi="宋体" w:cs="宋体"/>
          <w:color w:val="231F20"/>
          <w:sz w:val="22"/>
          <w:szCs w:val="22"/>
        </w:rPr>
        <w:t>供热设施的所有权与经营权</w:t>
      </w:r>
    </w:p>
    <w:p>
      <w:pPr>
        <w:widowControl w:val="0"/>
        <w:tabs>
          <w:tab w:val="left" w:pos="143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第六章</w:t>
      </w:r>
      <w:r>
        <w:rPr>
          <w:rFonts w:ascii="宋体" w:eastAsia="宋体" w:hAnsi="宋体" w:cs="宋体"/>
          <w:color w:val="231F20"/>
          <w:sz w:val="22"/>
          <w:szCs w:val="22"/>
        </w:rPr>
        <w:tab/>
      </w:r>
      <w:r>
        <w:rPr>
          <w:rFonts w:ascii="宋体" w:eastAsia="宋体" w:hAnsi="宋体" w:cs="宋体"/>
          <w:color w:val="231F20"/>
          <w:sz w:val="22"/>
          <w:szCs w:val="22"/>
        </w:rPr>
        <w:t>供热设施的建设投资与建设用地</w:t>
      </w:r>
    </w:p>
    <w:p>
      <w:pPr>
        <w:widowControl w:val="0"/>
        <w:tabs>
          <w:tab w:val="left" w:pos="1437"/>
        </w:tabs>
        <w:spacing w:before="89" w:after="0" w:line="305" w:lineRule="auto"/>
        <w:ind w:left="557" w:right="3026"/>
        <w:rPr>
          <w:rFonts w:ascii="Times New Roman" w:eastAsia="Times New Roman" w:hAnsi="Times New Roman" w:cs="Times New Roman"/>
          <w:sz w:val="22"/>
          <w:szCs w:val="22"/>
        </w:rPr>
      </w:pPr>
      <w:r>
        <w:rPr>
          <w:rFonts w:ascii="宋体" w:eastAsia="宋体" w:hAnsi="宋体" w:cs="宋体"/>
          <w:color w:val="231F20"/>
          <w:sz w:val="22"/>
          <w:szCs w:val="22"/>
        </w:rPr>
        <w:t>第七章</w:t>
      </w:r>
      <w:r>
        <w:rPr>
          <w:rFonts w:ascii="宋体" w:eastAsia="宋体" w:hAnsi="宋体" w:cs="宋体"/>
          <w:color w:val="231F20"/>
          <w:sz w:val="22"/>
          <w:szCs w:val="22"/>
        </w:rPr>
        <w:tab/>
      </w:r>
      <w:r>
        <w:rPr>
          <w:rFonts w:ascii="宋体" w:eastAsia="宋体" w:hAnsi="宋体" w:cs="宋体"/>
          <w:color w:val="231F20"/>
          <w:sz w:val="22"/>
          <w:szCs w:val="22"/>
        </w:rPr>
        <w:t>供热设施的管理、维修、更新及征用、征收、补偿第八章</w:t>
      </w:r>
      <w:r>
        <w:rPr>
          <w:rFonts w:ascii="宋体" w:eastAsia="宋体" w:hAnsi="宋体" w:cs="宋体"/>
          <w:color w:val="231F20"/>
          <w:sz w:val="22"/>
          <w:szCs w:val="22"/>
        </w:rPr>
        <w:tab/>
      </w:r>
      <w:r>
        <w:rPr>
          <w:rFonts w:ascii="宋体" w:eastAsia="宋体" w:hAnsi="宋体" w:cs="宋体"/>
          <w:color w:val="231F20"/>
          <w:sz w:val="22"/>
          <w:szCs w:val="22"/>
        </w:rPr>
        <w:t>公共用地、道路及其他公用设施的占用</w:t>
      </w:r>
    </w:p>
    <w:p>
      <w:pPr>
        <w:widowControl w:val="0"/>
        <w:tabs>
          <w:tab w:val="left" w:pos="1437"/>
        </w:tabs>
        <w:spacing w:before="20" w:after="0" w:line="305" w:lineRule="auto"/>
        <w:ind w:left="557" w:right="4126"/>
        <w:rPr>
          <w:rFonts w:ascii="Times New Roman" w:eastAsia="Times New Roman" w:hAnsi="Times New Roman" w:cs="Times New Roman"/>
          <w:sz w:val="22"/>
          <w:szCs w:val="22"/>
        </w:rPr>
      </w:pPr>
      <w:r>
        <w:rPr>
          <w:rFonts w:ascii="宋体" w:eastAsia="宋体" w:hAnsi="宋体" w:cs="宋体"/>
          <w:color w:val="231F20"/>
          <w:sz w:val="22"/>
          <w:szCs w:val="22"/>
        </w:rPr>
        <w:t>第九章</w:t>
      </w:r>
      <w:r>
        <w:rPr>
          <w:rFonts w:ascii="宋体" w:eastAsia="宋体" w:hAnsi="宋体" w:cs="宋体"/>
          <w:color w:val="231F20"/>
          <w:sz w:val="22"/>
          <w:szCs w:val="22"/>
        </w:rPr>
        <w:tab/>
      </w:r>
      <w:r>
        <w:rPr>
          <w:rFonts w:ascii="宋体" w:eastAsia="宋体" w:hAnsi="宋体" w:cs="宋体"/>
          <w:color w:val="231F20"/>
          <w:sz w:val="22"/>
          <w:szCs w:val="22"/>
        </w:rPr>
        <w:t>影响用户用热工程、事故的报告与通知第十章</w:t>
      </w:r>
      <w:r>
        <w:rPr>
          <w:rFonts w:ascii="宋体" w:eastAsia="宋体" w:hAnsi="宋体" w:cs="宋体"/>
          <w:color w:val="231F20"/>
          <w:sz w:val="22"/>
          <w:szCs w:val="22"/>
        </w:rPr>
        <w:tab/>
      </w:r>
      <w:r>
        <w:rPr>
          <w:rFonts w:ascii="宋体" w:eastAsia="宋体" w:hAnsi="宋体" w:cs="宋体"/>
          <w:color w:val="231F20"/>
          <w:sz w:val="22"/>
          <w:szCs w:val="22"/>
        </w:rPr>
        <w:t>供热价格</w:t>
      </w:r>
    </w:p>
    <w:p>
      <w:pPr>
        <w:widowControl w:val="0"/>
        <w:tabs>
          <w:tab w:val="left" w:pos="1657"/>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第十一章</w:t>
      </w:r>
      <w:r>
        <w:rPr>
          <w:rFonts w:ascii="宋体" w:eastAsia="宋体" w:hAnsi="宋体" w:cs="宋体"/>
          <w:color w:val="231F20"/>
          <w:sz w:val="22"/>
          <w:szCs w:val="22"/>
        </w:rPr>
        <w:tab/>
      </w:r>
      <w:r>
        <w:rPr>
          <w:rFonts w:ascii="宋体" w:eastAsia="宋体" w:hAnsi="宋体" w:cs="宋体"/>
          <w:color w:val="231F20"/>
          <w:sz w:val="22"/>
          <w:szCs w:val="22"/>
        </w:rPr>
        <w:t>供热安全</w:t>
      </w:r>
    </w:p>
    <w:p>
      <w:pPr>
        <w:widowControl w:val="0"/>
        <w:tabs>
          <w:tab w:val="left" w:pos="16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第十二章</w:t>
      </w:r>
      <w:r>
        <w:rPr>
          <w:rFonts w:ascii="宋体" w:eastAsia="宋体" w:hAnsi="宋体" w:cs="宋体"/>
          <w:color w:val="231F20"/>
          <w:sz w:val="22"/>
          <w:szCs w:val="22"/>
        </w:rPr>
        <w:tab/>
      </w:r>
      <w:r>
        <w:rPr>
          <w:rFonts w:ascii="宋体" w:eastAsia="宋体" w:hAnsi="宋体" w:cs="宋体"/>
          <w:color w:val="231F20"/>
          <w:sz w:val="22"/>
          <w:szCs w:val="22"/>
        </w:rPr>
        <w:t>特许经营协议的终止</w:t>
      </w:r>
    </w:p>
    <w:p>
      <w:pPr>
        <w:widowControl w:val="0"/>
        <w:tabs>
          <w:tab w:val="left" w:pos="16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第十三章</w:t>
      </w:r>
      <w:r>
        <w:rPr>
          <w:rFonts w:ascii="宋体" w:eastAsia="宋体" w:hAnsi="宋体" w:cs="宋体"/>
          <w:color w:val="231F20"/>
          <w:sz w:val="22"/>
          <w:szCs w:val="22"/>
        </w:rPr>
        <w:tab/>
      </w:r>
      <w:r>
        <w:rPr>
          <w:rFonts w:ascii="宋体" w:eastAsia="宋体" w:hAnsi="宋体" w:cs="宋体"/>
          <w:color w:val="231F20"/>
          <w:sz w:val="22"/>
          <w:szCs w:val="22"/>
        </w:rPr>
        <w:t>特许经营期限期满的移交</w:t>
      </w:r>
    </w:p>
    <w:p>
      <w:pPr>
        <w:widowControl w:val="0"/>
        <w:tabs>
          <w:tab w:val="left" w:pos="1657"/>
        </w:tabs>
        <w:spacing w:before="89" w:after="0" w:line="305" w:lineRule="auto"/>
        <w:ind w:left="557" w:right="4786"/>
        <w:rPr>
          <w:rFonts w:ascii="Times New Roman" w:eastAsia="Times New Roman" w:hAnsi="Times New Roman" w:cs="Times New Roman"/>
          <w:sz w:val="22"/>
          <w:szCs w:val="22"/>
        </w:rPr>
      </w:pPr>
      <w:r>
        <w:rPr>
          <w:rFonts w:ascii="宋体" w:eastAsia="宋体" w:hAnsi="宋体" w:cs="宋体"/>
          <w:color w:val="231F20"/>
          <w:sz w:val="22"/>
          <w:szCs w:val="22"/>
        </w:rPr>
        <w:t>第十四章</w:t>
      </w:r>
      <w:r>
        <w:rPr>
          <w:rFonts w:ascii="宋体" w:eastAsia="宋体" w:hAnsi="宋体" w:cs="宋体"/>
          <w:color w:val="231F20"/>
          <w:sz w:val="22"/>
          <w:szCs w:val="22"/>
        </w:rPr>
        <w:tab/>
      </w:r>
      <w:r>
        <w:rPr>
          <w:rFonts w:ascii="宋体" w:eastAsia="宋体" w:hAnsi="宋体" w:cs="宋体"/>
          <w:color w:val="231F20"/>
          <w:sz w:val="22"/>
          <w:szCs w:val="22"/>
        </w:rPr>
        <w:t>特许经营权终止后的资产处置第十五章</w:t>
      </w:r>
      <w:r>
        <w:rPr>
          <w:rFonts w:ascii="宋体" w:eastAsia="宋体" w:hAnsi="宋体" w:cs="宋体"/>
          <w:color w:val="231F20"/>
          <w:sz w:val="22"/>
          <w:szCs w:val="22"/>
        </w:rPr>
        <w:tab/>
      </w:r>
      <w:r>
        <w:rPr>
          <w:rFonts w:ascii="宋体" w:eastAsia="宋体" w:hAnsi="宋体" w:cs="宋体"/>
          <w:color w:val="231F20"/>
          <w:sz w:val="22"/>
          <w:szCs w:val="22"/>
        </w:rPr>
        <w:t>供热质量和服务</w:t>
      </w:r>
    </w:p>
    <w:p>
      <w:pPr>
        <w:widowControl w:val="0"/>
        <w:tabs>
          <w:tab w:val="left" w:pos="1657"/>
        </w:tabs>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第十六章</w:t>
      </w:r>
      <w:r>
        <w:rPr>
          <w:rFonts w:ascii="宋体" w:eastAsia="宋体" w:hAnsi="宋体" w:cs="宋体"/>
          <w:color w:val="231F20"/>
          <w:sz w:val="22"/>
          <w:szCs w:val="22"/>
        </w:rPr>
        <w:tab/>
      </w:r>
      <w:r>
        <w:rPr>
          <w:rFonts w:ascii="宋体" w:eastAsia="宋体" w:hAnsi="宋体" w:cs="宋体"/>
          <w:color w:val="231F20"/>
          <w:sz w:val="22"/>
          <w:szCs w:val="22"/>
        </w:rPr>
        <w:t>甲方的权利与义务</w:t>
      </w:r>
    </w:p>
    <w:p>
      <w:pPr>
        <w:widowControl w:val="0"/>
        <w:tabs>
          <w:tab w:val="left" w:pos="1657"/>
        </w:tabs>
        <w:spacing w:before="89" w:after="0" w:line="305" w:lineRule="auto"/>
        <w:ind w:left="557" w:right="5446"/>
        <w:rPr>
          <w:rFonts w:ascii="Times New Roman" w:eastAsia="Times New Roman" w:hAnsi="Times New Roman" w:cs="Times New Roman"/>
          <w:sz w:val="22"/>
          <w:szCs w:val="22"/>
        </w:rPr>
      </w:pPr>
      <w:r>
        <w:rPr>
          <w:rFonts w:ascii="宋体" w:eastAsia="宋体" w:hAnsi="宋体" w:cs="宋体"/>
          <w:color w:val="231F20"/>
          <w:sz w:val="22"/>
          <w:szCs w:val="22"/>
        </w:rPr>
        <w:t>第十七章</w:t>
      </w:r>
      <w:r>
        <w:rPr>
          <w:rFonts w:ascii="宋体" w:eastAsia="宋体" w:hAnsi="宋体" w:cs="宋体"/>
          <w:color w:val="231F20"/>
          <w:sz w:val="22"/>
          <w:szCs w:val="22"/>
        </w:rPr>
        <w:tab/>
      </w:r>
      <w:r>
        <w:rPr>
          <w:rFonts w:ascii="宋体" w:eastAsia="宋体" w:hAnsi="宋体" w:cs="宋体"/>
          <w:color w:val="231F20"/>
          <w:sz w:val="22"/>
          <w:szCs w:val="22"/>
        </w:rPr>
        <w:t>乙方的权利义务及承诺第十八章</w:t>
      </w:r>
      <w:r>
        <w:rPr>
          <w:rFonts w:ascii="宋体" w:eastAsia="宋体" w:hAnsi="宋体" w:cs="宋体"/>
          <w:color w:val="231F20"/>
          <w:sz w:val="22"/>
          <w:szCs w:val="22"/>
        </w:rPr>
        <w:tab/>
      </w:r>
      <w:r>
        <w:rPr>
          <w:rFonts w:ascii="宋体" w:eastAsia="宋体" w:hAnsi="宋体" w:cs="宋体"/>
          <w:color w:val="231F20"/>
          <w:sz w:val="22"/>
          <w:szCs w:val="22"/>
        </w:rPr>
        <w:t>法律责任</w:t>
      </w:r>
    </w:p>
    <w:p>
      <w:pPr>
        <w:widowControl w:val="0"/>
        <w:tabs>
          <w:tab w:val="left" w:pos="1657"/>
        </w:tabs>
        <w:spacing w:before="21" w:after="0" w:line="305" w:lineRule="auto"/>
        <w:ind w:left="557" w:right="6546"/>
        <w:rPr>
          <w:rFonts w:ascii="Times New Roman" w:eastAsia="Times New Roman" w:hAnsi="Times New Roman" w:cs="Times New Roman"/>
          <w:sz w:val="22"/>
          <w:szCs w:val="22"/>
        </w:rPr>
      </w:pPr>
      <w:r>
        <w:rPr>
          <w:rFonts w:ascii="宋体" w:eastAsia="宋体" w:hAnsi="宋体" w:cs="宋体"/>
          <w:color w:val="231F20"/>
          <w:sz w:val="22"/>
          <w:szCs w:val="22"/>
        </w:rPr>
        <w:t>第十九章</w:t>
      </w:r>
      <w:r>
        <w:rPr>
          <w:rFonts w:ascii="宋体" w:eastAsia="宋体" w:hAnsi="宋体" w:cs="宋体"/>
          <w:color w:val="231F20"/>
          <w:sz w:val="22"/>
          <w:szCs w:val="22"/>
        </w:rPr>
        <w:tab/>
      </w:r>
      <w:r>
        <w:rPr>
          <w:rFonts w:ascii="宋体" w:eastAsia="宋体" w:hAnsi="宋体" w:cs="宋体"/>
          <w:color w:val="231F20"/>
          <w:sz w:val="22"/>
          <w:szCs w:val="22"/>
        </w:rPr>
        <w:t>协议的变更第二十章</w:t>
      </w:r>
      <w:r>
        <w:rPr>
          <w:rFonts w:ascii="宋体" w:eastAsia="宋体" w:hAnsi="宋体" w:cs="宋体"/>
          <w:color w:val="231F20"/>
          <w:sz w:val="22"/>
          <w:szCs w:val="22"/>
        </w:rPr>
        <w:tab/>
      </w:r>
      <w:r>
        <w:rPr>
          <w:rFonts w:ascii="宋体" w:eastAsia="宋体" w:hAnsi="宋体" w:cs="宋体"/>
          <w:color w:val="231F20"/>
          <w:sz w:val="22"/>
          <w:szCs w:val="22"/>
        </w:rPr>
        <w:t>不可抗力</w:t>
      </w:r>
    </w:p>
    <w:p>
      <w:pPr>
        <w:widowControl w:val="0"/>
        <w:tabs>
          <w:tab w:val="left" w:pos="1877"/>
        </w:tabs>
        <w:spacing w:before="21" w:after="0" w:line="305" w:lineRule="auto"/>
        <w:ind w:left="557" w:right="6326"/>
        <w:rPr>
          <w:rFonts w:ascii="Times New Roman" w:eastAsia="Times New Roman" w:hAnsi="Times New Roman" w:cs="Times New Roman"/>
          <w:sz w:val="22"/>
          <w:szCs w:val="22"/>
        </w:rPr>
      </w:pPr>
      <w:r>
        <w:rPr>
          <w:rFonts w:ascii="宋体" w:eastAsia="宋体" w:hAnsi="宋体" w:cs="宋体"/>
          <w:color w:val="231F20"/>
          <w:sz w:val="22"/>
          <w:szCs w:val="22"/>
        </w:rPr>
        <w:t>第二十一章</w:t>
      </w:r>
      <w:r>
        <w:rPr>
          <w:rFonts w:ascii="宋体" w:eastAsia="宋体" w:hAnsi="宋体" w:cs="宋体"/>
          <w:color w:val="231F20"/>
          <w:sz w:val="22"/>
          <w:szCs w:val="22"/>
        </w:rPr>
        <w:tab/>
      </w:r>
      <w:r>
        <w:rPr>
          <w:rFonts w:ascii="宋体" w:eastAsia="宋体" w:hAnsi="宋体" w:cs="宋体"/>
          <w:color w:val="231F20"/>
          <w:sz w:val="22"/>
          <w:szCs w:val="22"/>
        </w:rPr>
        <w:t>争议的解决第二十二章</w:t>
      </w:r>
      <w:r>
        <w:rPr>
          <w:rFonts w:ascii="宋体" w:eastAsia="宋体" w:hAnsi="宋体" w:cs="宋体"/>
          <w:color w:val="231F20"/>
          <w:sz w:val="22"/>
          <w:szCs w:val="22"/>
        </w:rPr>
        <w:tab/>
      </w:r>
      <w:r>
        <w:rPr>
          <w:rFonts w:ascii="宋体" w:eastAsia="宋体" w:hAnsi="宋体" w:cs="宋体"/>
          <w:color w:val="231F20"/>
          <w:sz w:val="22"/>
          <w:szCs w:val="22"/>
        </w:rPr>
        <w:t>附则</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tabs>
          <w:tab w:val="left" w:pos="959"/>
        </w:tabs>
        <w:spacing w:before="10" w:after="0"/>
        <w:ind w:right="18"/>
        <w:jc w:val="center"/>
        <w:rPr>
          <w:rFonts w:ascii="Times New Roman" w:eastAsia="Times New Roman" w:hAnsi="Times New Roman" w:cs="Times New Roman"/>
          <w:sz w:val="24"/>
          <w:szCs w:val="24"/>
        </w:rPr>
      </w:pPr>
      <w:r>
        <w:rPr>
          <w:rFonts w:ascii="宋体" w:eastAsia="宋体" w:hAnsi="宋体" w:cs="宋体"/>
          <w:color w:val="231F20"/>
        </w:rPr>
        <w:t>第一章</w:t>
      </w:r>
      <w:r>
        <w:rPr>
          <w:rFonts w:ascii="宋体" w:eastAsia="宋体" w:hAnsi="宋体" w:cs="宋体"/>
          <w:color w:val="231F20"/>
          <w:sz w:val="24"/>
          <w:szCs w:val="24"/>
        </w:rPr>
        <w:tab/>
      </w:r>
      <w:r>
        <w:rPr>
          <w:rFonts w:ascii="宋体" w:eastAsia="宋体" w:hAnsi="宋体" w:cs="宋体"/>
          <w:color w:val="231F20"/>
        </w:rPr>
        <w:t>总则</w:t>
      </w:r>
    </w:p>
    <w:p>
      <w:pPr>
        <w:widowControl w:val="0"/>
        <w:spacing w:before="8" w:after="0"/>
        <w:rPr>
          <w:rFonts w:ascii="Times New Roman" w:eastAsia="Times New Roman" w:hAnsi="Times New Roman" w:cs="Times New Roman"/>
          <w:sz w:val="16"/>
          <w:szCs w:val="16"/>
        </w:rPr>
      </w:pPr>
    </w:p>
    <w:p>
      <w:pPr>
        <w:widowControl w:val="0"/>
        <w:tabs>
          <w:tab w:val="left" w:pos="2796"/>
        </w:tabs>
        <w:spacing w:before="0" w:after="0" w:line="305" w:lineRule="auto"/>
        <w:ind w:left="217" w:right="99" w:firstLine="440"/>
        <w:jc w:val="both"/>
        <w:rPr>
          <w:rFonts w:ascii="方正书宋_GBK" w:eastAsia="方正书宋_GBK" w:hAnsi="方正书宋_GBK" w:cs="方正书宋_GBK"/>
          <w:sz w:val="22"/>
          <w:szCs w:val="22"/>
          <w:u w:val="single"/>
        </w:rPr>
      </w:pPr>
      <w:r>
        <w:rPr>
          <w:rFonts w:ascii="宋体" w:eastAsia="宋体" w:hAnsi="宋体" w:cs="宋体"/>
          <w:color w:val="231F20"/>
          <w:spacing w:val="-28"/>
          <w:sz w:val="22"/>
          <w:szCs w:val="22"/>
        </w:rPr>
        <w:t>101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
          <w:sz w:val="22"/>
          <w:szCs w:val="22"/>
        </w:rPr>
        <w:t>为规</w:t>
      </w:r>
      <w:r>
        <w:rPr>
          <w:rFonts w:ascii="宋体" w:eastAsia="宋体" w:hAnsi="宋体" w:cs="宋体"/>
          <w:color w:val="231F20"/>
          <w:sz w:val="22"/>
          <w:szCs w:val="22"/>
        </w:rPr>
        <w:t>范</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2"/>
          <w:sz w:val="22"/>
          <w:szCs w:val="22"/>
        </w:rPr>
        <w:t>城</w:t>
      </w:r>
      <w:r>
        <w:rPr>
          <w:rFonts w:ascii="宋体" w:eastAsia="宋体" w:hAnsi="宋体" w:cs="宋体"/>
          <w:color w:val="231F20"/>
          <w:sz w:val="22"/>
          <w:szCs w:val="22"/>
        </w:rPr>
        <w:t>市</w:t>
      </w:r>
      <w:r>
        <w:rPr>
          <w:rFonts w:ascii="宋体" w:eastAsia="宋体" w:hAnsi="宋体" w:cs="宋体"/>
          <w:color w:val="231F20"/>
          <w:spacing w:val="2"/>
          <w:sz w:val="22"/>
          <w:szCs w:val="22"/>
        </w:rPr>
        <w:t>、地区集中供热特许经营活</w:t>
      </w:r>
      <w:r>
        <w:rPr>
          <w:rFonts w:ascii="宋体" w:eastAsia="宋体" w:hAnsi="宋体" w:cs="宋体"/>
          <w:color w:val="231F20"/>
          <w:sz w:val="22"/>
          <w:szCs w:val="22"/>
        </w:rPr>
        <w:t>动</w:t>
      </w:r>
      <w:r>
        <w:rPr>
          <w:rFonts w:ascii="宋体" w:eastAsia="宋体" w:hAnsi="宋体" w:cs="宋体"/>
          <w:color w:val="231F20"/>
          <w:spacing w:val="2"/>
          <w:sz w:val="22"/>
          <w:szCs w:val="22"/>
        </w:rPr>
        <w:t>，保障供热行业的健康发</w:t>
      </w:r>
      <w:r>
        <w:rPr>
          <w:rFonts w:ascii="宋体" w:eastAsia="宋体" w:hAnsi="宋体" w:cs="宋体"/>
          <w:color w:val="231F20"/>
          <w:sz w:val="22"/>
          <w:szCs w:val="22"/>
        </w:rPr>
        <w:t>展</w:t>
      </w:r>
      <w:r>
        <w:rPr>
          <w:rFonts w:ascii="宋体" w:eastAsia="宋体" w:hAnsi="宋体" w:cs="宋体"/>
          <w:color w:val="231F20"/>
          <w:spacing w:val="2"/>
          <w:sz w:val="22"/>
          <w:szCs w:val="22"/>
        </w:rPr>
        <w:t>，保 障社会公共利益和公共安</w:t>
      </w:r>
      <w:r>
        <w:rPr>
          <w:rFonts w:ascii="宋体" w:eastAsia="宋体" w:hAnsi="宋体" w:cs="宋体"/>
          <w:color w:val="231F20"/>
          <w:sz w:val="22"/>
          <w:szCs w:val="22"/>
        </w:rPr>
        <w:t>全</w:t>
      </w:r>
      <w:r>
        <w:rPr>
          <w:rFonts w:ascii="宋体" w:eastAsia="宋体" w:hAnsi="宋体" w:cs="宋体"/>
          <w:color w:val="231F20"/>
          <w:spacing w:val="2"/>
          <w:sz w:val="22"/>
          <w:szCs w:val="22"/>
        </w:rPr>
        <w:t>，根据建设</w:t>
      </w:r>
      <w:r>
        <w:rPr>
          <w:rFonts w:ascii="宋体" w:eastAsia="宋体" w:hAnsi="宋体" w:cs="宋体"/>
          <w:color w:val="231F20"/>
          <w:sz w:val="22"/>
          <w:szCs w:val="22"/>
        </w:rPr>
        <w:t>部</w:t>
      </w:r>
      <w:r>
        <w:rPr>
          <w:rFonts w:ascii="宋体" w:eastAsia="宋体" w:hAnsi="宋体" w:cs="宋体"/>
          <w:color w:val="231F20"/>
          <w:spacing w:val="2"/>
          <w:sz w:val="22"/>
          <w:szCs w:val="22"/>
        </w:rPr>
        <w:t>《市政公用事业特许经营管理办法》</w:t>
      </w:r>
      <w:r>
        <w:rPr>
          <w:rFonts w:ascii="宋体" w:eastAsia="宋体" w:hAnsi="宋体" w:cs="宋体"/>
          <w:color w:val="231F20"/>
          <w:sz w:val="22"/>
          <w:szCs w:val="22"/>
        </w:rPr>
        <w:t>和</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z w:val="22"/>
          <w:szCs w:val="22"/>
        </w:rPr>
        <w:t xml:space="preserve"> </w:t>
      </w:r>
      <w:r>
        <w:rPr>
          <w:rFonts w:ascii="宋体" w:eastAsia="宋体" w:hAnsi="宋体" w:cs="宋体"/>
          <w:color w:val="231F20"/>
          <w:sz w:val="22"/>
          <w:szCs w:val="22"/>
        </w:rPr>
        <w:t>地</w:t>
      </w:r>
      <w:r>
        <w:rPr>
          <w:rFonts w:ascii="宋体" w:eastAsia="宋体" w:hAnsi="宋体" w:cs="宋体"/>
          <w:color w:val="231F20"/>
          <w:spacing w:val="25"/>
          <w:sz w:val="22"/>
          <w:szCs w:val="22"/>
        </w:rPr>
        <w:t>方法规名</w:t>
      </w:r>
      <w:r>
        <w:rPr>
          <w:rFonts w:ascii="宋体" w:eastAsia="宋体" w:hAnsi="宋体" w:cs="宋体"/>
          <w:color w:val="231F20"/>
          <w:sz w:val="22"/>
          <w:szCs w:val="22"/>
        </w:rPr>
        <w:t>称</w:t>
      </w:r>
      <w:r>
        <w:rPr>
          <w:rFonts w:ascii="宋体" w:eastAsia="宋体" w:hAnsi="宋体" w:cs="宋体"/>
          <w:color w:val="231F20"/>
          <w:spacing w:val="7"/>
          <w:sz w:val="22"/>
          <w:szCs w:val="22"/>
        </w:rPr>
        <w:t xml:space="preserve"> </w:t>
      </w:r>
      <w:r>
        <w:rPr>
          <w:rFonts w:ascii="宋体" w:eastAsia="宋体" w:hAnsi="宋体" w:cs="宋体"/>
          <w:color w:val="231F20"/>
          <w:spacing w:val="11"/>
          <w:sz w:val="22"/>
          <w:szCs w:val="22"/>
        </w:rPr>
        <w:t>)，</w:t>
      </w:r>
      <w:r>
        <w:rPr>
          <w:rFonts w:ascii="宋体" w:eastAsia="宋体" w:hAnsi="宋体" w:cs="宋体"/>
          <w:color w:val="231F20"/>
          <w:spacing w:val="25"/>
          <w:sz w:val="22"/>
          <w:szCs w:val="22"/>
        </w:rPr>
        <w:t>由协议双方按照法定程序</w:t>
      </w:r>
      <w:r>
        <w:rPr>
          <w:rFonts w:ascii="宋体" w:eastAsia="宋体" w:hAnsi="宋体" w:cs="宋体"/>
          <w:color w:val="231F20"/>
          <w:sz w:val="22"/>
          <w:szCs w:val="22"/>
        </w:rPr>
        <w:t>于</w:t>
      </w:r>
      <w:r>
        <w:rPr>
          <w:rFonts w:ascii="宋体" w:eastAsia="宋体" w:hAnsi="宋体" w:cs="宋体"/>
          <w:color w:val="231F20"/>
          <w:sz w:val="22"/>
          <w:szCs w:val="22"/>
        </w:rPr>
        <w:t xml:space="preserve">    </w:t>
      </w:r>
      <w:r>
        <w:rPr>
          <w:rFonts w:ascii="宋体" w:eastAsia="宋体" w:hAnsi="宋体" w:cs="宋体"/>
          <w:color w:val="231F20"/>
          <w:spacing w:val="48"/>
          <w:sz w:val="22"/>
          <w:szCs w:val="22"/>
        </w:rPr>
        <w:t xml:space="preserve"> </w:t>
      </w:r>
      <w:r>
        <w:rPr>
          <w:rFonts w:ascii="宋体" w:eastAsia="宋体" w:hAnsi="宋体" w:cs="宋体"/>
          <w:color w:val="231F20"/>
          <w:sz w:val="22"/>
          <w:szCs w:val="22"/>
        </w:rPr>
        <w:t>年</w:t>
      </w:r>
      <w:r>
        <w:rPr>
          <w:rFonts w:ascii="宋体" w:eastAsia="宋体" w:hAnsi="宋体" w:cs="宋体"/>
          <w:color w:val="231F20"/>
          <w:sz w:val="22"/>
          <w:szCs w:val="22"/>
        </w:rPr>
        <w:t xml:space="preserve">    </w:t>
      </w:r>
      <w:r>
        <w:rPr>
          <w:rFonts w:ascii="宋体" w:eastAsia="宋体" w:hAnsi="宋体" w:cs="宋体"/>
          <w:color w:val="231F20"/>
          <w:spacing w:val="47"/>
          <w:sz w:val="22"/>
          <w:szCs w:val="22"/>
        </w:rPr>
        <w:t xml:space="preserve"> </w:t>
      </w:r>
      <w:r>
        <w:rPr>
          <w:rFonts w:ascii="宋体" w:eastAsia="宋体" w:hAnsi="宋体" w:cs="宋体"/>
          <w:color w:val="231F20"/>
          <w:sz w:val="22"/>
          <w:szCs w:val="22"/>
        </w:rPr>
        <w:t>月</w:t>
      </w:r>
      <w:r>
        <w:rPr>
          <w:rFonts w:ascii="宋体" w:eastAsia="宋体" w:hAnsi="宋体" w:cs="宋体"/>
          <w:color w:val="231F20"/>
          <w:sz w:val="22"/>
          <w:szCs w:val="22"/>
        </w:rPr>
        <w:t xml:space="preserve">    </w:t>
      </w:r>
      <w:r>
        <w:rPr>
          <w:rFonts w:ascii="宋体" w:eastAsia="宋体" w:hAnsi="宋体" w:cs="宋体"/>
          <w:color w:val="231F20"/>
          <w:spacing w:val="47"/>
          <w:sz w:val="22"/>
          <w:szCs w:val="22"/>
        </w:rPr>
        <w:t xml:space="preserve"> </w:t>
      </w:r>
      <w:r>
        <w:rPr>
          <w:rFonts w:ascii="宋体" w:eastAsia="宋体" w:hAnsi="宋体" w:cs="宋体"/>
          <w:color w:val="231F20"/>
          <w:spacing w:val="25"/>
          <w:sz w:val="22"/>
          <w:szCs w:val="22"/>
        </w:rPr>
        <w:t>日在中</w:t>
      </w:r>
      <w:r>
        <w:rPr>
          <w:rFonts w:ascii="宋体" w:eastAsia="宋体" w:hAnsi="宋体" w:cs="宋体"/>
          <w:color w:val="231F20"/>
          <w:sz w:val="22"/>
          <w:szCs w:val="22"/>
        </w:rPr>
        <w:t>国</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省</w:t>
      </w:r>
      <w:r>
        <w:rPr>
          <w:rFonts w:ascii="宋体" w:eastAsia="宋体" w:hAnsi="宋体" w:cs="宋体"/>
          <w:color w:val="231F20"/>
          <w:spacing w:val="25"/>
          <w:sz w:val="22"/>
          <w:szCs w:val="22"/>
        </w:rPr>
        <w:t>（自治区</w:t>
      </w: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p>
    <w:p>
      <w:pPr>
        <w:widowControl w:val="0"/>
        <w:tabs>
          <w:tab w:val="left" w:pos="1097"/>
        </w:tabs>
        <w:spacing w:before="20" w:after="0"/>
        <w:ind w:left="2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市（县）签订本协议。</w:t>
      </w:r>
    </w:p>
    <w:p>
      <w:pPr>
        <w:widowControl w:val="0"/>
        <w:tabs>
          <w:tab w:val="left" w:pos="4700"/>
          <w:tab w:val="left" w:pos="6918"/>
        </w:tabs>
        <w:spacing w:before="82" w:after="0"/>
        <w:ind w:left="1264" w:hanging="607"/>
        <w:rPr>
          <w:rFonts w:ascii="方正书宋_GBK" w:eastAsia="方正书宋_GBK" w:hAnsi="方正书宋_GBK" w:cs="方正书宋_GBK"/>
          <w:sz w:val="22"/>
          <w:szCs w:val="22"/>
          <w:u w:val="single"/>
        </w:rPr>
      </w:pPr>
      <w:r>
        <w:rPr>
          <w:rFonts w:ascii="宋体" w:eastAsia="宋体" w:hAnsi="宋体" w:cs="宋体"/>
          <w:color w:val="231F20"/>
          <w:spacing w:val="-28"/>
          <w:sz w:val="22"/>
          <w:szCs w:val="22"/>
        </w:rPr>
        <w:t>102</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20"/>
          <w:sz w:val="22"/>
          <w:szCs w:val="22"/>
        </w:rPr>
        <w:t>协议双方分别</w:t>
      </w:r>
      <w:r>
        <w:rPr>
          <w:rFonts w:ascii="宋体" w:eastAsia="宋体" w:hAnsi="宋体" w:cs="宋体"/>
          <w:color w:val="231F20"/>
          <w:sz w:val="22"/>
          <w:szCs w:val="22"/>
        </w:rPr>
        <w:t>为</w:t>
      </w:r>
      <w:r>
        <w:rPr>
          <w:rFonts w:ascii="宋体" w:eastAsia="宋体" w:hAnsi="宋体" w:cs="宋体"/>
          <w:color w:val="231F20"/>
          <w:spacing w:val="-34"/>
          <w:sz w:val="22"/>
          <w:szCs w:val="22"/>
        </w:rPr>
        <w:t>：</w:t>
      </w:r>
      <w:r>
        <w:rPr>
          <w:rFonts w:ascii="宋体" w:eastAsia="宋体" w:hAnsi="宋体" w:cs="宋体"/>
          <w:color w:val="231F20"/>
          <w:spacing w:val="20"/>
          <w:sz w:val="22"/>
          <w:szCs w:val="22"/>
        </w:rPr>
        <w:t>经中</w:t>
      </w:r>
      <w:r>
        <w:rPr>
          <w:rFonts w:ascii="宋体" w:eastAsia="宋体" w:hAnsi="宋体" w:cs="宋体"/>
          <w:color w:val="231F20"/>
          <w:sz w:val="22"/>
          <w:szCs w:val="22"/>
        </w:rPr>
        <w:t>国</w:t>
      </w:r>
      <w:r>
        <w:rPr>
          <w:rFonts w:ascii="宋体" w:eastAsia="宋体" w:hAnsi="宋体" w:cs="宋体"/>
          <w:color w:val="231F20"/>
          <w:sz w:val="22"/>
          <w:szCs w:val="22"/>
          <w:u w:val="single"/>
        </w:rPr>
        <w:tab/>
      </w:r>
      <w:r>
        <w:rPr>
          <w:rFonts w:ascii="宋体" w:eastAsia="宋体" w:hAnsi="宋体" w:cs="宋体"/>
          <w:color w:val="231F20"/>
          <w:sz w:val="22"/>
          <w:szCs w:val="22"/>
        </w:rPr>
        <w:t>省</w:t>
      </w:r>
      <w:r>
        <w:rPr>
          <w:rFonts w:ascii="宋体" w:eastAsia="宋体" w:hAnsi="宋体" w:cs="宋体"/>
          <w:color w:val="231F20"/>
          <w:spacing w:val="20"/>
          <w:sz w:val="22"/>
          <w:szCs w:val="22"/>
        </w:rPr>
        <w:t>（自治区</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市</w:t>
      </w:r>
      <w:r>
        <w:rPr>
          <w:rFonts w:ascii="宋体" w:eastAsia="宋体" w:hAnsi="宋体" w:cs="宋体"/>
          <w:color w:val="231F20"/>
          <w:spacing w:val="20"/>
          <w:sz w:val="22"/>
          <w:szCs w:val="22"/>
        </w:rPr>
        <w:t>（县）人民政府授权</w:t>
      </w:r>
    </w:p>
    <w:p>
      <w:pPr>
        <w:widowControl w:val="0"/>
        <w:tabs>
          <w:tab w:val="left" w:pos="8945"/>
        </w:tabs>
        <w:spacing w:before="88" w:after="0" w:line="305" w:lineRule="auto"/>
        <w:ind w:left="107" w:right="223"/>
        <w:jc w:val="center"/>
        <w:rPr>
          <w:rFonts w:ascii="Times New Roman" w:eastAsia="Times New Roman" w:hAnsi="Times New Roman" w:cs="Times New Roman"/>
          <w:sz w:val="20"/>
          <w:szCs w:val="20"/>
          <w:u w:val="single"/>
        </w:rPr>
      </w:pPr>
      <w:r>
        <w:rPr>
          <w:rFonts w:ascii="宋体" w:eastAsia="宋体" w:hAnsi="宋体" w:cs="宋体"/>
          <w:color w:val="231F20"/>
          <w:spacing w:val="7"/>
          <w:sz w:val="22"/>
          <w:szCs w:val="22"/>
        </w:rPr>
        <w:t>（</w:t>
      </w:r>
      <w:r>
        <w:rPr>
          <w:rFonts w:ascii="宋体" w:eastAsia="宋体" w:hAnsi="宋体" w:cs="宋体"/>
          <w:color w:val="231F20"/>
          <w:sz w:val="22"/>
          <w:szCs w:val="22"/>
        </w:rPr>
        <w:t>注</w:t>
      </w:r>
      <w:r>
        <w:rPr>
          <w:rFonts w:ascii="宋体" w:eastAsia="宋体" w:hAnsi="宋体" w:cs="宋体"/>
          <w:color w:val="231F20"/>
          <w:spacing w:val="-46"/>
          <w:sz w:val="22"/>
          <w:szCs w:val="22"/>
        </w:rPr>
        <w:t>：</w:t>
      </w:r>
      <w:r>
        <w:rPr>
          <w:rFonts w:ascii="宋体" w:eastAsia="宋体" w:hAnsi="宋体" w:cs="宋体"/>
          <w:color w:val="231F20"/>
          <w:spacing w:val="7"/>
          <w:sz w:val="22"/>
          <w:szCs w:val="22"/>
        </w:rPr>
        <w:t>该授权可以通过以下两种形</w:t>
      </w:r>
      <w:r>
        <w:rPr>
          <w:rFonts w:ascii="宋体" w:eastAsia="宋体" w:hAnsi="宋体" w:cs="宋体"/>
          <w:color w:val="231F20"/>
          <w:sz w:val="22"/>
          <w:szCs w:val="22"/>
        </w:rPr>
        <w:t>式</w:t>
      </w:r>
      <w:r>
        <w:rPr>
          <w:rFonts w:ascii="宋体" w:eastAsia="宋体" w:hAnsi="宋体" w:cs="宋体"/>
          <w:color w:val="231F20"/>
          <w:spacing w:val="-19"/>
          <w:sz w:val="22"/>
          <w:szCs w:val="22"/>
        </w:rPr>
        <w:t>：1.</w:t>
      </w:r>
      <w:r>
        <w:rPr>
          <w:rFonts w:ascii="宋体" w:eastAsia="宋体" w:hAnsi="宋体" w:cs="宋体"/>
          <w:color w:val="231F20"/>
          <w:spacing w:val="-18"/>
          <w:sz w:val="22"/>
          <w:szCs w:val="22"/>
        </w:rPr>
        <w:t xml:space="preserve"> </w:t>
      </w:r>
      <w:r>
        <w:rPr>
          <w:rFonts w:ascii="宋体" w:eastAsia="宋体" w:hAnsi="宋体" w:cs="宋体"/>
          <w:color w:val="231F20"/>
          <w:spacing w:val="7"/>
          <w:sz w:val="22"/>
          <w:szCs w:val="22"/>
        </w:rPr>
        <w:t>该人民政府发布规范性文</w:t>
      </w:r>
      <w:r>
        <w:rPr>
          <w:rFonts w:ascii="宋体" w:eastAsia="宋体" w:hAnsi="宋体" w:cs="宋体"/>
          <w:color w:val="231F20"/>
          <w:sz w:val="22"/>
          <w:szCs w:val="22"/>
        </w:rPr>
        <w:t>件</w:t>
      </w:r>
      <w:r>
        <w:rPr>
          <w:rFonts w:ascii="宋体" w:eastAsia="宋体" w:hAnsi="宋体" w:cs="宋体"/>
          <w:color w:val="231F20"/>
          <w:spacing w:val="-19"/>
          <w:sz w:val="22"/>
          <w:szCs w:val="22"/>
        </w:rPr>
        <w:t>；2.</w:t>
      </w:r>
      <w:r>
        <w:rPr>
          <w:rFonts w:ascii="宋体" w:eastAsia="宋体" w:hAnsi="宋体" w:cs="宋体"/>
          <w:color w:val="231F20"/>
          <w:spacing w:val="-18"/>
          <w:sz w:val="22"/>
          <w:szCs w:val="22"/>
        </w:rPr>
        <w:t xml:space="preserve"> </w:t>
      </w:r>
      <w:r>
        <w:rPr>
          <w:rFonts w:ascii="宋体" w:eastAsia="宋体" w:hAnsi="宋体" w:cs="宋体"/>
          <w:color w:val="231F20"/>
          <w:spacing w:val="7"/>
          <w:sz w:val="22"/>
          <w:szCs w:val="22"/>
        </w:rPr>
        <w:t>该人民政府就本协议</w:t>
      </w:r>
      <w:r>
        <w:rPr>
          <w:rFonts w:ascii="宋体" w:eastAsia="宋体" w:hAnsi="宋体" w:cs="宋体"/>
          <w:color w:val="231F20"/>
          <w:spacing w:val="11"/>
          <w:sz w:val="22"/>
          <w:szCs w:val="22"/>
        </w:rPr>
        <w:t>事项签发授权书</w:t>
      </w:r>
      <w:r>
        <w:rPr>
          <w:rFonts w:ascii="宋体" w:eastAsia="宋体" w:hAnsi="宋体" w:cs="宋体"/>
          <w:color w:val="231F20"/>
          <w:spacing w:val="-111"/>
          <w:sz w:val="22"/>
          <w:szCs w:val="22"/>
        </w:rPr>
        <w:t>）</w:t>
      </w:r>
      <w:r>
        <w:rPr>
          <w:rFonts w:ascii="宋体" w:eastAsia="宋体" w:hAnsi="宋体" w:cs="宋体"/>
          <w:color w:val="231F20"/>
          <w:spacing w:val="11"/>
          <w:sz w:val="22"/>
          <w:szCs w:val="22"/>
        </w:rPr>
        <w:t>，中</w:t>
      </w:r>
      <w:r>
        <w:rPr>
          <w:rFonts w:ascii="宋体" w:eastAsia="宋体" w:hAnsi="宋体" w:cs="宋体"/>
          <w:color w:val="231F20"/>
          <w:spacing w:val="-1"/>
          <w:sz w:val="22"/>
          <w:szCs w:val="22"/>
        </w:rPr>
        <w:t>国</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省</w:t>
      </w:r>
      <w:r>
        <w:rPr>
          <w:rFonts w:ascii="宋体" w:eastAsia="宋体" w:hAnsi="宋体" w:cs="宋体"/>
          <w:color w:val="231F20"/>
          <w:spacing w:val="11"/>
          <w:sz w:val="22"/>
          <w:szCs w:val="22"/>
        </w:rPr>
        <w:t>（自治区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市</w:t>
      </w:r>
      <w:r>
        <w:rPr>
          <w:rFonts w:ascii="宋体" w:eastAsia="宋体" w:hAnsi="宋体" w:cs="宋体"/>
          <w:color w:val="231F20"/>
          <w:spacing w:val="11"/>
          <w:sz w:val="22"/>
          <w:szCs w:val="22"/>
        </w:rPr>
        <w:t>（县）人民政</w:t>
      </w:r>
      <w:r>
        <w:rPr>
          <w:rFonts w:ascii="宋体" w:eastAsia="宋体" w:hAnsi="宋体" w:cs="宋体"/>
          <w:color w:val="231F20"/>
          <w:spacing w:val="-1"/>
          <w:sz w:val="22"/>
          <w:szCs w:val="22"/>
        </w:rPr>
        <w:t>府</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局</w:t>
      </w:r>
    </w:p>
    <w:p>
      <w:pPr>
        <w:widowControl w:val="0"/>
        <w:tabs>
          <w:tab w:val="left" w:pos="4640"/>
          <w:tab w:val="left" w:pos="7091"/>
          <w:tab w:val="left" w:pos="8885"/>
        </w:tabs>
        <w:spacing w:before="20" w:after="0"/>
        <w:ind w:left="107"/>
        <w:rPr>
          <w:rFonts w:ascii="Times New Roman" w:eastAsia="Times New Roman" w:hAnsi="Times New Roman" w:cs="Times New Roman"/>
          <w:sz w:val="22"/>
          <w:szCs w:val="22"/>
        </w:rPr>
      </w:pPr>
      <w:r>
        <w:rPr>
          <w:rFonts w:ascii="宋体" w:eastAsia="宋体" w:hAnsi="宋体" w:cs="宋体"/>
          <w:color w:val="231F20"/>
          <w:spacing w:val="16"/>
          <w:sz w:val="22"/>
          <w:szCs w:val="22"/>
        </w:rPr>
        <w:t>（委</w:t>
      </w:r>
      <w:r>
        <w:rPr>
          <w:rFonts w:ascii="宋体" w:eastAsia="宋体" w:hAnsi="宋体" w:cs="宋体"/>
          <w:color w:val="231F20"/>
          <w:spacing w:val="-110"/>
          <w:sz w:val="22"/>
          <w:szCs w:val="22"/>
        </w:rPr>
        <w:t>）</w:t>
      </w:r>
      <w:r>
        <w:rPr>
          <w:rFonts w:ascii="宋体" w:eastAsia="宋体" w:hAnsi="宋体" w:cs="宋体"/>
          <w:color w:val="231F20"/>
          <w:spacing w:val="16"/>
          <w:sz w:val="22"/>
          <w:szCs w:val="22"/>
        </w:rPr>
        <w:t>（以下简称甲方</w:t>
      </w:r>
      <w:r>
        <w:rPr>
          <w:rFonts w:ascii="宋体" w:eastAsia="宋体" w:hAnsi="宋体" w:cs="宋体"/>
          <w:color w:val="231F20"/>
          <w:spacing w:val="-110"/>
          <w:sz w:val="22"/>
          <w:szCs w:val="22"/>
        </w:rPr>
        <w:t>）</w:t>
      </w:r>
      <w:r>
        <w:rPr>
          <w:rFonts w:ascii="宋体" w:eastAsia="宋体" w:hAnsi="宋体" w:cs="宋体"/>
          <w:color w:val="231F20"/>
          <w:spacing w:val="16"/>
          <w:sz w:val="22"/>
          <w:szCs w:val="22"/>
        </w:rPr>
        <w:t>，地</w:t>
      </w:r>
      <w:r>
        <w:rPr>
          <w:rFonts w:ascii="宋体" w:eastAsia="宋体" w:hAnsi="宋体" w:cs="宋体"/>
          <w:color w:val="231F20"/>
          <w:sz w:val="22"/>
          <w:szCs w:val="22"/>
        </w:rPr>
        <w:t>址：</w:t>
      </w:r>
      <w:r>
        <w:rPr>
          <w:rFonts w:ascii="宋体" w:eastAsia="宋体" w:hAnsi="宋体" w:cs="宋体"/>
          <w:color w:val="231F20"/>
          <w:sz w:val="22"/>
          <w:szCs w:val="22"/>
        </w:rPr>
        <w:tab/>
      </w:r>
      <w:r>
        <w:rPr>
          <w:rFonts w:ascii="宋体" w:eastAsia="宋体" w:hAnsi="宋体" w:cs="宋体"/>
          <w:color w:val="231F20"/>
          <w:spacing w:val="16"/>
          <w:sz w:val="22"/>
          <w:szCs w:val="22"/>
        </w:rPr>
        <w:t>，法定代表</w:t>
      </w:r>
      <w:r>
        <w:rPr>
          <w:rFonts w:ascii="宋体" w:eastAsia="宋体" w:hAnsi="宋体" w:cs="宋体"/>
          <w:color w:val="231F20"/>
          <w:sz w:val="22"/>
          <w:szCs w:val="22"/>
        </w:rPr>
        <w:t>人：</w:t>
      </w:r>
      <w:r>
        <w:rPr>
          <w:rFonts w:ascii="宋体" w:eastAsia="宋体" w:hAnsi="宋体" w:cs="宋体"/>
          <w:color w:val="231F20"/>
          <w:sz w:val="22"/>
          <w:szCs w:val="22"/>
        </w:rPr>
        <w:tab/>
      </w:r>
      <w:r>
        <w:rPr>
          <w:rFonts w:ascii="宋体" w:eastAsia="宋体" w:hAnsi="宋体" w:cs="宋体"/>
          <w:color w:val="231F20"/>
          <w:spacing w:val="16"/>
          <w:sz w:val="22"/>
          <w:szCs w:val="22"/>
        </w:rPr>
        <w:t>，职</w:t>
      </w:r>
      <w:r>
        <w:rPr>
          <w:rFonts w:ascii="宋体" w:eastAsia="宋体" w:hAnsi="宋体" w:cs="宋体"/>
          <w:color w:val="231F20"/>
          <w:sz w:val="22"/>
          <w:szCs w:val="22"/>
        </w:rPr>
        <w:t>务：</w:t>
      </w:r>
      <w:r>
        <w:rPr>
          <w:rFonts w:ascii="宋体" w:eastAsia="宋体" w:hAnsi="宋体" w:cs="宋体"/>
          <w:color w:val="231F20"/>
          <w:sz w:val="22"/>
          <w:szCs w:val="22"/>
        </w:rPr>
        <w:tab/>
      </w:r>
      <w:r>
        <w:rPr>
          <w:rFonts w:ascii="宋体" w:eastAsia="宋体" w:hAnsi="宋体" w:cs="宋体"/>
          <w:color w:val="231F20"/>
          <w:spacing w:val="-38"/>
          <w:sz w:val="22"/>
          <w:szCs w:val="22"/>
        </w:rPr>
        <w:t>；和</w:t>
      </w:r>
    </w:p>
    <w:p>
      <w:pPr>
        <w:widowControl w:val="0"/>
        <w:tabs>
          <w:tab w:val="left" w:pos="1317"/>
          <w:tab w:val="left" w:pos="3627"/>
          <w:tab w:val="left" w:pos="5552"/>
          <w:tab w:val="left" w:pos="8177"/>
        </w:tabs>
        <w:spacing w:before="89" w:after="0" w:line="305" w:lineRule="auto"/>
        <w:ind w:left="217" w:right="232"/>
        <w:rPr>
          <w:rFonts w:ascii="Times New Roman" w:eastAsia="Times New Roman" w:hAnsi="Times New Roman" w:cs="Times New Roman"/>
          <w:sz w:val="22"/>
          <w:szCs w:val="22"/>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
          <w:sz w:val="22"/>
          <w:szCs w:val="22"/>
        </w:rPr>
        <w:t>公</w:t>
      </w:r>
      <w:r>
        <w:rPr>
          <w:rFonts w:ascii="宋体" w:eastAsia="宋体" w:hAnsi="宋体" w:cs="宋体"/>
          <w:color w:val="231F20"/>
          <w:sz w:val="22"/>
          <w:szCs w:val="22"/>
        </w:rPr>
        <w:t>司</w:t>
      </w:r>
      <w:r>
        <w:rPr>
          <w:rFonts w:ascii="宋体" w:eastAsia="宋体" w:hAnsi="宋体" w:cs="宋体"/>
          <w:color w:val="231F20"/>
          <w:spacing w:val="1"/>
          <w:sz w:val="22"/>
          <w:szCs w:val="22"/>
        </w:rPr>
        <w:t>（以下简称乙方</w:t>
      </w:r>
      <w:r>
        <w:rPr>
          <w:rFonts w:ascii="宋体" w:eastAsia="宋体" w:hAnsi="宋体" w:cs="宋体"/>
          <w:color w:val="231F20"/>
          <w:spacing w:val="-110"/>
          <w:sz w:val="22"/>
          <w:szCs w:val="22"/>
        </w:rPr>
        <w:t>）</w:t>
      </w:r>
      <w:r>
        <w:rPr>
          <w:rFonts w:ascii="宋体" w:eastAsia="宋体" w:hAnsi="宋体" w:cs="宋体"/>
          <w:color w:val="231F20"/>
          <w:spacing w:val="1"/>
          <w:sz w:val="22"/>
          <w:szCs w:val="22"/>
        </w:rPr>
        <w:t>，注册地</w:t>
      </w:r>
      <w:r>
        <w:rPr>
          <w:rFonts w:ascii="宋体" w:eastAsia="宋体" w:hAnsi="宋体" w:cs="宋体"/>
          <w:color w:val="231F20"/>
          <w:sz w:val="22"/>
          <w:szCs w:val="22"/>
        </w:rPr>
        <w:t>点：</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pacing w:val="1"/>
          <w:sz w:val="22"/>
          <w:szCs w:val="22"/>
        </w:rPr>
        <w:t>，注册</w:t>
      </w:r>
      <w:r>
        <w:rPr>
          <w:rFonts w:ascii="宋体" w:eastAsia="宋体" w:hAnsi="宋体" w:cs="宋体"/>
          <w:color w:val="231F20"/>
          <w:sz w:val="22"/>
          <w:szCs w:val="22"/>
        </w:rPr>
        <w:t>号：</w:t>
      </w:r>
      <w:r>
        <w:rPr>
          <w:rFonts w:ascii="宋体" w:eastAsia="宋体" w:hAnsi="宋体" w:cs="宋体"/>
          <w:color w:val="231F20"/>
          <w:sz w:val="22"/>
          <w:szCs w:val="22"/>
        </w:rPr>
        <w:tab/>
      </w:r>
      <w:r>
        <w:rPr>
          <w:rFonts w:ascii="宋体" w:eastAsia="宋体" w:hAnsi="宋体" w:cs="宋体"/>
          <w:color w:val="231F20"/>
          <w:spacing w:val="1"/>
          <w:sz w:val="22"/>
          <w:szCs w:val="22"/>
        </w:rPr>
        <w:t>，法定代表</w:t>
      </w:r>
      <w:r>
        <w:rPr>
          <w:rFonts w:ascii="宋体" w:eastAsia="宋体" w:hAnsi="宋体" w:cs="宋体"/>
          <w:color w:val="231F20"/>
          <w:sz w:val="22"/>
          <w:szCs w:val="22"/>
        </w:rPr>
        <w:t>人</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，职务</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，国籍</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15" w:after="0"/>
        <w:ind w:left="1243" w:hanging="586"/>
        <w:rPr>
          <w:rFonts w:ascii="Times New Roman" w:eastAsia="Times New Roman" w:hAnsi="Times New Roman" w:cs="Times New Roman"/>
          <w:sz w:val="22"/>
          <w:szCs w:val="22"/>
        </w:rPr>
      </w:pPr>
      <w:r>
        <w:rPr>
          <w:rFonts w:ascii="宋体" w:eastAsia="宋体" w:hAnsi="宋体" w:cs="宋体"/>
          <w:color w:val="231F20"/>
          <w:spacing w:val="-28"/>
          <w:sz w:val="22"/>
          <w:szCs w:val="22"/>
        </w:rPr>
        <w:t>103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特许经营原则</w:t>
      </w:r>
    </w:p>
    <w:p>
      <w:pPr>
        <w:widowControl w:val="0"/>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甲、乙双方签订并付诸履行本协议，应当遵循以下原则：</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1）遵守中国的法律；</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2）公开、公平、公正；</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3）符合城市发展规划、环保规划及城镇供热专项规划；</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4）有利于保障供热安全和高效节能；</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5）有利于促进城镇供热行业的健康发展。</w:t>
      </w:r>
    </w:p>
    <w:p>
      <w:pPr>
        <w:widowControl w:val="0"/>
        <w:spacing w:before="4" w:after="0"/>
        <w:rPr>
          <w:rFonts w:ascii="Times New Roman" w:eastAsia="Times New Roman" w:hAnsi="Times New Roman" w:cs="Times New Roman"/>
          <w:sz w:val="16"/>
          <w:szCs w:val="16"/>
        </w:rPr>
      </w:pPr>
    </w:p>
    <w:p>
      <w:pPr>
        <w:widowControl w:val="0"/>
        <w:tabs>
          <w:tab w:val="left" w:pos="959"/>
        </w:tabs>
        <w:spacing w:before="1" w:after="0"/>
        <w:ind w:right="18"/>
        <w:jc w:val="center"/>
        <w:rPr>
          <w:rFonts w:ascii="Times New Roman" w:eastAsia="Times New Roman" w:hAnsi="Times New Roman" w:cs="Times New Roman"/>
          <w:sz w:val="24"/>
          <w:szCs w:val="24"/>
        </w:rPr>
      </w:pPr>
      <w:r>
        <w:rPr>
          <w:rFonts w:ascii="宋体" w:eastAsia="宋体" w:hAnsi="宋体" w:cs="宋体"/>
          <w:color w:val="231F20"/>
        </w:rPr>
        <w:t>第二章</w:t>
      </w:r>
      <w:r>
        <w:rPr>
          <w:rFonts w:ascii="宋体" w:eastAsia="宋体" w:hAnsi="宋体" w:cs="宋体"/>
          <w:color w:val="231F20"/>
          <w:sz w:val="24"/>
          <w:szCs w:val="24"/>
        </w:rPr>
        <w:tab/>
      </w:r>
      <w:r>
        <w:rPr>
          <w:rFonts w:ascii="宋体" w:eastAsia="宋体" w:hAnsi="宋体" w:cs="宋体"/>
          <w:color w:val="231F20"/>
        </w:rPr>
        <w:t>定义与解释</w:t>
      </w:r>
    </w:p>
    <w:p>
      <w:pPr>
        <w:widowControl w:val="0"/>
        <w:spacing w:before="0" w:after="0"/>
        <w:rPr>
          <w:rFonts w:ascii="Times New Roman" w:eastAsia="Times New Roman" w:hAnsi="Times New Roman" w:cs="Times New Roman"/>
          <w:sz w:val="17"/>
          <w:szCs w:val="17"/>
        </w:rPr>
      </w:pPr>
    </w:p>
    <w:p>
      <w:pPr>
        <w:widowControl w:val="0"/>
        <w:spacing w:before="0" w:after="0"/>
        <w:ind w:left="657"/>
        <w:rPr>
          <w:rFonts w:ascii="Times New Roman" w:eastAsia="Times New Roman" w:hAnsi="Times New Roman" w:cs="Times New Roman"/>
          <w:sz w:val="22"/>
          <w:szCs w:val="22"/>
        </w:rPr>
      </w:pPr>
      <w:r>
        <w:rPr>
          <w:rFonts w:ascii="宋体" w:eastAsia="宋体" w:hAnsi="宋体" w:cs="宋体"/>
          <w:color w:val="231F20"/>
          <w:sz w:val="22"/>
          <w:szCs w:val="22"/>
        </w:rPr>
        <w:t>本协议中下列名词或术语的含义遵从本章的定义或解释。</w:t>
      </w:r>
    </w:p>
    <w:p>
      <w:pPr>
        <w:widowControl w:val="0"/>
        <w:spacing w:before="82" w:after="0" w:line="305" w:lineRule="auto"/>
        <w:ind w:left="217" w:right="233" w:firstLine="440"/>
        <w:rPr>
          <w:rFonts w:ascii="Times New Roman" w:eastAsia="Times New Roman" w:hAnsi="Times New Roman" w:cs="Times New Roman"/>
          <w:sz w:val="22"/>
          <w:szCs w:val="22"/>
        </w:rPr>
      </w:pPr>
      <w:r>
        <w:rPr>
          <w:rFonts w:ascii="宋体" w:eastAsia="宋体" w:hAnsi="宋体" w:cs="宋体"/>
          <w:color w:val="231F20"/>
          <w:sz w:val="22"/>
          <w:szCs w:val="22"/>
        </w:rPr>
        <w:t>201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［中国］</w:t>
      </w:r>
      <w:r>
        <w:rPr>
          <w:rFonts w:ascii="宋体" w:eastAsia="宋体" w:hAnsi="宋体" w:cs="宋体"/>
          <w:color w:val="231F20"/>
          <w:sz w:val="22"/>
          <w:szCs w:val="22"/>
        </w:rPr>
        <w:t>指中华人民共和国，仅为本协议之目的，不包括香港特别行政区、澳门特别行政区和台湾地区。</w:t>
      </w:r>
    </w:p>
    <w:p>
      <w:pPr>
        <w:widowControl w:val="0"/>
        <w:spacing w:before="14" w:after="0" w:line="305" w:lineRule="auto"/>
        <w:ind w:left="217" w:right="234" w:firstLine="440"/>
        <w:rPr>
          <w:rFonts w:ascii="Times New Roman" w:eastAsia="Times New Roman" w:hAnsi="Times New Roman" w:cs="Times New Roman"/>
          <w:sz w:val="22"/>
          <w:szCs w:val="22"/>
        </w:rPr>
      </w:pPr>
      <w:r>
        <w:rPr>
          <w:rFonts w:ascii="宋体" w:eastAsia="宋体" w:hAnsi="宋体" w:cs="宋体"/>
          <w:color w:val="231F20"/>
          <w:sz w:val="22"/>
          <w:szCs w:val="22"/>
        </w:rPr>
        <w:t>202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［法律］</w:t>
      </w:r>
      <w:r>
        <w:rPr>
          <w:rFonts w:ascii="宋体" w:eastAsia="宋体" w:hAnsi="宋体" w:cs="宋体"/>
          <w:color w:val="231F20"/>
          <w:sz w:val="22"/>
          <w:szCs w:val="22"/>
        </w:rPr>
        <w:t>指所有适用的中国法律、行政法规、地方性法规、自治条例和单行条例、规章、司法解释及其他有法律约束力的规范性文件。</w:t>
      </w:r>
    </w:p>
    <w:p>
      <w:pPr>
        <w:widowControl w:val="0"/>
        <w:spacing w:before="14" w:after="0"/>
        <w:ind w:left="1145" w:hanging="488"/>
        <w:rPr>
          <w:rFonts w:ascii="Times New Roman" w:eastAsia="Times New Roman" w:hAnsi="Times New Roman" w:cs="Times New Roman"/>
          <w:sz w:val="22"/>
          <w:szCs w:val="22"/>
        </w:rPr>
      </w:pPr>
      <w:r>
        <w:rPr>
          <w:rFonts w:ascii="宋体" w:eastAsia="宋体" w:hAnsi="宋体" w:cs="宋体"/>
          <w:color w:val="231F20"/>
          <w:sz w:val="22"/>
          <w:szCs w:val="22"/>
        </w:rPr>
        <w:t>203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4"/>
          <w:sz w:val="22"/>
          <w:szCs w:val="22"/>
        </w:rPr>
        <w:t xml:space="preserve">[ 供热 ] </w:t>
      </w:r>
      <w:r>
        <w:rPr>
          <w:rFonts w:ascii="宋体" w:eastAsia="宋体" w:hAnsi="宋体" w:cs="宋体"/>
          <w:color w:val="231F20"/>
          <w:sz w:val="22"/>
          <w:szCs w:val="22"/>
        </w:rPr>
        <w:t>向热用户供应热能。</w:t>
      </w:r>
    </w:p>
    <w:p>
      <w:pPr>
        <w:widowControl w:val="0"/>
        <w:spacing w:before="82" w:after="0"/>
        <w:ind w:left="1145" w:hanging="488"/>
        <w:rPr>
          <w:rFonts w:ascii="Times New Roman" w:eastAsia="Times New Roman" w:hAnsi="Times New Roman" w:cs="Times New Roman"/>
          <w:sz w:val="22"/>
          <w:szCs w:val="22"/>
        </w:rPr>
      </w:pPr>
      <w:r>
        <w:rPr>
          <w:rFonts w:ascii="宋体" w:eastAsia="宋体" w:hAnsi="宋体" w:cs="宋体"/>
          <w:color w:val="231F20"/>
          <w:sz w:val="22"/>
          <w:szCs w:val="22"/>
        </w:rPr>
        <w:t>204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 xml:space="preserve">[ 供热系统 ] </w:t>
      </w:r>
      <w:r>
        <w:rPr>
          <w:rFonts w:ascii="宋体" w:eastAsia="宋体" w:hAnsi="宋体" w:cs="宋体"/>
          <w:color w:val="231F20"/>
          <w:sz w:val="22"/>
          <w:szCs w:val="22"/>
        </w:rPr>
        <w:t>由热源通过热网向热用户供应热能系统的总称。</w:t>
      </w:r>
    </w:p>
    <w:p>
      <w:pPr>
        <w:widowControl w:val="0"/>
        <w:spacing w:before="82" w:after="0"/>
        <w:ind w:left="657"/>
        <w:rPr>
          <w:rFonts w:ascii="Times New Roman" w:eastAsia="Times New Roman" w:hAnsi="Times New Roman" w:cs="Times New Roman"/>
          <w:sz w:val="22"/>
          <w:szCs w:val="22"/>
        </w:rPr>
      </w:pPr>
      <w:r>
        <w:rPr>
          <w:rFonts w:ascii="宋体" w:eastAsia="宋体" w:hAnsi="宋体" w:cs="宋体"/>
          <w:color w:val="231F20"/>
          <w:sz w:val="22"/>
          <w:szCs w:val="22"/>
        </w:rPr>
        <w:t>205［集中供热］</w:t>
      </w:r>
      <w:r>
        <w:rPr>
          <w:rFonts w:ascii="宋体" w:eastAsia="宋体" w:hAnsi="宋体" w:cs="宋体"/>
          <w:color w:val="231F20"/>
          <w:sz w:val="22"/>
          <w:szCs w:val="22"/>
        </w:rPr>
        <w:t>从一个或多个热源通过热网向城市、镇或某些区域热用户供热。</w:t>
      </w:r>
    </w:p>
    <w:p>
      <w:pPr>
        <w:widowControl w:val="0"/>
        <w:spacing w:before="82" w:after="0"/>
        <w:ind w:left="657"/>
        <w:rPr>
          <w:rFonts w:ascii="Times New Roman" w:eastAsia="Times New Roman" w:hAnsi="Times New Roman" w:cs="Times New Roman"/>
          <w:sz w:val="22"/>
          <w:szCs w:val="22"/>
        </w:rPr>
      </w:pPr>
      <w:r>
        <w:rPr>
          <w:rFonts w:ascii="宋体" w:eastAsia="宋体" w:hAnsi="宋体" w:cs="宋体"/>
          <w:color w:val="231F20"/>
          <w:sz w:val="22"/>
          <w:szCs w:val="22"/>
        </w:rPr>
        <w:t>206［热力管网］</w:t>
      </w:r>
      <w:r>
        <w:rPr>
          <w:rFonts w:ascii="宋体" w:eastAsia="宋体" w:hAnsi="宋体" w:cs="宋体"/>
          <w:color w:val="231F20"/>
          <w:sz w:val="22"/>
          <w:szCs w:val="22"/>
        </w:rPr>
        <w:t>由热源向热用户输送和分配供热介质的管线系统。</w:t>
      </w:r>
    </w:p>
    <w:p>
      <w:pPr>
        <w:widowControl w:val="0"/>
        <w:spacing w:before="82" w:after="0" w:line="305" w:lineRule="auto"/>
        <w:ind w:left="217" w:right="235" w:firstLine="440"/>
        <w:rPr>
          <w:rFonts w:ascii="Times New Roman" w:eastAsia="Times New Roman" w:hAnsi="Times New Roman" w:cs="Times New Roman"/>
          <w:sz w:val="22"/>
          <w:szCs w:val="22"/>
        </w:rPr>
      </w:pPr>
      <w:r>
        <w:rPr>
          <w:rFonts w:ascii="宋体" w:eastAsia="宋体" w:hAnsi="宋体" w:cs="宋体"/>
          <w:color w:val="231F20"/>
          <w:sz w:val="22"/>
          <w:szCs w:val="22"/>
        </w:rPr>
        <w:t>207</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［管道业务］</w:t>
      </w:r>
      <w:r>
        <w:rPr>
          <w:rFonts w:ascii="宋体" w:eastAsia="宋体" w:hAnsi="宋体" w:cs="宋体"/>
          <w:color w:val="231F20"/>
          <w:sz w:val="22"/>
          <w:szCs w:val="22"/>
        </w:rPr>
        <w:t>在本协议规定的范围内，依照本协议价格机制制定的价格向使用者提供的管道热力及相关有偿服务的经营业务。</w:t>
      </w:r>
    </w:p>
    <w:p>
      <w:pPr>
        <w:widowControl w:val="0"/>
        <w:spacing w:before="14" w:after="0"/>
        <w:ind w:left="1075" w:hanging="418"/>
        <w:rPr>
          <w:rFonts w:ascii="Times New Roman" w:eastAsia="Times New Roman" w:hAnsi="Times New Roman" w:cs="Times New Roman"/>
          <w:sz w:val="22"/>
          <w:szCs w:val="22"/>
        </w:rPr>
      </w:pPr>
      <w:r>
        <w:rPr>
          <w:rFonts w:ascii="宋体" w:eastAsia="宋体" w:hAnsi="宋体" w:cs="宋体"/>
          <w:color w:val="231F20"/>
          <w:sz w:val="22"/>
          <w:szCs w:val="22"/>
        </w:rPr>
        <w:t>208</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［违约］</w:t>
      </w:r>
      <w:r>
        <w:rPr>
          <w:rFonts w:ascii="宋体" w:eastAsia="宋体" w:hAnsi="宋体" w:cs="宋体"/>
          <w:color w:val="231F20"/>
          <w:sz w:val="22"/>
          <w:szCs w:val="22"/>
        </w:rPr>
        <w:t>指本协议签约任何一方未能履行其在本协议项下的任何义务，而且这种违约</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不能归咎于另一方违反本协议的作为或不作为或不可抗力等。</w:t>
      </w:r>
    </w:p>
    <w:p>
      <w:pPr>
        <w:widowControl w:val="0"/>
        <w:spacing w:before="83" w:after="0" w:line="305"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209</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［特许经营权］</w:t>
      </w:r>
      <w:r>
        <w:rPr>
          <w:rFonts w:ascii="宋体" w:eastAsia="宋体" w:hAnsi="宋体" w:cs="宋体"/>
          <w:color w:val="231F20"/>
          <w:sz w:val="22"/>
          <w:szCs w:val="22"/>
        </w:rPr>
        <w:t>本协议规定之特许经营权为特许经营供热业务专营权，即在其有效期限和规定地域内，特许经营权受让方独自占有该项业务的经营权利。</w:t>
      </w:r>
    </w:p>
    <w:p>
      <w:pPr>
        <w:widowControl w:val="0"/>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210［户内共用管道热力设施］</w:t>
      </w:r>
      <w:r>
        <w:rPr>
          <w:rFonts w:ascii="宋体" w:eastAsia="宋体" w:hAnsi="宋体" w:cs="宋体"/>
          <w:color w:val="231F20"/>
          <w:sz w:val="22"/>
          <w:szCs w:val="22"/>
        </w:rPr>
        <w:t>用户楼前引入管、楼内立管、水平管及阀门等热力设施。</w:t>
      </w:r>
    </w:p>
    <w:p>
      <w:pPr>
        <w:widowControl w:val="0"/>
        <w:spacing w:before="83" w:after="0" w:line="305" w:lineRule="auto"/>
        <w:ind w:left="117" w:right="107" w:firstLine="440"/>
        <w:rPr>
          <w:rFonts w:ascii="Times New Roman" w:eastAsia="Times New Roman" w:hAnsi="Times New Roman" w:cs="Times New Roman"/>
          <w:sz w:val="22"/>
          <w:szCs w:val="22"/>
        </w:rPr>
      </w:pPr>
      <w:r>
        <w:rPr>
          <w:rFonts w:ascii="宋体" w:eastAsia="宋体" w:hAnsi="宋体" w:cs="宋体"/>
          <w:color w:val="231F20"/>
          <w:sz w:val="22"/>
          <w:szCs w:val="22"/>
        </w:rPr>
        <w:t>211</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［用户自用管道热力设施］</w:t>
      </w:r>
      <w:r>
        <w:rPr>
          <w:rFonts w:ascii="宋体" w:eastAsia="宋体" w:hAnsi="宋体" w:cs="宋体"/>
          <w:color w:val="231F20"/>
          <w:spacing w:val="1"/>
          <w:sz w:val="22"/>
          <w:szCs w:val="22"/>
        </w:rPr>
        <w:t>自户内共用热力管道引入到用户室内的热力管道、阀门、计量表等设施。</w:t>
      </w:r>
    </w:p>
    <w:p>
      <w:pPr>
        <w:widowControl w:val="0"/>
        <w:spacing w:before="14" w:after="0" w:line="305" w:lineRule="auto"/>
        <w:ind w:left="117" w:right="211" w:firstLine="440"/>
        <w:rPr>
          <w:rFonts w:ascii="Times New Roman" w:eastAsia="Times New Roman" w:hAnsi="Times New Roman" w:cs="Times New Roman"/>
          <w:sz w:val="22"/>
          <w:szCs w:val="22"/>
        </w:rPr>
      </w:pPr>
      <w:r>
        <w:rPr>
          <w:rFonts w:ascii="宋体" w:eastAsia="宋体" w:hAnsi="宋体" w:cs="宋体"/>
          <w:color w:val="231F20"/>
          <w:sz w:val="22"/>
          <w:szCs w:val="22"/>
        </w:rPr>
        <w:t>212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［热力紧急事件］</w:t>
      </w:r>
      <w:r>
        <w:rPr>
          <w:rFonts w:ascii="宋体" w:eastAsia="宋体" w:hAnsi="宋体" w:cs="宋体"/>
          <w:color w:val="231F20"/>
          <w:sz w:val="22"/>
          <w:szCs w:val="22"/>
        </w:rPr>
        <w:t>涉及供热采暖需要紧急采取应急措施的事件，包括爆炸、泄漏以及管道热力设施紧急利用等。</w:t>
      </w:r>
    </w:p>
    <w:p>
      <w:pPr>
        <w:widowControl w:val="0"/>
        <w:spacing w:before="14" w:after="0" w:line="305" w:lineRule="auto"/>
        <w:ind w:left="117" w:right="211" w:firstLine="440"/>
        <w:rPr>
          <w:rFonts w:ascii="Times New Roman" w:eastAsia="Times New Roman" w:hAnsi="Times New Roman" w:cs="Times New Roman"/>
          <w:sz w:val="22"/>
          <w:szCs w:val="22"/>
        </w:rPr>
      </w:pPr>
      <w:r>
        <w:rPr>
          <w:rFonts w:ascii="宋体" w:eastAsia="宋体" w:hAnsi="宋体" w:cs="宋体"/>
          <w:color w:val="231F20"/>
          <w:sz w:val="22"/>
          <w:szCs w:val="22"/>
        </w:rPr>
        <w:t>213</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5"/>
          <w:sz w:val="22"/>
          <w:szCs w:val="22"/>
        </w:rPr>
        <w:t xml:space="preserve">[ 履约保函 ] </w:t>
      </w:r>
      <w:r>
        <w:rPr>
          <w:rFonts w:ascii="宋体" w:eastAsia="宋体" w:hAnsi="宋体" w:cs="宋体"/>
          <w:color w:val="231F20"/>
          <w:sz w:val="22"/>
          <w:szCs w:val="22"/>
        </w:rPr>
        <w:t>指为保证协议的正常履行，由金融机构通过保函形式向乙方提取的履约保证金，分为建设期履约保函，运营与维护保函，移交保函。</w:t>
      </w:r>
    </w:p>
    <w:p>
      <w:pPr>
        <w:widowControl w:val="0"/>
        <w:spacing w:before="14" w:after="0"/>
        <w:ind w:left="1045" w:hanging="488"/>
        <w:rPr>
          <w:rFonts w:ascii="Times New Roman" w:eastAsia="Times New Roman" w:hAnsi="Times New Roman" w:cs="Times New Roman"/>
          <w:sz w:val="22"/>
          <w:szCs w:val="22"/>
        </w:rPr>
      </w:pPr>
      <w:r>
        <w:rPr>
          <w:rFonts w:ascii="宋体" w:eastAsia="宋体" w:hAnsi="宋体" w:cs="宋体"/>
          <w:color w:val="231F20"/>
          <w:sz w:val="22"/>
          <w:szCs w:val="22"/>
        </w:rPr>
        <w:t>214</w:t>
      </w:r>
      <w:r>
        <w:rPr>
          <w:rFonts w:ascii="宋体" w:eastAsia="宋体" w:hAnsi="宋体" w:cs="宋体"/>
          <w:b w:val="0"/>
          <w:bCs w:val="0"/>
          <w:i w:val="0"/>
          <w:iCs w:val="0"/>
          <w:smallCaps w:val="0"/>
          <w:sz w:val="14"/>
          <w:szCs w:val="14"/>
        </w:rPr>
        <w:t xml:space="preserve">  </w:t>
      </w:r>
      <w:r>
        <w:rPr>
          <w:rFonts w:ascii="宋体" w:eastAsia="宋体" w:hAnsi="宋体" w:cs="宋体"/>
          <w:color w:val="231F20"/>
          <w:spacing w:val="-1"/>
          <w:sz w:val="22"/>
          <w:szCs w:val="22"/>
        </w:rPr>
        <w:t>日、月、季度、年</w:t>
      </w:r>
      <w:r>
        <w:rPr>
          <w:rFonts w:ascii="宋体" w:eastAsia="宋体" w:hAnsi="宋体" w:cs="宋体"/>
          <w:color w:val="231F20"/>
          <w:spacing w:val="-8"/>
          <w:sz w:val="22"/>
          <w:szCs w:val="22"/>
        </w:rPr>
        <w:t>：均指公历的日、月、季度和年。</w:t>
      </w:r>
    </w:p>
    <w:p>
      <w:pPr>
        <w:widowControl w:val="0"/>
        <w:spacing w:before="4" w:after="0"/>
        <w:rPr>
          <w:rFonts w:ascii="Times New Roman" w:eastAsia="Times New Roman" w:hAnsi="Times New Roman" w:cs="Times New Roman"/>
          <w:sz w:val="16"/>
          <w:szCs w:val="16"/>
        </w:rPr>
      </w:pPr>
    </w:p>
    <w:p>
      <w:pPr>
        <w:widowControl w:val="0"/>
        <w:tabs>
          <w:tab w:val="left" w:pos="3332"/>
        </w:tabs>
        <w:spacing w:before="0" w:after="0"/>
        <w:ind w:left="2372"/>
        <w:rPr>
          <w:rFonts w:ascii="Times New Roman" w:eastAsia="Times New Roman" w:hAnsi="Times New Roman" w:cs="Times New Roman"/>
          <w:sz w:val="24"/>
          <w:szCs w:val="24"/>
        </w:rPr>
      </w:pPr>
      <w:r>
        <w:rPr>
          <w:rFonts w:ascii="宋体" w:eastAsia="宋体" w:hAnsi="宋体" w:cs="宋体"/>
          <w:color w:val="231F20"/>
        </w:rPr>
        <w:t>第三章</w:t>
      </w:r>
      <w:r>
        <w:rPr>
          <w:rFonts w:ascii="宋体" w:eastAsia="宋体" w:hAnsi="宋体" w:cs="宋体"/>
          <w:color w:val="231F20"/>
          <w:sz w:val="24"/>
          <w:szCs w:val="24"/>
        </w:rPr>
        <w:tab/>
      </w:r>
      <w:r>
        <w:rPr>
          <w:rFonts w:ascii="宋体" w:eastAsia="宋体" w:hAnsi="宋体" w:cs="宋体"/>
          <w:color w:val="231F20"/>
        </w:rPr>
        <w:t>特许经营权授予、期限及履约担保</w:t>
      </w:r>
    </w:p>
    <w:p>
      <w:pPr>
        <w:widowControl w:val="0"/>
        <w:spacing w:before="8" w:after="0"/>
        <w:rPr>
          <w:rFonts w:ascii="Times New Roman" w:eastAsia="Times New Roman" w:hAnsi="Times New Roman" w:cs="Times New Roman"/>
          <w:sz w:val="16"/>
          <w:szCs w:val="16"/>
        </w:rPr>
      </w:pPr>
    </w:p>
    <w:p>
      <w:pPr>
        <w:widowControl w:val="0"/>
        <w:spacing w:before="0" w:after="0"/>
        <w:ind w:left="1045" w:hanging="488"/>
        <w:rPr>
          <w:rFonts w:ascii="Times New Roman" w:eastAsia="Times New Roman" w:hAnsi="Times New Roman" w:cs="Times New Roman"/>
          <w:sz w:val="22"/>
          <w:szCs w:val="22"/>
        </w:rPr>
      </w:pPr>
      <w:r>
        <w:rPr>
          <w:rFonts w:ascii="宋体" w:eastAsia="宋体" w:hAnsi="宋体" w:cs="宋体"/>
          <w:color w:val="231F20"/>
          <w:spacing w:val="-1"/>
          <w:sz w:val="22"/>
          <w:szCs w:val="22"/>
        </w:rPr>
        <w:t>301</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特许经营权授予</w:t>
      </w:r>
    </w:p>
    <w:p>
      <w:pPr>
        <w:widowControl w:val="0"/>
        <w:spacing w:before="101"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z w:val="22"/>
          <w:szCs w:val="22"/>
        </w:rPr>
        <w:t>甲方自本协议生效之日起，授予乙方在本协议有效期限和规定地域内，独家享有供热业务的经营权利（</w:t>
      </w:r>
      <w:r>
        <w:rPr>
          <w:rFonts w:ascii="宋体" w:eastAsia="宋体" w:hAnsi="宋体" w:cs="宋体"/>
          <w:color w:val="231F20"/>
          <w:spacing w:val="-7"/>
          <w:sz w:val="22"/>
          <w:szCs w:val="22"/>
        </w:rPr>
        <w:t>以下简称“特许经营权”</w:t>
      </w:r>
      <w:r>
        <w:rPr>
          <w:rFonts w:ascii="宋体" w:eastAsia="宋体" w:hAnsi="宋体" w:cs="宋体"/>
          <w:color w:val="231F20"/>
          <w:spacing w:val="-69"/>
          <w:sz w:val="22"/>
          <w:szCs w:val="22"/>
        </w:rPr>
        <w:t>）</w:t>
      </w:r>
      <w:r>
        <w:rPr>
          <w:rFonts w:ascii="宋体" w:eastAsia="宋体" w:hAnsi="宋体" w:cs="宋体"/>
          <w:color w:val="231F20"/>
          <w:sz w:val="22"/>
          <w:szCs w:val="22"/>
        </w:rPr>
        <w:t>。</w:t>
      </w:r>
    </w:p>
    <w:p>
      <w:pPr>
        <w:widowControl w:val="0"/>
        <w:spacing w:before="20"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z w:val="22"/>
          <w:szCs w:val="22"/>
        </w:rPr>
        <w:t>甲方应当于本协议生效之日起 5 个工作日内向乙方发放特许经营权证书，并以适当方式公示。</w:t>
      </w:r>
    </w:p>
    <w:p>
      <w:pPr>
        <w:widowControl w:val="0"/>
        <w:spacing w:before="14" w:after="0"/>
        <w:ind w:left="1045" w:hanging="488"/>
        <w:rPr>
          <w:rFonts w:ascii="Times New Roman" w:eastAsia="Times New Roman" w:hAnsi="Times New Roman" w:cs="Times New Roman"/>
          <w:sz w:val="22"/>
          <w:szCs w:val="22"/>
        </w:rPr>
      </w:pPr>
      <w:r>
        <w:rPr>
          <w:rFonts w:ascii="宋体" w:eastAsia="宋体" w:hAnsi="宋体" w:cs="宋体"/>
          <w:color w:val="231F20"/>
          <w:spacing w:val="-1"/>
          <w:sz w:val="22"/>
          <w:szCs w:val="22"/>
        </w:rPr>
        <w:t>302</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特许经营期限</w:t>
      </w:r>
    </w:p>
    <w:p>
      <w:pPr>
        <w:widowControl w:val="0"/>
        <w:tabs>
          <w:tab w:val="left" w:pos="7396"/>
          <w:tab w:val="left" w:pos="8957"/>
        </w:tabs>
        <w:spacing w:before="101" w:after="0"/>
        <w:ind w:left="557"/>
        <w:rPr>
          <w:rFonts w:ascii="方正书宋_GBK" w:eastAsia="方正书宋_GBK" w:hAnsi="方正书宋_GBK" w:cs="方正书宋_GBK"/>
          <w:sz w:val="20"/>
          <w:szCs w:val="20"/>
          <w:u w:val="single"/>
        </w:rPr>
      </w:pPr>
      <w:r>
        <w:rPr>
          <w:rFonts w:ascii="宋体" w:eastAsia="宋体" w:hAnsi="宋体" w:cs="宋体"/>
          <w:color w:val="231F20"/>
          <w:spacing w:val="10"/>
          <w:sz w:val="22"/>
          <w:szCs w:val="22"/>
        </w:rPr>
        <w:t>本协议之特许经营权有效期限为自本协议生效之日起</w:t>
      </w:r>
      <w:r>
        <w:rPr>
          <w:rFonts w:ascii="宋体" w:eastAsia="宋体" w:hAnsi="宋体" w:cs="宋体"/>
          <w:color w:val="231F20"/>
          <w:sz w:val="22"/>
          <w:szCs w:val="22"/>
        </w:rPr>
        <w:t>计</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pacing w:val="10"/>
          <w:sz w:val="22"/>
          <w:szCs w:val="22"/>
        </w:rPr>
        <w:t>。</w:t>
      </w:r>
      <w:r>
        <w:rPr>
          <w:rFonts w:ascii="宋体" w:eastAsia="宋体" w:hAnsi="宋体" w:cs="宋体"/>
          <w:color w:val="231F20"/>
          <w:sz w:val="22"/>
          <w:szCs w:val="22"/>
        </w:rPr>
        <w:t>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p>
    <w:p>
      <w:pPr>
        <w:widowControl w:val="0"/>
        <w:tabs>
          <w:tab w:val="left" w:pos="557"/>
          <w:tab w:val="left" w:pos="1217"/>
          <w:tab w:val="left" w:pos="2757"/>
          <w:tab w:val="left" w:pos="3417"/>
          <w:tab w:val="left" w:pos="4077"/>
        </w:tabs>
        <w:spacing w:before="88"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日起至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日止。</w:t>
      </w:r>
    </w:p>
    <w:p>
      <w:pPr>
        <w:widowControl w:val="0"/>
        <w:spacing w:before="82" w:after="0"/>
        <w:ind w:left="1045" w:hanging="488"/>
        <w:rPr>
          <w:rFonts w:ascii="Times New Roman" w:eastAsia="Times New Roman" w:hAnsi="Times New Roman" w:cs="Times New Roman"/>
          <w:sz w:val="22"/>
          <w:szCs w:val="22"/>
        </w:rPr>
      </w:pPr>
      <w:r>
        <w:rPr>
          <w:rFonts w:ascii="宋体" w:eastAsia="宋体" w:hAnsi="宋体" w:cs="宋体"/>
          <w:color w:val="231F20"/>
          <w:spacing w:val="-1"/>
          <w:sz w:val="22"/>
          <w:szCs w:val="22"/>
        </w:rPr>
        <w:t>303</w:t>
      </w:r>
      <w:r>
        <w:rPr>
          <w:rFonts w:ascii="宋体" w:eastAsia="宋体" w:hAnsi="宋体" w:cs="宋体"/>
          <w:b w:val="0"/>
          <w:bCs w:val="0"/>
          <w:i w:val="0"/>
          <w:iCs w:val="0"/>
          <w:smallCaps w:val="0"/>
          <w:sz w:val="14"/>
          <w:szCs w:val="14"/>
        </w:rPr>
        <w:t xml:space="preserve">  </w:t>
      </w:r>
      <w:r>
        <w:rPr>
          <w:rFonts w:ascii="宋体" w:eastAsia="宋体" w:hAnsi="宋体" w:cs="宋体"/>
          <w:color w:val="231F20"/>
          <w:sz w:val="22"/>
          <w:szCs w:val="22"/>
        </w:rPr>
        <w:t>特许经营履约担保</w:t>
      </w:r>
    </w:p>
    <w:p>
      <w:pPr>
        <w:widowControl w:val="0"/>
        <w:numPr>
          <w:ilvl w:val="0"/>
          <w:numId w:val="1"/>
        </w:numPr>
        <w:tabs>
          <w:tab w:val="left" w:pos="867"/>
        </w:tabs>
        <w:spacing w:before="101" w:line="305" w:lineRule="auto"/>
        <w:ind w:left="117" w:right="216"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乙方应在签订协议前十五日内向甲方提供双方能接受的信誉良好的金融机构出具的履约保函，以保证乙方履行本协议规定的义务。履约保函分作建设期保函、运营维护保函和移交保函，移交保函可并入运营维护保函。</w:t>
      </w:r>
    </w:p>
    <w:p>
      <w:pPr>
        <w:widowControl w:val="0"/>
        <w:numPr>
          <w:ilvl w:val="0"/>
          <w:numId w:val="1"/>
        </w:numPr>
        <w:tabs>
          <w:tab w:val="left" w:pos="867"/>
        </w:tabs>
        <w:spacing w:before="20" w:line="305" w:lineRule="auto"/>
        <w:ind w:left="117" w:right="208"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2"/>
          <w:sz w:val="22"/>
          <w:szCs w:val="22"/>
        </w:rPr>
        <w:t>特许经营期间，乙方如拒绝履行本协议规定的义务、支付违约金或不及时实施事故处</w:t>
      </w:r>
      <w:r>
        <w:rPr>
          <w:rFonts w:ascii="宋体" w:eastAsia="宋体" w:hAnsi="宋体" w:cs="宋体"/>
          <w:color w:val="231F20"/>
          <w:sz w:val="22"/>
          <w:szCs w:val="22"/>
        </w:rPr>
        <w:t>理，甲方可以提取履约担保作为违约金或用于事故处理，但不能挪作他用。</w:t>
      </w:r>
    </w:p>
    <w:p>
      <w:pPr>
        <w:widowControl w:val="0"/>
        <w:numPr>
          <w:ilvl w:val="0"/>
          <w:numId w:val="1"/>
        </w:numPr>
        <w:tabs>
          <w:tab w:val="left" w:pos="867"/>
          <w:tab w:val="left" w:pos="3220"/>
          <w:tab w:val="left" w:pos="6951"/>
        </w:tabs>
        <w:spacing w:before="20" w:line="305" w:lineRule="auto"/>
        <w:ind w:left="117" w:right="210" w:firstLine="440"/>
        <w:jc w:val="both"/>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履约担保金额共</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元</w:t>
      </w:r>
      <w:r>
        <w:rPr>
          <w:rFonts w:ascii="宋体" w:eastAsia="宋体" w:hAnsi="宋体" w:cs="宋体"/>
          <w:color w:val="231F20"/>
          <w:spacing w:val="11"/>
          <w:sz w:val="22"/>
          <w:szCs w:val="22"/>
        </w:rPr>
        <w:t xml:space="preserve"> </w:t>
      </w:r>
      <w:r>
        <w:rPr>
          <w:rFonts w:ascii="宋体" w:eastAsia="宋体" w:hAnsi="宋体" w:cs="宋体"/>
          <w:color w:val="231F20"/>
          <w:sz w:val="22"/>
          <w:szCs w:val="22"/>
        </w:rPr>
        <w:t>,</w:t>
      </w:r>
      <w:r>
        <w:rPr>
          <w:rFonts w:ascii="宋体" w:eastAsia="宋体" w:hAnsi="宋体" w:cs="宋体"/>
          <w:color w:val="231F20"/>
          <w:spacing w:val="11"/>
          <w:sz w:val="22"/>
          <w:szCs w:val="22"/>
        </w:rPr>
        <w:t xml:space="preserve"> </w:t>
      </w:r>
      <w:r>
        <w:rPr>
          <w:rFonts w:ascii="宋体" w:eastAsia="宋体" w:hAnsi="宋体" w:cs="宋体"/>
          <w:color w:val="231F20"/>
          <w:sz w:val="22"/>
          <w:szCs w:val="22"/>
        </w:rPr>
        <w:t>其中建设期履约担保金额</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z w:val="22"/>
          <w:szCs w:val="22"/>
        </w:rPr>
        <w:t xml:space="preserve">元、运营维护履约担保 </w:t>
      </w:r>
      <w:r>
        <w:rPr>
          <w:rFonts w:ascii="宋体" w:eastAsia="宋体" w:hAnsi="宋体" w:cs="宋体"/>
          <w:color w:val="231F20"/>
          <w:spacing w:val="5"/>
          <w:sz w:val="22"/>
          <w:szCs w:val="22"/>
        </w:rPr>
        <w:t>金</w:t>
      </w:r>
      <w:r>
        <w:rPr>
          <w:rFonts w:ascii="宋体" w:eastAsia="宋体" w:hAnsi="宋体" w:cs="宋体"/>
          <w:color w:val="231F20"/>
          <w:sz w:val="22"/>
          <w:szCs w:val="22"/>
        </w:rPr>
        <w:t>额</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         </w:t>
      </w:r>
      <w:r>
        <w:rPr>
          <w:rFonts w:ascii="宋体" w:eastAsia="宋体" w:hAnsi="宋体" w:cs="宋体"/>
          <w:color w:val="231F20"/>
          <w:sz w:val="22"/>
          <w:szCs w:val="22"/>
        </w:rPr>
        <w:t>元</w:t>
      </w:r>
      <w:r>
        <w:rPr>
          <w:rFonts w:ascii="宋体" w:eastAsia="宋体" w:hAnsi="宋体" w:cs="宋体"/>
          <w:color w:val="231F20"/>
          <w:spacing w:val="5"/>
          <w:sz w:val="22"/>
          <w:szCs w:val="22"/>
        </w:rPr>
        <w:t>、移交履约担保金</w:t>
      </w:r>
      <w:r>
        <w:rPr>
          <w:rFonts w:ascii="宋体" w:eastAsia="宋体" w:hAnsi="宋体" w:cs="宋体"/>
          <w:color w:val="231F20"/>
          <w:sz w:val="22"/>
          <w:szCs w:val="22"/>
        </w:rPr>
        <w:t>额</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r>
        <w:rPr>
          <w:rFonts w:ascii="宋体" w:eastAsia="宋体" w:hAnsi="宋体" w:cs="宋体"/>
          <w:color w:val="231F20"/>
          <w:spacing w:val="-110"/>
          <w:sz w:val="22"/>
          <w:szCs w:val="22"/>
        </w:rPr>
        <w:t>。</w:t>
      </w:r>
      <w:r>
        <w:rPr>
          <w:rFonts w:ascii="宋体" w:eastAsia="宋体" w:hAnsi="宋体" w:cs="宋体"/>
          <w:color w:val="231F20"/>
          <w:spacing w:val="5"/>
          <w:sz w:val="22"/>
          <w:szCs w:val="22"/>
        </w:rPr>
        <w:t>（履约担保金额根据特许经营有效期限和规</w:t>
      </w:r>
      <w:r>
        <w:rPr>
          <w:rFonts w:ascii="宋体" w:eastAsia="宋体" w:hAnsi="宋体" w:cs="宋体"/>
          <w:color w:val="231F20"/>
          <w:sz w:val="22"/>
          <w:szCs w:val="22"/>
        </w:rPr>
        <w:t>定区域内用户数、用热量和用热性质等具体情况由协议双方商定</w:t>
      </w:r>
      <w:r>
        <w:rPr>
          <w:rFonts w:ascii="宋体" w:eastAsia="宋体" w:hAnsi="宋体" w:cs="宋体"/>
          <w:color w:val="231F20"/>
          <w:spacing w:val="-110"/>
          <w:sz w:val="22"/>
          <w:szCs w:val="22"/>
        </w:rPr>
        <w:t>。</w:t>
      </w:r>
      <w:r>
        <w:rPr>
          <w:rFonts w:ascii="宋体" w:eastAsia="宋体" w:hAnsi="宋体" w:cs="宋体"/>
          <w:color w:val="231F20"/>
          <w:sz w:val="22"/>
          <w:szCs w:val="22"/>
        </w:rPr>
        <w:t>）</w:t>
      </w:r>
    </w:p>
    <w:p>
      <w:pPr>
        <w:widowControl w:val="0"/>
        <w:numPr>
          <w:ilvl w:val="0"/>
          <w:numId w:val="1"/>
        </w:numPr>
        <w:tabs>
          <w:tab w:val="left" w:pos="867"/>
        </w:tabs>
        <w:spacing w:before="20" w:after="0"/>
        <w:ind w:left="117" w:right="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凡用于乙方违约金及事故处理等费用支出的部分履约担保金额，乙方须于事项处理后的</w:t>
      </w:r>
    </w:p>
    <w:p>
      <w:pPr>
        <w:widowControl w:val="0"/>
        <w:spacing w:before="89" w:after="0"/>
        <w:ind w:left="117"/>
        <w:rPr>
          <w:rFonts w:ascii="Times New Roman" w:eastAsia="Times New Roman" w:hAnsi="Times New Roman" w:cs="Times New Roman"/>
          <w:sz w:val="22"/>
          <w:szCs w:val="22"/>
        </w:rPr>
      </w:pPr>
      <w:r>
        <w:rPr>
          <w:rFonts w:ascii="宋体" w:eastAsia="宋体" w:hAnsi="宋体" w:cs="宋体"/>
          <w:color w:val="231F20"/>
          <w:sz w:val="22"/>
          <w:szCs w:val="22"/>
        </w:rPr>
        <w:t>10 日内向甲方补齐履约担保金额。</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59"/>
        </w:tabs>
        <w:spacing w:before="10" w:after="0"/>
        <w:jc w:val="center"/>
        <w:rPr>
          <w:rFonts w:ascii="Times New Roman" w:eastAsia="Times New Roman" w:hAnsi="Times New Roman" w:cs="Times New Roman"/>
          <w:sz w:val="24"/>
          <w:szCs w:val="24"/>
        </w:rPr>
      </w:pPr>
      <w:r>
        <w:rPr>
          <w:rFonts w:ascii="宋体" w:eastAsia="宋体" w:hAnsi="宋体" w:cs="宋体"/>
          <w:color w:val="231F20"/>
        </w:rPr>
        <w:t>第四章</w:t>
      </w:r>
      <w:r>
        <w:rPr>
          <w:rFonts w:ascii="宋体" w:eastAsia="宋体" w:hAnsi="宋体" w:cs="宋体"/>
          <w:color w:val="231F20"/>
          <w:sz w:val="24"/>
          <w:szCs w:val="24"/>
        </w:rPr>
        <w:tab/>
      </w:r>
      <w:r>
        <w:rPr>
          <w:rFonts w:ascii="宋体" w:eastAsia="宋体" w:hAnsi="宋体" w:cs="宋体"/>
          <w:color w:val="231F20"/>
        </w:rPr>
        <w:t>特许经营权范围与实施</w:t>
      </w:r>
    </w:p>
    <w:p>
      <w:pPr>
        <w:widowControl w:val="0"/>
        <w:spacing w:before="8"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401 特许经营权地域</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甲方根据本协议确定授予乙方对下列地域的供热享有特许经营权。</w:t>
      </w:r>
    </w:p>
    <w:p>
      <w:pPr>
        <w:widowControl w:val="0"/>
        <w:numPr>
          <w:ilvl w:val="0"/>
          <w:numId w:val="2"/>
        </w:numPr>
        <w:spacing w:before="88"/>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描述</w:t>
      </w:r>
    </w:p>
    <w:p>
      <w:pPr>
        <w:widowControl w:val="0"/>
        <w:numPr>
          <w:ilvl w:val="0"/>
          <w:numId w:val="2"/>
        </w:numPr>
        <w:spacing w:before="88"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附图</w:t>
      </w:r>
    </w:p>
    <w:p>
      <w:pPr>
        <w:widowControl w:val="0"/>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 附件三：特许经营权地域范围图示 )</w:t>
      </w:r>
    </w:p>
    <w:p>
      <w:pPr>
        <w:widowControl w:val="0"/>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402 特许经营权范围</w:t>
      </w:r>
    </w:p>
    <w:p>
      <w:pPr>
        <w:widowControl w:val="0"/>
        <w:spacing w:before="10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本协议规定之特许经营权的范围为在规定的特许经营期限和地域范围内，乙方对该地域供热进行的投资、建设、运营和移交，乙方不得擅自拓展特许经营权地域范围。</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403 特许经营权的实施</w:t>
      </w:r>
    </w:p>
    <w:p>
      <w:pPr>
        <w:widowControl w:val="0"/>
        <w:spacing w:before="102" w:after="0" w:line="305"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在特许经营期间，甲方不得将本项目特许经营权授予第三者或无故终止特许经营权，不得无故减少乙方特许经营权范围或妨碍特许经营权的实施，但本协议规定的特许经营权终止和撤销的情况除外。</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pacing w:val="-5"/>
          <w:sz w:val="22"/>
          <w:szCs w:val="22"/>
        </w:rPr>
        <w:t>在特许经营期间，乙方不得将特许经营权及相关权益进行出租、抵押或质押给任何第三方。</w:t>
      </w:r>
    </w:p>
    <w:p>
      <w:pPr>
        <w:widowControl w:val="0"/>
        <w:spacing w:before="5" w:after="0"/>
        <w:rPr>
          <w:rFonts w:ascii="Times New Roman" w:eastAsia="Times New Roman" w:hAnsi="Times New Roman" w:cs="Times New Roman"/>
          <w:sz w:val="16"/>
          <w:szCs w:val="16"/>
        </w:rPr>
      </w:pPr>
    </w:p>
    <w:p>
      <w:pPr>
        <w:widowControl w:val="0"/>
        <w:tabs>
          <w:tab w:val="left" w:pos="959"/>
        </w:tabs>
        <w:spacing w:before="0" w:after="0"/>
        <w:jc w:val="center"/>
        <w:rPr>
          <w:rFonts w:ascii="Times New Roman" w:eastAsia="Times New Roman" w:hAnsi="Times New Roman" w:cs="Times New Roman"/>
          <w:sz w:val="24"/>
          <w:szCs w:val="24"/>
        </w:rPr>
      </w:pPr>
      <w:r>
        <w:rPr>
          <w:rFonts w:ascii="宋体" w:eastAsia="宋体" w:hAnsi="宋体" w:cs="宋体"/>
          <w:color w:val="231F20"/>
        </w:rPr>
        <w:t>第五章</w:t>
      </w:r>
      <w:r>
        <w:rPr>
          <w:rFonts w:ascii="宋体" w:eastAsia="宋体" w:hAnsi="宋体" w:cs="宋体"/>
          <w:color w:val="231F20"/>
          <w:sz w:val="24"/>
          <w:szCs w:val="24"/>
        </w:rPr>
        <w:tab/>
      </w:r>
      <w:r>
        <w:rPr>
          <w:rFonts w:ascii="宋体" w:eastAsia="宋体" w:hAnsi="宋体" w:cs="宋体"/>
          <w:color w:val="231F20"/>
        </w:rPr>
        <w:t>供热设施的所有权与经营权</w:t>
      </w:r>
    </w:p>
    <w:p>
      <w:pPr>
        <w:widowControl w:val="0"/>
        <w:spacing w:before="8" w:after="0"/>
        <w:rPr>
          <w:rFonts w:ascii="Times New Roman" w:eastAsia="Times New Roman" w:hAnsi="Times New Roman" w:cs="Times New Roman"/>
          <w:sz w:val="16"/>
          <w:szCs w:val="16"/>
        </w:rPr>
      </w:pPr>
    </w:p>
    <w:p>
      <w:pPr>
        <w:widowControl w:val="0"/>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501 </w:t>
      </w:r>
      <w:r>
        <w:rPr>
          <w:rFonts w:ascii="宋体" w:eastAsia="宋体" w:hAnsi="宋体" w:cs="宋体"/>
          <w:color w:val="231F20"/>
          <w:sz w:val="22"/>
          <w:szCs w:val="22"/>
        </w:rPr>
        <w:t>供热设施的所有权依照相关法律确定权属。</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502 </w:t>
      </w:r>
      <w:r>
        <w:rPr>
          <w:rFonts w:ascii="宋体" w:eastAsia="宋体" w:hAnsi="宋体" w:cs="宋体"/>
          <w:color w:val="231F20"/>
          <w:sz w:val="22"/>
          <w:szCs w:val="22"/>
        </w:rPr>
        <w:t>在本协议规定的特许经营期限和地域范围内，供热设施经营权和维修权由乙方拥有。</w:t>
      </w:r>
    </w:p>
    <w:p>
      <w:pPr>
        <w:widowControl w:val="0"/>
        <w:spacing w:before="4" w:after="0"/>
        <w:rPr>
          <w:rFonts w:ascii="Times New Roman" w:eastAsia="Times New Roman" w:hAnsi="Times New Roman" w:cs="Times New Roman"/>
          <w:sz w:val="16"/>
          <w:szCs w:val="16"/>
        </w:rPr>
      </w:pPr>
    </w:p>
    <w:p>
      <w:pPr>
        <w:widowControl w:val="0"/>
        <w:tabs>
          <w:tab w:val="left" w:pos="959"/>
        </w:tabs>
        <w:spacing w:before="1" w:after="0"/>
        <w:jc w:val="center"/>
        <w:rPr>
          <w:rFonts w:ascii="Times New Roman" w:eastAsia="Times New Roman" w:hAnsi="Times New Roman" w:cs="Times New Roman"/>
          <w:sz w:val="24"/>
          <w:szCs w:val="24"/>
        </w:rPr>
      </w:pPr>
      <w:r>
        <w:rPr>
          <w:rFonts w:ascii="宋体" w:eastAsia="宋体" w:hAnsi="宋体" w:cs="宋体"/>
          <w:color w:val="231F20"/>
        </w:rPr>
        <w:t>第六章</w:t>
      </w:r>
      <w:r>
        <w:rPr>
          <w:rFonts w:ascii="宋体" w:eastAsia="宋体" w:hAnsi="宋体" w:cs="宋体"/>
          <w:color w:val="231F20"/>
          <w:sz w:val="24"/>
          <w:szCs w:val="24"/>
        </w:rPr>
        <w:tab/>
      </w:r>
      <w:r>
        <w:rPr>
          <w:rFonts w:ascii="宋体" w:eastAsia="宋体" w:hAnsi="宋体" w:cs="宋体"/>
          <w:color w:val="231F20"/>
        </w:rPr>
        <w:t>供热设施的建设投资与建设用地</w:t>
      </w:r>
    </w:p>
    <w:p>
      <w:pPr>
        <w:widowControl w:val="0"/>
        <w:spacing w:before="9"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601 供热设施的建设投资</w:t>
      </w:r>
    </w:p>
    <w:p>
      <w:pPr>
        <w:widowControl w:val="0"/>
        <w:spacing w:before="102"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在本协议规定的特许经营期限和地域范围内供热设施建设投资权利和义务属于乙方，投资和建设必须符合相关规划、计划和技术规范的要求。</w:t>
      </w:r>
    </w:p>
    <w:p>
      <w:pPr>
        <w:widowControl w:val="0"/>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602 供热设施的建设用地</w:t>
      </w:r>
    </w:p>
    <w:p>
      <w:pPr>
        <w:widowControl w:val="0"/>
        <w:tabs>
          <w:tab w:val="left" w:pos="4017"/>
        </w:tabs>
        <w:spacing w:before="102" w:after="0" w:line="305" w:lineRule="auto"/>
        <w:ind w:left="117" w:right="109" w:firstLine="440"/>
        <w:jc w:val="both"/>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甲方应在本协议生效</w:t>
      </w:r>
      <w:r>
        <w:rPr>
          <w:rFonts w:ascii="宋体" w:eastAsia="宋体" w:hAnsi="宋体" w:cs="宋体"/>
          <w:color w:val="231F20"/>
          <w:sz w:val="22"/>
          <w:szCs w:val="22"/>
        </w:rPr>
        <w:t>后</w:t>
      </w:r>
      <w:r>
        <w:rPr>
          <w:rFonts w:ascii="宋体" w:eastAsia="宋体" w:hAnsi="宋体" w:cs="宋体"/>
          <w:color w:val="231F20"/>
          <w:spacing w:val="5"/>
          <w:sz w:val="22"/>
          <w:szCs w:val="22"/>
        </w:rPr>
        <w:t>，</w:t>
      </w:r>
      <w:r>
        <w:rPr>
          <w:rFonts w:ascii="宋体" w:eastAsia="宋体" w:hAnsi="宋体" w:cs="宋体"/>
          <w:color w:val="231F20"/>
          <w:sz w:val="22"/>
          <w:szCs w:val="22"/>
        </w:rPr>
        <w:t>以</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u w:val="single" w:color="231F20"/>
        </w:rPr>
        <w:t>（</w:t>
      </w:r>
      <w:r>
        <w:rPr>
          <w:rFonts w:ascii="宋体" w:eastAsia="宋体" w:hAnsi="宋体" w:cs="宋体"/>
          <w:color w:val="231F20"/>
          <w:spacing w:val="5"/>
          <w:sz w:val="22"/>
          <w:szCs w:val="22"/>
        </w:rPr>
        <w:t>视供热设施建设具体情况而定）形式向乙方提供供</w:t>
      </w:r>
      <w:r>
        <w:rPr>
          <w:rFonts w:ascii="宋体" w:eastAsia="宋体" w:hAnsi="宋体" w:cs="宋体"/>
          <w:color w:val="231F20"/>
          <w:sz w:val="22"/>
          <w:szCs w:val="22"/>
        </w:rPr>
        <w:t>热设施建设用地的土地使用权。无甲方事先书面同意，乙方不得变更该土地用途或将该土地使用权转让、出租和抵押。</w:t>
      </w:r>
    </w:p>
    <w:p>
      <w:pPr>
        <w:widowControl w:val="0"/>
        <w:spacing w:before="0" w:after="0"/>
        <w:rPr>
          <w:rFonts w:ascii="Times New Roman" w:eastAsia="Times New Roman" w:hAnsi="Times New Roman" w:cs="Times New Roman"/>
          <w:sz w:val="22"/>
          <w:szCs w:val="22"/>
        </w:rPr>
      </w:pPr>
    </w:p>
    <w:p>
      <w:pPr>
        <w:widowControl w:val="0"/>
        <w:tabs>
          <w:tab w:val="left" w:pos="2132"/>
        </w:tabs>
        <w:spacing w:before="1" w:after="0"/>
        <w:ind w:left="1012"/>
        <w:rPr>
          <w:rFonts w:ascii="Times New Roman" w:eastAsia="Times New Roman" w:hAnsi="Times New Roman" w:cs="Times New Roman"/>
          <w:sz w:val="28"/>
          <w:szCs w:val="28"/>
        </w:rPr>
      </w:pPr>
      <w:r>
        <w:rPr>
          <w:rFonts w:ascii="宋体" w:eastAsia="宋体" w:hAnsi="宋体" w:cs="宋体"/>
          <w:color w:val="231F20"/>
          <w:sz w:val="28"/>
          <w:szCs w:val="28"/>
        </w:rPr>
        <w:t>第七章</w:t>
      </w:r>
      <w:r>
        <w:rPr>
          <w:rFonts w:ascii="宋体" w:eastAsia="宋体" w:hAnsi="宋体" w:cs="宋体"/>
          <w:color w:val="231F20"/>
          <w:sz w:val="28"/>
          <w:szCs w:val="28"/>
        </w:rPr>
        <w:tab/>
      </w:r>
      <w:r>
        <w:rPr>
          <w:rFonts w:ascii="宋体" w:eastAsia="宋体" w:hAnsi="宋体" w:cs="宋体"/>
          <w:color w:val="231F20"/>
          <w:sz w:val="28"/>
          <w:szCs w:val="28"/>
        </w:rPr>
        <w:t>供热设施的管理、维修、更新及征用、征收、补偿</w:t>
      </w:r>
    </w:p>
    <w:p>
      <w:pPr>
        <w:widowControl w:val="0"/>
        <w:spacing w:before="3" w:after="0"/>
        <w:rPr>
          <w:rFonts w:ascii="Times New Roman" w:eastAsia="Times New Roman" w:hAnsi="Times New Roman" w:cs="Times New Roman"/>
          <w:sz w:val="25"/>
          <w:szCs w:val="25"/>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701 供热设施的管理、维修及更新</w:t>
      </w:r>
    </w:p>
    <w:p>
      <w:pPr>
        <w:widowControl w:val="0"/>
        <w:spacing w:before="102" w:after="0" w:line="305" w:lineRule="auto"/>
        <w:ind w:left="117" w:right="99" w:firstLine="440"/>
        <w:rPr>
          <w:rFonts w:ascii="Times New Roman" w:eastAsia="Times New Roman" w:hAnsi="Times New Roman" w:cs="Times New Roman"/>
          <w:sz w:val="22"/>
          <w:szCs w:val="22"/>
        </w:rPr>
      </w:pPr>
      <w:r>
        <w:rPr>
          <w:rFonts w:ascii="宋体" w:eastAsia="宋体" w:hAnsi="宋体" w:cs="宋体"/>
          <w:color w:val="231F20"/>
          <w:spacing w:val="-3"/>
          <w:sz w:val="22"/>
          <w:szCs w:val="22"/>
        </w:rPr>
        <w:t>乙方对住宅供热设施的管理应当到最终用户散热设备；对非住宅的供热设施的管理应当到建筑物、厂区院墙（无院墙的为单位建筑物墙）外的入户阀门井（含阀门井</w:t>
      </w:r>
      <w:r>
        <w:rPr>
          <w:rFonts w:ascii="宋体" w:eastAsia="宋体" w:hAnsi="宋体" w:cs="宋体"/>
          <w:color w:val="231F20"/>
          <w:spacing w:val="-83"/>
          <w:sz w:val="22"/>
          <w:szCs w:val="22"/>
        </w:rPr>
        <w:t>）</w:t>
      </w:r>
      <w:r>
        <w:rPr>
          <w:rFonts w:ascii="宋体" w:eastAsia="宋体" w:hAnsi="宋体" w:cs="宋体"/>
          <w:color w:val="231F20"/>
          <w:sz w:val="22"/>
          <w:szCs w:val="22"/>
        </w:rPr>
        <w:t>。供、用热双方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另有协议的除外。</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乙方自本协议生效之日起，即承担法定的供热设施管理、维修及更新的责任。</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pacing w:val="-9"/>
          <w:sz w:val="22"/>
          <w:szCs w:val="22"/>
        </w:rPr>
        <w:t>由于热用户原因需要对供热设施进行维修、更新的，乙方可以实行有偿服务，收取合理费用。</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702 供热设施征用及征收</w:t>
      </w:r>
    </w:p>
    <w:p>
      <w:pPr>
        <w:widowControl w:val="0"/>
        <w:spacing w:before="102"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甲方出于公共利益的需要可依法征用或征收供热设施，乙方应予配合，并获得甲方给予的本章 703 条规定的补偿。</w:t>
      </w:r>
    </w:p>
    <w:p>
      <w:pPr>
        <w:widowControl w:val="0"/>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703 征用或收回的补偿</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甲方征用或征收乙方特许经营的供热设施应按照国家相关法律给予补偿。</w:t>
      </w:r>
    </w:p>
    <w:p>
      <w:pPr>
        <w:widowControl w:val="0"/>
        <w:spacing w:before="4" w:after="0"/>
        <w:rPr>
          <w:rFonts w:ascii="Times New Roman" w:eastAsia="Times New Roman" w:hAnsi="Times New Roman" w:cs="Times New Roman"/>
          <w:sz w:val="16"/>
          <w:szCs w:val="16"/>
        </w:rPr>
      </w:pPr>
    </w:p>
    <w:p>
      <w:pPr>
        <w:widowControl w:val="0"/>
        <w:tabs>
          <w:tab w:val="left" w:pos="3092"/>
        </w:tabs>
        <w:spacing w:before="0" w:after="0"/>
        <w:ind w:left="2132"/>
        <w:rPr>
          <w:rFonts w:ascii="Times New Roman" w:eastAsia="Times New Roman" w:hAnsi="Times New Roman" w:cs="Times New Roman"/>
          <w:sz w:val="24"/>
          <w:szCs w:val="24"/>
        </w:rPr>
      </w:pPr>
      <w:r>
        <w:rPr>
          <w:rFonts w:ascii="宋体" w:eastAsia="宋体" w:hAnsi="宋体" w:cs="宋体"/>
          <w:color w:val="231F20"/>
        </w:rPr>
        <w:t>第八章</w:t>
      </w:r>
      <w:r>
        <w:rPr>
          <w:rFonts w:ascii="宋体" w:eastAsia="宋体" w:hAnsi="宋体" w:cs="宋体"/>
          <w:color w:val="231F20"/>
          <w:sz w:val="24"/>
          <w:szCs w:val="24"/>
        </w:rPr>
        <w:tab/>
      </w:r>
      <w:r>
        <w:rPr>
          <w:rFonts w:ascii="宋体" w:eastAsia="宋体" w:hAnsi="宋体" w:cs="宋体"/>
          <w:color w:val="231F20"/>
        </w:rPr>
        <w:t>公共用地、道路及其他公用设施的占用</w:t>
      </w:r>
    </w:p>
    <w:p>
      <w:pPr>
        <w:widowControl w:val="0"/>
        <w:spacing w:before="8"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801 政府部门的批准及占用</w:t>
      </w:r>
    </w:p>
    <w:p>
      <w:pPr>
        <w:widowControl w:val="0"/>
        <w:spacing w:before="102" w:after="0" w:line="305" w:lineRule="auto"/>
        <w:ind w:left="117" w:right="142" w:firstLine="440"/>
        <w:jc w:val="both"/>
        <w:rPr>
          <w:rFonts w:ascii="Times New Roman" w:eastAsia="Times New Roman" w:hAnsi="Times New Roman" w:cs="Times New Roman"/>
          <w:sz w:val="22"/>
          <w:szCs w:val="22"/>
        </w:rPr>
      </w:pPr>
      <w:r>
        <w:rPr>
          <w:rFonts w:ascii="宋体" w:eastAsia="宋体" w:hAnsi="宋体" w:cs="宋体"/>
          <w:color w:val="231F20"/>
          <w:spacing w:val="-5"/>
          <w:sz w:val="22"/>
          <w:szCs w:val="22"/>
        </w:rPr>
        <w:t>特许经营期间，乙方在供热设施的管理、维护和建设中，需占用公共用地、城市道路及其公共设施时，应按规定报经有关部门批准，甲方应当协调其各相关部门给予必要协助和配合。占用结束后，乙方应当将占用或动用的设施恢复原状，依照有关收费标准承担相关的占用费用。</w:t>
      </w:r>
    </w:p>
    <w:p>
      <w:pPr>
        <w:widowControl w:val="0"/>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802 用户配合及甲方协助</w:t>
      </w:r>
    </w:p>
    <w:p>
      <w:pPr>
        <w:widowControl w:val="0"/>
        <w:spacing w:before="102" w:after="0" w:line="305" w:lineRule="auto"/>
        <w:ind w:left="117" w:right="13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特许经营期间，乙方在供热设施的管理、维护和建设中，乙方需要进入居民用户室内或居民拥有土地使用权的范围内作业的，事先应与该用户协商。乙方在作业结束后应对所占用或动用的设施恢复原状。对用户不给予配合而使乙方无法或严重影响乙方向公众提供管道供热正常服务的，甲方应依法给予乙方必要协助。</w:t>
      </w:r>
    </w:p>
    <w:p>
      <w:pPr>
        <w:widowControl w:val="0"/>
        <w:tabs>
          <w:tab w:val="left" w:pos="3092"/>
        </w:tabs>
        <w:spacing w:before="177" w:after="0"/>
        <w:ind w:left="2132"/>
        <w:rPr>
          <w:rFonts w:ascii="Times New Roman" w:eastAsia="Times New Roman" w:hAnsi="Times New Roman" w:cs="Times New Roman"/>
          <w:sz w:val="24"/>
          <w:szCs w:val="24"/>
        </w:rPr>
      </w:pPr>
      <w:r>
        <w:rPr>
          <w:rFonts w:ascii="宋体" w:eastAsia="宋体" w:hAnsi="宋体" w:cs="宋体"/>
          <w:color w:val="231F20"/>
        </w:rPr>
        <w:t>第九章</w:t>
      </w:r>
      <w:r>
        <w:rPr>
          <w:rFonts w:ascii="宋体" w:eastAsia="宋体" w:hAnsi="宋体" w:cs="宋体"/>
          <w:color w:val="231F20"/>
          <w:sz w:val="24"/>
          <w:szCs w:val="24"/>
        </w:rPr>
        <w:tab/>
      </w:r>
      <w:r>
        <w:rPr>
          <w:rFonts w:ascii="宋体" w:eastAsia="宋体" w:hAnsi="宋体" w:cs="宋体"/>
          <w:color w:val="231F20"/>
        </w:rPr>
        <w:t>影响用户用热工程、事故的报告与通知</w:t>
      </w:r>
    </w:p>
    <w:p>
      <w:pPr>
        <w:widowControl w:val="0"/>
        <w:spacing w:before="8" w:after="0"/>
        <w:rPr>
          <w:rFonts w:ascii="Times New Roman" w:eastAsia="Times New Roman" w:hAnsi="Times New Roman" w:cs="Times New Roman"/>
          <w:sz w:val="16"/>
          <w:szCs w:val="16"/>
        </w:rPr>
      </w:pPr>
    </w:p>
    <w:p>
      <w:pPr>
        <w:widowControl w:val="0"/>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901 影响用户用热工程报告</w:t>
      </w:r>
    </w:p>
    <w:p>
      <w:pPr>
        <w:widowControl w:val="0"/>
        <w:spacing w:before="102" w:after="0" w:line="305" w:lineRule="auto"/>
        <w:ind w:left="117" w:right="12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进行供热设施维护或改造工程应当在非供热运行期，并应当在当地供热期开始前完成。如果可能影响到用户用热，则应当将工程简况、施工历时、可能受影响的程度及区域等情况向相关用户和社会公众公示通报，重要影响工程应报告供热管理部门。</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902 影响用户用热的事故分类</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事故分类标准按国家规定执行。</w:t>
      </w:r>
    </w:p>
    <w:p>
      <w:pPr>
        <w:widowControl w:val="0"/>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903 事故报告与通知</w:t>
      </w:r>
    </w:p>
    <w:p>
      <w:pPr>
        <w:widowControl w:val="0"/>
        <w:spacing w:before="10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乙方应当在事故发生后，立即报告供热管理部门，重大事故应告知用户，预告事故可能造成的影响及处理的情况。</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904 应急预案</w:t>
      </w:r>
    </w:p>
    <w:p>
      <w:pPr>
        <w:widowControl w:val="0"/>
        <w:spacing w:before="102"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乙方应制定供热事故应急预案，并报供热管理部门备案，将对用户可能受到的影响降到最低。</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905 事故影响赔偿</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由乙方责任造成的重大事故对用户造成影响的，乙方应按事故影响程度对用户进行赔偿。</w:t>
      </w:r>
    </w:p>
    <w:p>
      <w:pPr>
        <w:widowControl w:val="0"/>
        <w:spacing w:before="4" w:after="0"/>
        <w:rPr>
          <w:rFonts w:ascii="Times New Roman" w:eastAsia="Times New Roman" w:hAnsi="Times New Roman" w:cs="Times New Roman"/>
          <w:sz w:val="16"/>
          <w:szCs w:val="16"/>
        </w:rPr>
      </w:pPr>
    </w:p>
    <w:p>
      <w:pPr>
        <w:widowControl w:val="0"/>
        <w:tabs>
          <w:tab w:val="left" w:pos="959"/>
        </w:tabs>
        <w:spacing w:before="1" w:after="0"/>
        <w:ind w:right="98"/>
        <w:jc w:val="center"/>
        <w:rPr>
          <w:rFonts w:ascii="Times New Roman" w:eastAsia="Times New Roman" w:hAnsi="Times New Roman" w:cs="Times New Roman"/>
          <w:sz w:val="24"/>
          <w:szCs w:val="24"/>
        </w:rPr>
      </w:pPr>
      <w:r>
        <w:rPr>
          <w:rFonts w:ascii="宋体" w:eastAsia="宋体" w:hAnsi="宋体" w:cs="宋体"/>
          <w:color w:val="231F20"/>
        </w:rPr>
        <w:t>第十章</w:t>
      </w:r>
      <w:r>
        <w:rPr>
          <w:rFonts w:ascii="宋体" w:eastAsia="宋体" w:hAnsi="宋体" w:cs="宋体"/>
          <w:color w:val="231F20"/>
          <w:sz w:val="24"/>
          <w:szCs w:val="24"/>
        </w:rPr>
        <w:tab/>
      </w:r>
      <w:r>
        <w:rPr>
          <w:rFonts w:ascii="宋体" w:eastAsia="宋体" w:hAnsi="宋体" w:cs="宋体"/>
          <w:color w:val="231F20"/>
        </w:rPr>
        <w:t>供热价格</w:t>
      </w:r>
    </w:p>
    <w:p>
      <w:pPr>
        <w:widowControl w:val="0"/>
        <w:spacing w:before="9"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1001 供热价格制定和调整</w:t>
      </w:r>
    </w:p>
    <w:p>
      <w:pPr>
        <w:widowControl w:val="0"/>
        <w:spacing w:before="102"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z w:val="22"/>
          <w:szCs w:val="22"/>
        </w:rPr>
        <w:t>供热采暖价格由甲方所在城市人民政府统一定价，其价格制定和调整须根据相关法律和国家政策组织制定并批准。乙方应严格遵照执行。</w:t>
      </w:r>
    </w:p>
    <w:p>
      <w:pPr>
        <w:widowControl w:val="0"/>
        <w:tabs>
          <w:tab w:val="left" w:pos="1199"/>
        </w:tabs>
        <w:spacing w:before="177" w:after="0"/>
        <w:ind w:right="98"/>
        <w:jc w:val="center"/>
        <w:rPr>
          <w:rFonts w:ascii="Times New Roman" w:eastAsia="Times New Roman" w:hAnsi="Times New Roman" w:cs="Times New Roman"/>
          <w:sz w:val="24"/>
          <w:szCs w:val="24"/>
        </w:rPr>
      </w:pPr>
      <w:r>
        <w:rPr>
          <w:rFonts w:ascii="宋体" w:eastAsia="宋体" w:hAnsi="宋体" w:cs="宋体"/>
          <w:color w:val="231F20"/>
        </w:rPr>
        <w:t>第十一章</w:t>
      </w:r>
      <w:r>
        <w:rPr>
          <w:rFonts w:ascii="宋体" w:eastAsia="宋体" w:hAnsi="宋体" w:cs="宋体"/>
          <w:color w:val="231F20"/>
          <w:sz w:val="24"/>
          <w:szCs w:val="24"/>
        </w:rPr>
        <w:tab/>
      </w:r>
      <w:r>
        <w:rPr>
          <w:rFonts w:ascii="宋体" w:eastAsia="宋体" w:hAnsi="宋体" w:cs="宋体"/>
          <w:color w:val="231F20"/>
        </w:rPr>
        <w:t>供热安全</w:t>
      </w:r>
    </w:p>
    <w:p>
      <w:pPr>
        <w:widowControl w:val="0"/>
        <w:spacing w:before="8"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1101 安全责任</w:t>
      </w:r>
    </w:p>
    <w:p>
      <w:pPr>
        <w:widowControl w:val="0"/>
        <w:numPr>
          <w:ilvl w:val="0"/>
          <w:numId w:val="3"/>
        </w:numPr>
        <w:tabs>
          <w:tab w:val="left" w:pos="867"/>
        </w:tabs>
        <w:spacing w:before="101" w:line="305" w:lineRule="auto"/>
        <w:ind w:left="117" w:right="107"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3"/>
          <w:sz w:val="22"/>
          <w:szCs w:val="22"/>
        </w:rPr>
        <w:t>乙方须严格遵守有关供热安全的法律及国家政策，供热生产、运行和服务的质量、安</w:t>
      </w:r>
      <w:r>
        <w:rPr>
          <w:rFonts w:ascii="宋体" w:eastAsia="宋体" w:hAnsi="宋体" w:cs="宋体"/>
          <w:color w:val="231F20"/>
          <w:sz w:val="22"/>
          <w:szCs w:val="22"/>
        </w:rPr>
        <w:t>全、服务标准应当符合国家、行业和地方相关标准。乙方对特许经营区域内的供热安全负责， 甲方负有对乙方履行安全责任的监管责任。</w:t>
      </w:r>
    </w:p>
    <w:p>
      <w:pPr>
        <w:widowControl w:val="0"/>
        <w:numPr>
          <w:ilvl w:val="0"/>
          <w:numId w:val="3"/>
        </w:numPr>
        <w:tabs>
          <w:tab w:val="left" w:pos="867"/>
        </w:tabs>
        <w:spacing w:before="20" w:line="305" w:lineRule="auto"/>
        <w:ind w:left="117" w:right="2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乙方应建立和完善安全生产制度，建立安全生产保证体系和稳定供应、运行和服务，防</w:t>
      </w:r>
      <w:r>
        <w:rPr>
          <w:rFonts w:ascii="宋体" w:eastAsia="宋体" w:hAnsi="宋体" w:cs="宋体"/>
          <w:color w:val="231F20"/>
          <w:spacing w:val="-7"/>
          <w:sz w:val="22"/>
          <w:szCs w:val="22"/>
        </w:rPr>
        <w:t>止事故发生；要建立抢修、抢险、救灾应急预案和相应的组织、指挥、设备等保障体系，并保证在出现重大意外事故时其保障体系能够正常启动。</w:t>
      </w:r>
    </w:p>
    <w:p>
      <w:pPr>
        <w:widowControl w:val="0"/>
        <w:numPr>
          <w:ilvl w:val="0"/>
          <w:numId w:val="3"/>
        </w:numPr>
        <w:tabs>
          <w:tab w:val="left" w:pos="867"/>
        </w:tabs>
        <w:spacing w:before="20" w:line="305" w:lineRule="auto"/>
        <w:ind w:left="117" w:right="107"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发生事故时，乙方应采取各种应急措施进行补救，尽量减少事故对用户的影响，同时， 乙方必须及时、如实向有关部门报告。</w:t>
      </w:r>
    </w:p>
    <w:p>
      <w:pPr>
        <w:widowControl w:val="0"/>
        <w:numPr>
          <w:ilvl w:val="0"/>
          <w:numId w:val="3"/>
        </w:numPr>
        <w:tabs>
          <w:tab w:val="left" w:pos="867"/>
        </w:tabs>
        <w:spacing w:before="20" w:line="305" w:lineRule="auto"/>
        <w:ind w:left="117" w:right="2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乙方要加强安全巡检，消除安全隐患，对危及热力设施安全的情况应及时制止，并报告</w:t>
      </w:r>
      <w:r>
        <w:rPr>
          <w:rFonts w:ascii="宋体" w:eastAsia="宋体" w:hAnsi="宋体" w:cs="宋体"/>
          <w:color w:val="231F20"/>
          <w:spacing w:val="-2"/>
          <w:sz w:val="22"/>
          <w:szCs w:val="22"/>
        </w:rPr>
        <w:t>有关部门，同时应进行宣传、解释、劝阻和书面告知违反规定的单位或个人进行整改；对逾期不改的，及时向甲方报告，甲方接到乙方报告后，应及时协调相关部门予以查处。</w:t>
      </w:r>
    </w:p>
    <w:p>
      <w:pPr>
        <w:widowControl w:val="0"/>
        <w:numPr>
          <w:ilvl w:val="0"/>
          <w:numId w:val="3"/>
        </w:numPr>
        <w:spacing w:before="2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9"/>
          <w:sz w:val="22"/>
          <w:szCs w:val="22"/>
        </w:rPr>
        <w:t>乙方应采用必要的手段，监测管道供热工况，保持工况稳定，及时应对发生的紧急事故。</w:t>
      </w:r>
    </w:p>
    <w:p>
      <w:pPr>
        <w:widowControl w:val="0"/>
        <w:numPr>
          <w:ilvl w:val="0"/>
          <w:numId w:val="3"/>
        </w:numPr>
        <w:tabs>
          <w:tab w:val="left" w:pos="867"/>
        </w:tabs>
        <w:spacing w:before="89" w:line="305" w:lineRule="auto"/>
        <w:ind w:left="117" w:right="10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乙方应严格执行有关建设工程开工报建前对地下管网进行核查的规定，并对认为有必要的建设项目实行管道供热设施现场监护，对野蛮施工危及管道供热设施安全的，要加以劝阻， 劝阻不听的应及时向供热管理部门或城市管理综合行政执法部门报告，予以查处。</w:t>
      </w:r>
    </w:p>
    <w:p>
      <w:pPr>
        <w:widowControl w:val="0"/>
        <w:numPr>
          <w:ilvl w:val="0"/>
          <w:numId w:val="3"/>
        </w:numPr>
        <w:tabs>
          <w:tab w:val="left" w:pos="867"/>
        </w:tabs>
        <w:spacing w:before="21" w:after="0" w:line="305" w:lineRule="auto"/>
        <w:ind w:left="117" w:right="2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乙方应开展各种形式的供热安全宣传活动，以提高公众对供热设施的保护意识和节能意识，加强对用户采暖的指导，解答用户的采暖咨询，发放用户采暖手册。</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1102 供热设施安全预防</w:t>
      </w:r>
    </w:p>
    <w:p>
      <w:pPr>
        <w:widowControl w:val="0"/>
        <w:spacing w:before="101" w:after="0" w:line="305"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乙方应严格遵循运行、维护和抢修安全技术规程，对供热设施的状况及性能进行定期巡视、保养和检修，按期进行设备大修和更新改造，对运行 15 年以上的供热设施要进行质量安全评估，评估、检测由有资质的单位进行，出具评估、检测报告，并报告甲方。</w:t>
      </w:r>
    </w:p>
    <w:p>
      <w:pPr>
        <w:widowControl w:val="0"/>
        <w:spacing w:before="20"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z w:val="22"/>
          <w:szCs w:val="22"/>
        </w:rPr>
        <w:t>乙方在发现属于用户的供热设施存有严重安全隐患时，乙方应立即采取可能的措施以防止安全事故的发生。</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1103 因安全原因的停热</w:t>
      </w:r>
    </w:p>
    <w:p>
      <w:pPr>
        <w:widowControl w:val="0"/>
        <w:spacing w:before="102"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乙方可以在其认为有必要的时候对属于用户产权的供热设施进行查验，对认定不符合安全规定、违章安装管道设施或用户拒绝接受查验的，乙方经供热主管部门同意，可以在安全隐患被排除前停止向该用户供热。</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1104 应急与临时接管</w:t>
      </w:r>
    </w:p>
    <w:p>
      <w:pPr>
        <w:widowControl w:val="0"/>
        <w:spacing w:before="10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乙方应完善供热设施资料图档和设施信息化管理系统，建立应急抢修抢险预案，设立供热设施应急抢修队伍和用户维修服务网点，提供 24 小时紧急热线服务和紧急抢修抢险。</w:t>
      </w:r>
    </w:p>
    <w:p>
      <w:pPr>
        <w:widowControl w:val="0"/>
        <w:spacing w:before="20" w:after="0" w:line="305"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甲、乙双方均应建立供热应急预案</w:t>
      </w:r>
      <w:r>
        <w:rPr>
          <w:rFonts w:ascii="宋体" w:eastAsia="宋体" w:hAnsi="宋体" w:cs="宋体"/>
          <w:color w:val="231F20"/>
          <w:spacing w:val="3"/>
          <w:sz w:val="22"/>
          <w:szCs w:val="22"/>
        </w:rPr>
        <w:t>（见附件九</w:t>
      </w:r>
      <w:r>
        <w:rPr>
          <w:rFonts w:ascii="宋体" w:eastAsia="宋体" w:hAnsi="宋体" w:cs="宋体"/>
          <w:color w:val="231F20"/>
          <w:spacing w:val="-110"/>
          <w:sz w:val="22"/>
          <w:szCs w:val="22"/>
        </w:rPr>
        <w:t>）</w:t>
      </w:r>
      <w:r>
        <w:rPr>
          <w:rFonts w:ascii="宋体" w:eastAsia="宋体" w:hAnsi="宋体" w:cs="宋体"/>
          <w:color w:val="231F20"/>
          <w:spacing w:val="3"/>
          <w:sz w:val="22"/>
          <w:szCs w:val="22"/>
        </w:rPr>
        <w:t>，对乙方在冬季供热运行期间因拒绝供热</w:t>
      </w:r>
      <w:r>
        <w:rPr>
          <w:rFonts w:ascii="宋体" w:eastAsia="宋体" w:hAnsi="宋体" w:cs="宋体"/>
          <w:color w:val="231F20"/>
          <w:sz w:val="22"/>
          <w:szCs w:val="22"/>
        </w:rPr>
        <w:t>或不能保证供热质量，直接影响到居民正常采暖，并造成严重后果或恶劣影响的，甲方可以采取临时应急接管措施。</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出现下列现象时，甲方也可以采取临时应急接管措施：</w:t>
      </w:r>
    </w:p>
    <w:p>
      <w:pPr>
        <w:widowControl w:val="0"/>
        <w:numPr>
          <w:ilvl w:val="0"/>
          <w:numId w:val="4"/>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公共利益需要；</w:t>
      </w:r>
    </w:p>
    <w:p>
      <w:pPr>
        <w:widowControl w:val="0"/>
        <w:numPr>
          <w:ilvl w:val="0"/>
          <w:numId w:val="4"/>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非因乙方原因，致使乙方无法履行本协议所规定的义务情况；</w:t>
      </w:r>
    </w:p>
    <w:p>
      <w:pPr>
        <w:widowControl w:val="0"/>
        <w:numPr>
          <w:ilvl w:val="0"/>
          <w:numId w:val="4"/>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任何发生本协议终止的情况。</w:t>
      </w:r>
    </w:p>
    <w:p>
      <w:pPr>
        <w:widowControl w:val="0"/>
        <w:spacing w:before="5" w:after="0"/>
        <w:rPr>
          <w:rFonts w:ascii="Times New Roman" w:eastAsia="Times New Roman" w:hAnsi="Times New Roman" w:cs="Times New Roman"/>
          <w:sz w:val="16"/>
          <w:szCs w:val="16"/>
        </w:rPr>
      </w:pPr>
    </w:p>
    <w:p>
      <w:pPr>
        <w:widowControl w:val="0"/>
        <w:tabs>
          <w:tab w:val="left" w:pos="4172"/>
        </w:tabs>
        <w:spacing w:before="0" w:after="0"/>
        <w:ind w:left="2972"/>
        <w:rPr>
          <w:rFonts w:ascii="Times New Roman" w:eastAsia="Times New Roman" w:hAnsi="Times New Roman" w:cs="Times New Roman"/>
          <w:sz w:val="24"/>
          <w:szCs w:val="24"/>
        </w:rPr>
      </w:pPr>
      <w:r>
        <w:rPr>
          <w:rFonts w:ascii="宋体" w:eastAsia="宋体" w:hAnsi="宋体" w:cs="宋体"/>
          <w:color w:val="231F20"/>
        </w:rPr>
        <w:t>第十二章</w:t>
      </w:r>
      <w:r>
        <w:rPr>
          <w:rFonts w:ascii="宋体" w:eastAsia="宋体" w:hAnsi="宋体" w:cs="宋体"/>
          <w:color w:val="231F20"/>
          <w:sz w:val="24"/>
          <w:szCs w:val="24"/>
        </w:rPr>
        <w:tab/>
      </w:r>
      <w:r>
        <w:rPr>
          <w:rFonts w:ascii="宋体" w:eastAsia="宋体" w:hAnsi="宋体" w:cs="宋体"/>
          <w:color w:val="231F20"/>
        </w:rPr>
        <w:t>特许经营协议的终止</w:t>
      </w:r>
    </w:p>
    <w:p>
      <w:pPr>
        <w:widowControl w:val="0"/>
        <w:spacing w:before="8"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1201 特许经营协议期限届满的终止</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特许经营期限届满时，特许经营协议自动终止。</w:t>
      </w:r>
    </w:p>
    <w:p>
      <w:pPr>
        <w:widowControl w:val="0"/>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1202 特许经营的提前终止</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发生下列情况，特许经营协议可以提前终止：</w:t>
      </w:r>
    </w:p>
    <w:p>
      <w:pPr>
        <w:widowControl w:val="0"/>
        <w:numPr>
          <w:ilvl w:val="0"/>
          <w:numId w:val="5"/>
        </w:numPr>
        <w:tabs>
          <w:tab w:val="left" w:pos="867"/>
        </w:tabs>
        <w:spacing w:before="88"/>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双方一致同意提前终止；</w:t>
      </w:r>
    </w:p>
    <w:p>
      <w:pPr>
        <w:widowControl w:val="0"/>
        <w:numPr>
          <w:ilvl w:val="0"/>
          <w:numId w:val="5"/>
        </w:numPr>
        <w:tabs>
          <w:tab w:val="left" w:pos="867"/>
        </w:tabs>
        <w:spacing w:before="88"/>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5"/>
          <w:sz w:val="22"/>
          <w:szCs w:val="22"/>
        </w:rPr>
        <w:t xml:space="preserve">因不可抗力发生后 </w:t>
      </w:r>
      <w:r>
        <w:rPr>
          <w:rFonts w:ascii="宋体" w:eastAsia="宋体" w:hAnsi="宋体" w:cs="宋体"/>
          <w:color w:val="231F20"/>
          <w:spacing w:val="-4"/>
          <w:sz w:val="22"/>
          <w:szCs w:val="22"/>
        </w:rPr>
        <w:t>180</w:t>
      </w:r>
      <w:r>
        <w:rPr>
          <w:rFonts w:ascii="宋体" w:eastAsia="宋体" w:hAnsi="宋体" w:cs="宋体"/>
          <w:color w:val="231F20"/>
          <w:spacing w:val="-5"/>
          <w:sz w:val="22"/>
          <w:szCs w:val="22"/>
        </w:rPr>
        <w:t xml:space="preserve"> 天其后果仍未消除，致使双方或任何一方无法履行本协议情况的；</w:t>
      </w:r>
    </w:p>
    <w:p>
      <w:pPr>
        <w:widowControl w:val="0"/>
        <w:numPr>
          <w:ilvl w:val="0"/>
          <w:numId w:val="5"/>
        </w:numPr>
        <w:tabs>
          <w:tab w:val="left" w:pos="867"/>
        </w:tabs>
        <w:spacing w:before="88"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发生下列情况，甲方有权提前终止特许经营协议：</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1）乙方擅自转让、出租特许经营权的；</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2）乙方擅自将所经营的财产进行处置或者抵押的；</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3）乙方因管理不善，发生重大安全生产责任事故，严重影响社会公众采暖的；</w:t>
      </w:r>
    </w:p>
    <w:p>
      <w:pPr>
        <w:widowControl w:val="0"/>
        <w:spacing w:before="88"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4）乙方擅自停止供热，擅自提前结束供热，严重影响社会公众利益，责令其改正而拒不执行的；</w:t>
      </w:r>
    </w:p>
    <w:p>
      <w:pPr>
        <w:widowControl w:val="0"/>
        <w:spacing w:before="20"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5）因乙方责任，造成大面积采暖用户室内温度不能达到相关标准和规定，供热管理部门责令其限期改正，逾期不改的；</w:t>
      </w:r>
    </w:p>
    <w:p>
      <w:pPr>
        <w:widowControl w:val="0"/>
        <w:spacing w:before="20"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6）因乙方管理不善等原因造成停止供热，无法再继续正常供热或拒绝为热用户供热，已危及社会公众利益的；</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7）乙方擅自停业、歇业或中止本协议，严重影响到社会公共利益和安全的；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8）乙方严重违法违规经营，影响正常供热的；</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9）因设备等原因造成停热事故，乙方未能迅速采取有效措施恢复供热，并造成严重社会影响的；</w:t>
      </w:r>
    </w:p>
    <w:p>
      <w:pPr>
        <w:widowControl w:val="0"/>
        <w:tabs>
          <w:tab w:val="left" w:pos="7293"/>
        </w:tabs>
        <w:spacing w:before="21"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31"/>
          <w:sz w:val="22"/>
          <w:szCs w:val="22"/>
        </w:rPr>
        <w:t xml:space="preserve"> </w:t>
      </w:r>
      <w:r>
        <w:rPr>
          <w:rFonts w:ascii="宋体" w:eastAsia="宋体" w:hAnsi="宋体" w:cs="宋体"/>
          <w:color w:val="231F20"/>
          <w:sz w:val="22"/>
          <w:szCs w:val="22"/>
        </w:rPr>
        <w:t>10）乙方在本协议下发生的其他重大违约行为，经甲方通知</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天内，仍未补救的；</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11）有本协议第二十二章禁止之行为；</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12）乙方有其他法律禁止的行为。</w:t>
      </w:r>
    </w:p>
    <w:p>
      <w:pPr>
        <w:widowControl w:val="0"/>
        <w:numPr>
          <w:ilvl w:val="0"/>
          <w:numId w:val="6"/>
        </w:numPr>
        <w:tabs>
          <w:tab w:val="left" w:pos="867"/>
        </w:tabs>
        <w:spacing w:before="89" w:after="0" w:line="305" w:lineRule="auto"/>
        <w:ind w:left="117" w:right="213"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因特许经营协议任意一方认为有必要时，经甲、乙双方协商可以提前终止本协议，并签订提前终止协议。协商不能达成一致时，按照争议解决机制解决，终止前任意一方都有义务继续履行本协议的义务不得擅自提前终止本协议。</w:t>
      </w:r>
    </w:p>
    <w:p>
      <w:pPr>
        <w:widowControl w:val="0"/>
        <w:tabs>
          <w:tab w:val="left" w:pos="3932"/>
        </w:tabs>
        <w:spacing w:before="177" w:after="0"/>
        <w:ind w:left="2732"/>
        <w:rPr>
          <w:rFonts w:ascii="Times New Roman" w:eastAsia="Times New Roman" w:hAnsi="Times New Roman" w:cs="Times New Roman"/>
          <w:sz w:val="24"/>
          <w:szCs w:val="24"/>
        </w:rPr>
      </w:pPr>
      <w:r>
        <w:rPr>
          <w:rFonts w:ascii="宋体" w:eastAsia="宋体" w:hAnsi="宋体" w:cs="宋体"/>
          <w:color w:val="231F20"/>
        </w:rPr>
        <w:t>第十三章</w:t>
      </w:r>
      <w:r>
        <w:rPr>
          <w:rFonts w:ascii="宋体" w:eastAsia="宋体" w:hAnsi="宋体" w:cs="宋体"/>
          <w:color w:val="231F20"/>
          <w:sz w:val="24"/>
          <w:szCs w:val="24"/>
        </w:rPr>
        <w:tab/>
      </w:r>
      <w:r>
        <w:rPr>
          <w:rFonts w:ascii="宋体" w:eastAsia="宋体" w:hAnsi="宋体" w:cs="宋体"/>
          <w:color w:val="231F20"/>
        </w:rPr>
        <w:t>特许经营期限期满的移交</w:t>
      </w:r>
    </w:p>
    <w:p>
      <w:pPr>
        <w:widowControl w:val="0"/>
        <w:spacing w:before="8" w:after="0"/>
        <w:rPr>
          <w:rFonts w:ascii="Times New Roman" w:eastAsia="Times New Roman" w:hAnsi="Times New Roman" w:cs="Times New Roman"/>
          <w:sz w:val="16"/>
          <w:szCs w:val="16"/>
        </w:rPr>
      </w:pPr>
    </w:p>
    <w:p>
      <w:pPr>
        <w:widowControl w:val="0"/>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1301</w:t>
      </w:r>
      <w:r>
        <w:rPr>
          <w:rFonts w:ascii="宋体" w:eastAsia="宋体" w:hAnsi="宋体" w:cs="宋体"/>
          <w:color w:val="231F20"/>
          <w:sz w:val="22"/>
          <w:szCs w:val="22"/>
        </w:rPr>
        <w:t xml:space="preserve">  </w:t>
      </w:r>
      <w:r>
        <w:rPr>
          <w:rFonts w:ascii="宋体" w:eastAsia="宋体" w:hAnsi="宋体" w:cs="宋体"/>
          <w:color w:val="231F20"/>
          <w:sz w:val="22"/>
          <w:szCs w:val="22"/>
        </w:rPr>
        <w:t>在特许经营期限期满 1 年之前，由甲乙双方成立移交委员会；研究制定移交方案和</w:t>
      </w:r>
    </w:p>
    <w:p>
      <w:pPr>
        <w:widowControl w:val="0"/>
        <w:spacing w:before="89" w:after="0"/>
        <w:ind w:left="117"/>
        <w:rPr>
          <w:rFonts w:ascii="Times New Roman" w:eastAsia="Times New Roman" w:hAnsi="Times New Roman" w:cs="Times New Roman"/>
          <w:sz w:val="22"/>
          <w:szCs w:val="22"/>
        </w:rPr>
      </w:pPr>
      <w:r>
        <w:rPr>
          <w:rFonts w:ascii="宋体" w:eastAsia="宋体" w:hAnsi="宋体" w:cs="宋体"/>
          <w:color w:val="231F20"/>
          <w:sz w:val="22"/>
          <w:szCs w:val="22"/>
        </w:rPr>
        <w:t>计划，并应在终止日前 180 日内完成谈判，签订相关协议。</w:t>
      </w:r>
    </w:p>
    <w:p>
      <w:pPr>
        <w:widowControl w:val="0"/>
        <w:spacing w:before="83"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1302 </w:t>
      </w:r>
      <w:r>
        <w:rPr>
          <w:rFonts w:ascii="宋体" w:eastAsia="宋体" w:hAnsi="宋体" w:cs="宋体"/>
          <w:color w:val="231F20"/>
          <w:sz w:val="22"/>
          <w:szCs w:val="22"/>
        </w:rPr>
        <w:t>特许经营期限届满后，乙方不再享有供热特许经营权的，乙方应将全部所有或使用的，以及正在建设的供热资产移交给甲方，但供热设施、设备备件以外的乙方用于经营或建设</w:t>
      </w:r>
      <w:r>
        <w:rPr>
          <w:rFonts w:ascii="宋体" w:eastAsia="宋体" w:hAnsi="宋体" w:cs="宋体"/>
          <w:color w:val="231F20"/>
          <w:spacing w:val="-12"/>
          <w:sz w:val="22"/>
          <w:szCs w:val="22"/>
        </w:rPr>
        <w:t>的动产除外；乙方在移交时必须保证移交后一年内正常运行的资产和备件，</w:t>
      </w:r>
      <w:r>
        <w:rPr>
          <w:rFonts w:ascii="宋体" w:eastAsia="宋体" w:hAnsi="宋体" w:cs="宋体"/>
          <w:color w:val="231F20"/>
          <w:sz w:val="22"/>
          <w:szCs w:val="22"/>
        </w:rPr>
        <w:t>（移交资产的程序和标准见附件九）并出具移交保函。</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乙方因自行投资形成自有产权移交及补偿问题按照终止补偿规定。</w:t>
      </w:r>
    </w:p>
    <w:p>
      <w:pPr>
        <w:widowControl w:val="0"/>
        <w:spacing w:before="4" w:after="0"/>
        <w:rPr>
          <w:rFonts w:ascii="Times New Roman" w:eastAsia="Times New Roman" w:hAnsi="Times New Roman" w:cs="Times New Roman"/>
          <w:sz w:val="16"/>
          <w:szCs w:val="16"/>
        </w:rPr>
      </w:pPr>
    </w:p>
    <w:p>
      <w:pPr>
        <w:widowControl w:val="0"/>
        <w:tabs>
          <w:tab w:val="left" w:pos="1199"/>
        </w:tabs>
        <w:spacing w:before="1" w:after="0"/>
        <w:ind w:right="98"/>
        <w:jc w:val="center"/>
        <w:rPr>
          <w:rFonts w:ascii="Times New Roman" w:eastAsia="Times New Roman" w:hAnsi="Times New Roman" w:cs="Times New Roman"/>
          <w:sz w:val="24"/>
          <w:szCs w:val="24"/>
        </w:rPr>
      </w:pPr>
      <w:r>
        <w:rPr>
          <w:rFonts w:ascii="宋体" w:eastAsia="宋体" w:hAnsi="宋体" w:cs="宋体"/>
          <w:color w:val="231F20"/>
        </w:rPr>
        <w:t>第十四章</w:t>
      </w:r>
      <w:r>
        <w:rPr>
          <w:rFonts w:ascii="宋体" w:eastAsia="宋体" w:hAnsi="宋体" w:cs="宋体"/>
          <w:color w:val="231F20"/>
          <w:sz w:val="24"/>
          <w:szCs w:val="24"/>
        </w:rPr>
        <w:tab/>
      </w:r>
      <w:r>
        <w:rPr>
          <w:rFonts w:ascii="宋体" w:eastAsia="宋体" w:hAnsi="宋体" w:cs="宋体"/>
          <w:color w:val="231F20"/>
        </w:rPr>
        <w:t>特许经营权终止后的资产处置</w:t>
      </w:r>
    </w:p>
    <w:p>
      <w:pPr>
        <w:widowControl w:val="0"/>
        <w:spacing w:before="9"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1401 资产处置谈判</w:t>
      </w:r>
    </w:p>
    <w:p>
      <w:pPr>
        <w:widowControl w:val="0"/>
        <w:spacing w:before="102"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z w:val="22"/>
          <w:szCs w:val="22"/>
        </w:rPr>
        <w:t>正常终止资产处置按照移交的规定；发生提前终止的情况，双方应对资产处置进行谈判， 提前终止资产处置谈判应区分政府征用或征收、不可抗力、乙方违约、甲方违约等不同情况。</w:t>
      </w:r>
    </w:p>
    <w:p>
      <w:pPr>
        <w:widowControl w:val="0"/>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1402 不予补偿</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乙方出现下列情况之一的，甲方不给予乙方任何补偿：</w:t>
      </w:r>
    </w:p>
    <w:p>
      <w:pPr>
        <w:widowControl w:val="0"/>
        <w:numPr>
          <w:ilvl w:val="0"/>
          <w:numId w:val="7"/>
        </w:numPr>
        <w:tabs>
          <w:tab w:val="left" w:pos="867"/>
        </w:tabs>
        <w:spacing w:before="89" w:line="305" w:lineRule="auto"/>
        <w:ind w:left="117" w:right="2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乙方股东（大）</w:t>
      </w:r>
      <w:r>
        <w:rPr>
          <w:rFonts w:ascii="宋体" w:eastAsia="宋体" w:hAnsi="宋体" w:cs="宋体"/>
          <w:color w:val="231F20"/>
          <w:spacing w:val="-1"/>
          <w:sz w:val="22"/>
          <w:szCs w:val="22"/>
        </w:rPr>
        <w:t xml:space="preserve">会做出决议明确表示在余下的特许经营期内不再履行本协议，并且在 </w:t>
      </w:r>
      <w:r>
        <w:rPr>
          <w:rFonts w:ascii="宋体" w:eastAsia="宋体" w:hAnsi="宋体" w:cs="宋体"/>
          <w:color w:val="231F20"/>
          <w:spacing w:val="0"/>
          <w:sz w:val="22"/>
          <w:szCs w:val="22"/>
        </w:rPr>
        <w:t>30 日内再次确认的；</w:t>
      </w:r>
    </w:p>
    <w:p>
      <w:pPr>
        <w:widowControl w:val="0"/>
        <w:numPr>
          <w:ilvl w:val="0"/>
          <w:numId w:val="7"/>
        </w:numPr>
        <w:tabs>
          <w:tab w:val="left" w:pos="867"/>
        </w:tabs>
        <w:spacing w:before="21"/>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乙方未履行移交责任的；</w:t>
      </w:r>
    </w:p>
    <w:p>
      <w:pPr>
        <w:widowControl w:val="0"/>
        <w:numPr>
          <w:ilvl w:val="0"/>
          <w:numId w:val="7"/>
        </w:numPr>
        <w:tabs>
          <w:tab w:val="left" w:pos="867"/>
        </w:tabs>
        <w:spacing w:before="8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乙方移交的项目资产和设施存在重大瑕疵，致使甲方不能使用；</w:t>
      </w:r>
    </w:p>
    <w:p>
      <w:pPr>
        <w:widowControl w:val="0"/>
        <w:numPr>
          <w:ilvl w:val="0"/>
          <w:numId w:val="7"/>
        </w:numPr>
        <w:tabs>
          <w:tab w:val="left" w:pos="867"/>
        </w:tabs>
        <w:spacing w:before="89"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有本协议第二十二章禁止之行为。</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1403 特许经营权终止日的确定</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特许经营权终止日依照下列各情况而定：</w:t>
      </w:r>
    </w:p>
    <w:p>
      <w:pPr>
        <w:widowControl w:val="0"/>
        <w:numPr>
          <w:ilvl w:val="0"/>
          <w:numId w:val="8"/>
        </w:numPr>
        <w:tabs>
          <w:tab w:val="left" w:pos="867"/>
        </w:tabs>
        <w:spacing w:before="89"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特许经营权因特许经营期限届满而终止的，特许经营权终止日为特许经营期限届满日；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9"/>
        </w:numPr>
        <w:tabs>
          <w:tab w:val="left" w:pos="867"/>
        </w:tabs>
        <w:spacing w:before="24" w:line="305" w:lineRule="auto"/>
        <w:ind w:left="117" w:right="11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特许经营权因本协议第十六章规定的特许经营权终止情况的出现而终止的，该情况发生日为特许经营权终止日；</w:t>
      </w:r>
    </w:p>
    <w:p>
      <w:pPr>
        <w:widowControl w:val="0"/>
        <w:numPr>
          <w:ilvl w:val="0"/>
          <w:numId w:val="9"/>
        </w:numPr>
        <w:tabs>
          <w:tab w:val="left" w:pos="867"/>
        </w:tabs>
        <w:spacing w:before="21" w:after="0" w:line="305" w:lineRule="auto"/>
        <w:ind w:left="117" w:right="11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因本协议解除而引起特许经营权终止的，引起协议解除的情况发生日或者做出解除协议的决定日为特许经营权终止日。</w:t>
      </w:r>
    </w:p>
    <w:p>
      <w:pPr>
        <w:widowControl w:val="0"/>
        <w:tabs>
          <w:tab w:val="left" w:pos="1199"/>
        </w:tabs>
        <w:spacing w:before="177" w:after="0"/>
        <w:jc w:val="center"/>
        <w:rPr>
          <w:rFonts w:ascii="Times New Roman" w:eastAsia="Times New Roman" w:hAnsi="Times New Roman" w:cs="Times New Roman"/>
          <w:sz w:val="24"/>
          <w:szCs w:val="24"/>
        </w:rPr>
      </w:pPr>
      <w:r>
        <w:rPr>
          <w:rFonts w:ascii="宋体" w:eastAsia="宋体" w:hAnsi="宋体" w:cs="宋体"/>
          <w:color w:val="231F20"/>
        </w:rPr>
        <w:t>第十五章</w:t>
      </w:r>
      <w:r>
        <w:rPr>
          <w:rFonts w:ascii="宋体" w:eastAsia="宋体" w:hAnsi="宋体" w:cs="宋体"/>
          <w:color w:val="231F20"/>
          <w:sz w:val="24"/>
          <w:szCs w:val="24"/>
        </w:rPr>
        <w:tab/>
      </w:r>
      <w:r>
        <w:rPr>
          <w:rFonts w:ascii="宋体" w:eastAsia="宋体" w:hAnsi="宋体" w:cs="宋体"/>
          <w:color w:val="231F20"/>
        </w:rPr>
        <w:t>供热质量和服务</w:t>
      </w:r>
    </w:p>
    <w:p>
      <w:pPr>
        <w:widowControl w:val="0"/>
        <w:spacing w:before="8"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1501 供热质量</w:t>
      </w:r>
    </w:p>
    <w:p>
      <w:pPr>
        <w:widowControl w:val="0"/>
        <w:spacing w:before="10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乙方应当建立供热质量保证体系和相应设施，确保向用户所供应的供热质量符合国家的有关规定和附件二所规定的标准。</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1502 供热服务</w:t>
      </w:r>
    </w:p>
    <w:p>
      <w:pPr>
        <w:widowControl w:val="0"/>
        <w:spacing w:before="102"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乙方应当根据用户的实际需要向用户提供业务热线、营业接待、定期抄表、室温检测、设施安装检修等综合服务，并确保能够达到附件二所规定的标准。</w:t>
      </w:r>
    </w:p>
    <w:p>
      <w:pPr>
        <w:widowControl w:val="0"/>
        <w:tabs>
          <w:tab w:val="left" w:pos="1199"/>
        </w:tabs>
        <w:spacing w:before="177" w:after="0"/>
        <w:jc w:val="center"/>
        <w:rPr>
          <w:rFonts w:ascii="Times New Roman" w:eastAsia="Times New Roman" w:hAnsi="Times New Roman" w:cs="Times New Roman"/>
          <w:sz w:val="24"/>
          <w:szCs w:val="24"/>
        </w:rPr>
      </w:pPr>
      <w:r>
        <w:rPr>
          <w:rFonts w:ascii="宋体" w:eastAsia="宋体" w:hAnsi="宋体" w:cs="宋体"/>
          <w:color w:val="231F20"/>
        </w:rPr>
        <w:t>第十六章</w:t>
      </w:r>
      <w:r>
        <w:rPr>
          <w:rFonts w:ascii="宋体" w:eastAsia="宋体" w:hAnsi="宋体" w:cs="宋体"/>
          <w:color w:val="231F20"/>
          <w:sz w:val="24"/>
          <w:szCs w:val="24"/>
        </w:rPr>
        <w:tab/>
      </w:r>
      <w:r>
        <w:rPr>
          <w:rFonts w:ascii="宋体" w:eastAsia="宋体" w:hAnsi="宋体" w:cs="宋体"/>
          <w:color w:val="231F20"/>
        </w:rPr>
        <w:t>甲方的权利与义务</w:t>
      </w:r>
    </w:p>
    <w:p>
      <w:pPr>
        <w:widowControl w:val="0"/>
        <w:spacing w:before="8"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1601 甲方权利</w:t>
      </w:r>
    </w:p>
    <w:p>
      <w:pPr>
        <w:widowControl w:val="0"/>
        <w:numPr>
          <w:ilvl w:val="0"/>
          <w:numId w:val="10"/>
        </w:numPr>
        <w:tabs>
          <w:tab w:val="left" w:pos="867"/>
        </w:tabs>
        <w:spacing w:before="101"/>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对乙方实施特许经营的行为实施监管；</w:t>
      </w:r>
    </w:p>
    <w:p>
      <w:pPr>
        <w:widowControl w:val="0"/>
        <w:numPr>
          <w:ilvl w:val="0"/>
          <w:numId w:val="10"/>
        </w:numPr>
        <w:tabs>
          <w:tab w:val="left" w:pos="867"/>
        </w:tabs>
        <w:spacing w:before="88"/>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受理用户对乙方的供热投诉；</w:t>
      </w:r>
    </w:p>
    <w:p>
      <w:pPr>
        <w:widowControl w:val="0"/>
        <w:numPr>
          <w:ilvl w:val="0"/>
          <w:numId w:val="10"/>
        </w:numPr>
        <w:tabs>
          <w:tab w:val="left" w:pos="867"/>
        </w:tabs>
        <w:spacing w:before="88"/>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依据本协议约定对乙方违规行为进行处罚；</w:t>
      </w:r>
    </w:p>
    <w:p>
      <w:pPr>
        <w:widowControl w:val="0"/>
        <w:numPr>
          <w:ilvl w:val="0"/>
          <w:numId w:val="10"/>
        </w:numPr>
        <w:tabs>
          <w:tab w:val="left" w:pos="867"/>
        </w:tabs>
        <w:spacing w:before="88"/>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对乙方的供热五年规划和年度投资计划提出意见和建议，并监督实施；</w:t>
      </w:r>
    </w:p>
    <w:p>
      <w:pPr>
        <w:widowControl w:val="0"/>
        <w:numPr>
          <w:ilvl w:val="0"/>
          <w:numId w:val="10"/>
        </w:numPr>
        <w:tabs>
          <w:tab w:val="left" w:pos="867"/>
        </w:tabs>
        <w:spacing w:before="88" w:line="305" w:lineRule="auto"/>
        <w:ind w:left="117" w:right="113"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监督抽查乙方供热、安全运行和服务的质量，定期组织专家进行中期评估（评估方法和标准见附件七</w:t>
      </w:r>
      <w:r>
        <w:rPr>
          <w:rFonts w:ascii="宋体" w:eastAsia="宋体" w:hAnsi="宋体" w:cs="宋体"/>
          <w:color w:val="231F20"/>
          <w:spacing w:val="-28"/>
          <w:sz w:val="22"/>
          <w:szCs w:val="22"/>
        </w:rPr>
        <w:t>）；</w:t>
      </w:r>
    </w:p>
    <w:p>
      <w:pPr>
        <w:widowControl w:val="0"/>
        <w:numPr>
          <w:ilvl w:val="0"/>
          <w:numId w:val="10"/>
        </w:numPr>
        <w:tabs>
          <w:tab w:val="left" w:pos="867"/>
        </w:tabs>
        <w:spacing w:before="2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会同价格主管部门制定和调整、监管供热价格；</w:t>
      </w:r>
    </w:p>
    <w:p>
      <w:pPr>
        <w:widowControl w:val="0"/>
        <w:numPr>
          <w:ilvl w:val="0"/>
          <w:numId w:val="10"/>
        </w:numPr>
        <w:tabs>
          <w:tab w:val="left" w:pos="867"/>
        </w:tabs>
        <w:spacing w:before="8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核查乙方的特许经营报告、财务报告；</w:t>
      </w:r>
    </w:p>
    <w:p>
      <w:pPr>
        <w:widowControl w:val="0"/>
        <w:numPr>
          <w:ilvl w:val="0"/>
          <w:numId w:val="10"/>
        </w:numPr>
        <w:tabs>
          <w:tab w:val="left" w:pos="867"/>
        </w:tabs>
        <w:spacing w:before="89" w:line="305" w:lineRule="auto"/>
        <w:ind w:left="117" w:right="11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甲方享有紧急处置权。甲方对乙方在冬季供热期间拒绝供热或不能保证供热质量，且直接影响到居民正常采暖，给社会造成恶劣影响的行为，可以采取临时应急接管措施；</w:t>
      </w:r>
    </w:p>
    <w:p>
      <w:pPr>
        <w:widowControl w:val="0"/>
        <w:numPr>
          <w:ilvl w:val="0"/>
          <w:numId w:val="10"/>
        </w:numPr>
        <w:tabs>
          <w:tab w:val="left" w:pos="867"/>
        </w:tabs>
        <w:spacing w:before="20"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法律规定的其他监管权利。</w:t>
      </w:r>
    </w:p>
    <w:p>
      <w:pPr>
        <w:widowControl w:val="0"/>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1602 甲方义务</w:t>
      </w:r>
    </w:p>
    <w:p>
      <w:pPr>
        <w:widowControl w:val="0"/>
        <w:numPr>
          <w:ilvl w:val="0"/>
          <w:numId w:val="11"/>
        </w:numPr>
        <w:spacing w:before="101"/>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在本协议生效后办理交付乙方特许经营的手续；</w:t>
      </w:r>
    </w:p>
    <w:p>
      <w:pPr>
        <w:widowControl w:val="0"/>
        <w:numPr>
          <w:ilvl w:val="0"/>
          <w:numId w:val="11"/>
        </w:numPr>
        <w:spacing w:before="88"/>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维护特许经营权的完整、专营和独占性；</w:t>
      </w:r>
    </w:p>
    <w:p>
      <w:pPr>
        <w:widowControl w:val="0"/>
        <w:numPr>
          <w:ilvl w:val="0"/>
          <w:numId w:val="11"/>
        </w:numPr>
        <w:spacing w:before="88"/>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维护特许经营范围内城镇供热市场秩序；</w:t>
      </w:r>
    </w:p>
    <w:p>
      <w:pPr>
        <w:widowControl w:val="0"/>
        <w:numPr>
          <w:ilvl w:val="0"/>
          <w:numId w:val="11"/>
        </w:numPr>
        <w:spacing w:before="88"/>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为乙方的特许经营提供必须的政策支持；</w:t>
      </w:r>
    </w:p>
    <w:p>
      <w:pPr>
        <w:widowControl w:val="0"/>
        <w:numPr>
          <w:ilvl w:val="0"/>
          <w:numId w:val="11"/>
        </w:numPr>
        <w:spacing w:before="88"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法律及本协议规定的其他义务。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4052"/>
        </w:tabs>
        <w:spacing w:before="10" w:after="0"/>
        <w:ind w:left="2852"/>
        <w:rPr>
          <w:rFonts w:ascii="Times New Roman" w:eastAsia="Times New Roman" w:hAnsi="Times New Roman" w:cs="Times New Roman"/>
          <w:sz w:val="24"/>
          <w:szCs w:val="24"/>
        </w:rPr>
      </w:pPr>
      <w:r>
        <w:rPr>
          <w:rFonts w:ascii="宋体" w:eastAsia="宋体" w:hAnsi="宋体" w:cs="宋体"/>
          <w:color w:val="231F20"/>
        </w:rPr>
        <w:t>第十七章</w:t>
      </w:r>
      <w:r>
        <w:rPr>
          <w:rFonts w:ascii="宋体" w:eastAsia="宋体" w:hAnsi="宋体" w:cs="宋体"/>
          <w:color w:val="231F20"/>
          <w:sz w:val="24"/>
          <w:szCs w:val="24"/>
        </w:rPr>
        <w:tab/>
      </w:r>
      <w:r>
        <w:rPr>
          <w:rFonts w:ascii="宋体" w:eastAsia="宋体" w:hAnsi="宋体" w:cs="宋体"/>
          <w:color w:val="231F20"/>
        </w:rPr>
        <w:t>乙方的权利义务及承诺</w:t>
      </w:r>
    </w:p>
    <w:p>
      <w:pPr>
        <w:widowControl w:val="0"/>
        <w:spacing w:before="8"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1701 乙方权利</w:t>
      </w:r>
    </w:p>
    <w:p>
      <w:pPr>
        <w:widowControl w:val="0"/>
        <w:numPr>
          <w:ilvl w:val="0"/>
          <w:numId w:val="12"/>
        </w:numPr>
        <w:spacing w:before="101"/>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对依据本协议规定的有效期限和区域范围内的供热业务享有独家经营的权利；</w:t>
      </w:r>
    </w:p>
    <w:p>
      <w:pPr>
        <w:widowControl w:val="0"/>
        <w:numPr>
          <w:ilvl w:val="0"/>
          <w:numId w:val="12"/>
        </w:numPr>
        <w:spacing w:before="88"/>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拥有在特许经营有效期限和区域范围内的供热投资、发展权；</w:t>
      </w:r>
    </w:p>
    <w:p>
      <w:pPr>
        <w:widowControl w:val="0"/>
        <w:numPr>
          <w:ilvl w:val="0"/>
          <w:numId w:val="12"/>
        </w:numPr>
        <w:spacing w:before="88"/>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依据本协议规定的价格机制，向用户收取规定的供热供应费及相关服务费；</w:t>
      </w:r>
    </w:p>
    <w:p>
      <w:pPr>
        <w:widowControl w:val="0"/>
        <w:numPr>
          <w:ilvl w:val="0"/>
          <w:numId w:val="12"/>
        </w:numPr>
        <w:spacing w:before="88"/>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经有关部门批准，占用公共用地或城市道路维护供热管网的权利；</w:t>
      </w:r>
    </w:p>
    <w:p>
      <w:pPr>
        <w:widowControl w:val="0"/>
        <w:numPr>
          <w:ilvl w:val="0"/>
          <w:numId w:val="12"/>
        </w:numPr>
        <w:spacing w:before="88"/>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对拒缴、欠缴应向乙方缴纳的费用的供热用户依法追缴的权利；</w:t>
      </w:r>
    </w:p>
    <w:p>
      <w:pPr>
        <w:widowControl w:val="0"/>
        <w:numPr>
          <w:ilvl w:val="0"/>
          <w:numId w:val="12"/>
        </w:numPr>
        <w:spacing w:before="88"/>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对用热设施不符合国家有关安全技术标准或存在安全隐患的用户暂停供热服务的权利；</w:t>
      </w:r>
    </w:p>
    <w:p>
      <w:pPr>
        <w:widowControl w:val="0"/>
        <w:numPr>
          <w:ilvl w:val="0"/>
          <w:numId w:val="12"/>
        </w:numPr>
        <w:spacing w:before="88"/>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对严重违反供、用热协议的用户有依法举报的权利；</w:t>
      </w:r>
    </w:p>
    <w:p>
      <w:pPr>
        <w:widowControl w:val="0"/>
        <w:numPr>
          <w:ilvl w:val="0"/>
          <w:numId w:val="12"/>
        </w:numPr>
        <w:spacing w:before="88"/>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9"/>
          <w:sz w:val="22"/>
          <w:szCs w:val="22"/>
        </w:rPr>
        <w:t>特许经营期限届满后，乙方重新参与特许经营权竞争的，在同等条件下乙方享有优先权；</w:t>
      </w:r>
    </w:p>
    <w:p>
      <w:pPr>
        <w:widowControl w:val="0"/>
        <w:numPr>
          <w:ilvl w:val="0"/>
          <w:numId w:val="12"/>
        </w:numPr>
        <w:spacing w:before="88"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法律及本协议规定的其他权利。</w:t>
      </w:r>
    </w:p>
    <w:p>
      <w:pPr>
        <w:widowControl w:val="0"/>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1702 乙方义务和禁止行为</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特许经营期间，乙方负有下列义务：</w:t>
      </w:r>
    </w:p>
    <w:p>
      <w:pPr>
        <w:widowControl w:val="0"/>
        <w:numPr>
          <w:ilvl w:val="0"/>
          <w:numId w:val="13"/>
        </w:numPr>
        <w:tabs>
          <w:tab w:val="left" w:pos="867"/>
        </w:tabs>
        <w:spacing w:before="88"/>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接受甲方的监管及社会公众的监督；</w:t>
      </w:r>
    </w:p>
    <w:p>
      <w:pPr>
        <w:widowControl w:val="0"/>
        <w:numPr>
          <w:ilvl w:val="0"/>
          <w:numId w:val="13"/>
        </w:numPr>
        <w:tabs>
          <w:tab w:val="left" w:pos="867"/>
        </w:tabs>
        <w:spacing w:before="88"/>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非经甲方批准，乙方不得自行决定或促使自身停热、解散、歇业；</w:t>
      </w:r>
    </w:p>
    <w:p>
      <w:pPr>
        <w:widowControl w:val="0"/>
        <w:numPr>
          <w:ilvl w:val="0"/>
          <w:numId w:val="13"/>
        </w:numPr>
        <w:tabs>
          <w:tab w:val="left" w:pos="867"/>
        </w:tabs>
        <w:spacing w:before="88" w:line="305" w:lineRule="auto"/>
        <w:ind w:left="117" w:right="208"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5"/>
          <w:sz w:val="22"/>
          <w:szCs w:val="22"/>
        </w:rPr>
        <w:t>非经甲方批准及不可抗力事件发生，乙方必须保证特许经营区域内供热生产和运行正</w:t>
      </w:r>
      <w:r>
        <w:rPr>
          <w:rFonts w:ascii="宋体" w:eastAsia="宋体" w:hAnsi="宋体" w:cs="宋体"/>
          <w:color w:val="231F20"/>
          <w:spacing w:val="0"/>
          <w:sz w:val="22"/>
          <w:szCs w:val="22"/>
        </w:rPr>
        <w:t>常，禁止擅自停热或降低供热质量，发生故障时应快速抢修，直至恢复安全运行；</w:t>
      </w:r>
    </w:p>
    <w:p>
      <w:pPr>
        <w:widowControl w:val="0"/>
        <w:numPr>
          <w:ilvl w:val="0"/>
          <w:numId w:val="13"/>
        </w:numPr>
        <w:tabs>
          <w:tab w:val="left" w:pos="867"/>
        </w:tabs>
        <w:spacing w:before="2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按照国家、省、市、行业及有关标准和乙方制定的各项规章制度，实施运行管理。</w:t>
      </w:r>
    </w:p>
    <w:p>
      <w:pPr>
        <w:widowControl w:val="0"/>
        <w:numPr>
          <w:ilvl w:val="0"/>
          <w:numId w:val="13"/>
        </w:numPr>
        <w:tabs>
          <w:tab w:val="left" w:pos="867"/>
        </w:tabs>
        <w:spacing w:before="8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按照乙方承诺供热质量和服务标准向用户提供供热相关服务；</w:t>
      </w:r>
    </w:p>
    <w:p>
      <w:pPr>
        <w:widowControl w:val="0"/>
        <w:numPr>
          <w:ilvl w:val="0"/>
          <w:numId w:val="13"/>
        </w:numPr>
        <w:tabs>
          <w:tab w:val="left" w:pos="867"/>
        </w:tabs>
        <w:spacing w:before="89" w:line="305" w:lineRule="auto"/>
        <w:ind w:left="117" w:right="107"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根据供热规划和市场需要，乙方应提高供热保障能力，扩建供热管网，积极发展用户， 不断满足用户对供热的新需求。</w:t>
      </w:r>
    </w:p>
    <w:p>
      <w:pPr>
        <w:widowControl w:val="0"/>
        <w:numPr>
          <w:ilvl w:val="0"/>
          <w:numId w:val="13"/>
        </w:numPr>
        <w:tabs>
          <w:tab w:val="left" w:pos="867"/>
        </w:tabs>
        <w:spacing w:before="20" w:line="305" w:lineRule="auto"/>
        <w:ind w:left="117" w:right="21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乙方应执行当地政府供热资源整合规划和环境治理的计划，积极配合完成资源整合和环保的任务。</w:t>
      </w:r>
    </w:p>
    <w:p>
      <w:pPr>
        <w:widowControl w:val="0"/>
        <w:numPr>
          <w:ilvl w:val="0"/>
          <w:numId w:val="13"/>
        </w:numPr>
        <w:tabs>
          <w:tab w:val="left" w:pos="867"/>
        </w:tabs>
        <w:spacing w:before="20" w:line="305" w:lineRule="auto"/>
        <w:ind w:left="117" w:right="216"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特许经营期间，乙方未经甲方批准，不得擅自转让、出租、抵押或变更特许经营权，不得放弃、变换、扩大、缩小、分包、承包、委托、出租、抵押供热主业。</w:t>
      </w:r>
    </w:p>
    <w:p>
      <w:pPr>
        <w:widowControl w:val="0"/>
        <w:numPr>
          <w:ilvl w:val="0"/>
          <w:numId w:val="13"/>
        </w:numPr>
        <w:tabs>
          <w:tab w:val="left" w:pos="867"/>
        </w:tabs>
        <w:spacing w:before="20" w:after="0" w:line="305" w:lineRule="auto"/>
        <w:ind w:left="117" w:right="213"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经甲方批准，对于乙方从事的特许经营业务衍生出来的相关业务，乙方可通过委托、发包等方式将其交由具备相应资质的社会第三方经营，但属于特许经营范畴的业务不得委托或发包给社会第三方经营。</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特许经营期间，乙方不得实施以下行为：</w:t>
      </w:r>
    </w:p>
    <w:p>
      <w:pPr>
        <w:widowControl w:val="0"/>
        <w:numPr>
          <w:ilvl w:val="0"/>
          <w:numId w:val="14"/>
        </w:numPr>
        <w:tabs>
          <w:tab w:val="left" w:pos="867"/>
        </w:tabs>
        <w:spacing w:before="8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违规、违法经营的；</w:t>
      </w:r>
    </w:p>
    <w:p>
      <w:pPr>
        <w:widowControl w:val="0"/>
        <w:numPr>
          <w:ilvl w:val="0"/>
          <w:numId w:val="14"/>
        </w:numPr>
        <w:tabs>
          <w:tab w:val="left" w:pos="867"/>
        </w:tabs>
        <w:spacing w:before="89" w:after="0" w:line="305" w:lineRule="auto"/>
        <w:ind w:left="117" w:right="213"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未按要求履行本协议，供热供应、运行和服务质量不符合标准，并未按行业主管部门要求进行限期整改的；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5"/>
        </w:numPr>
        <w:tabs>
          <w:tab w:val="left" w:pos="867"/>
        </w:tabs>
        <w:spacing w:before="24"/>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未经政府及甲方批准，擅自转让、出租、抵押或变更特许经营权的；</w:t>
      </w:r>
    </w:p>
    <w:p>
      <w:pPr>
        <w:widowControl w:val="0"/>
        <w:numPr>
          <w:ilvl w:val="0"/>
          <w:numId w:val="15"/>
        </w:numPr>
        <w:tabs>
          <w:tab w:val="left" w:pos="867"/>
        </w:tabs>
        <w:spacing w:before="8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未经甲方批准，擅自停热、停业、歇业或终止本协议，影响到社会公共利益和安全的；</w:t>
      </w:r>
    </w:p>
    <w:p>
      <w:pPr>
        <w:widowControl w:val="0"/>
        <w:numPr>
          <w:ilvl w:val="0"/>
          <w:numId w:val="15"/>
        </w:numPr>
        <w:tabs>
          <w:tab w:val="left" w:pos="867"/>
        </w:tabs>
        <w:spacing w:before="8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发生重大供热质量、安全生产责任事故或企业法人有重大违规违纪行为的；</w:t>
      </w:r>
    </w:p>
    <w:p>
      <w:pPr>
        <w:widowControl w:val="0"/>
        <w:numPr>
          <w:ilvl w:val="0"/>
          <w:numId w:val="15"/>
        </w:numPr>
        <w:tabs>
          <w:tab w:val="left" w:pos="867"/>
        </w:tabs>
        <w:spacing w:before="8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不按城市规划投资、建设供热设施，经供热管理部门限期改正但拒不改正的；</w:t>
      </w:r>
    </w:p>
    <w:p>
      <w:pPr>
        <w:widowControl w:val="0"/>
        <w:numPr>
          <w:ilvl w:val="0"/>
          <w:numId w:val="15"/>
        </w:numPr>
        <w:tabs>
          <w:tab w:val="left" w:pos="867"/>
        </w:tabs>
        <w:spacing w:before="89" w:line="305" w:lineRule="auto"/>
        <w:ind w:left="117" w:right="210"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在特许经营期限内滥用特许经营权，违背市场原则，以不正当竞争的手段垄断封闭供热建筑设计、施工、设备采购市场，进行关联交易，损害公众利益并造成不良影响，经有关主管部门劝阻拒绝改正的；</w:t>
      </w:r>
    </w:p>
    <w:p>
      <w:pPr>
        <w:widowControl w:val="0"/>
        <w:numPr>
          <w:ilvl w:val="0"/>
          <w:numId w:val="15"/>
        </w:numPr>
        <w:tabs>
          <w:tab w:val="left" w:pos="867"/>
        </w:tabs>
        <w:spacing w:before="21"/>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拒绝接受监督管理，情节严重的；</w:t>
      </w:r>
    </w:p>
    <w:p>
      <w:pPr>
        <w:widowControl w:val="0"/>
        <w:numPr>
          <w:ilvl w:val="0"/>
          <w:numId w:val="15"/>
        </w:numPr>
        <w:tabs>
          <w:tab w:val="left" w:pos="867"/>
        </w:tabs>
        <w:spacing w:before="8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不履行特许经营协议义务，违反申请特许经营权时所承诺的；</w:t>
      </w:r>
    </w:p>
    <w:p>
      <w:pPr>
        <w:widowControl w:val="0"/>
        <w:numPr>
          <w:ilvl w:val="0"/>
          <w:numId w:val="15"/>
        </w:numPr>
        <w:tabs>
          <w:tab w:val="left" w:pos="1440"/>
        </w:tabs>
        <w:spacing w:before="89"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法律规定的其他情形。</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1703 乙方承诺</w:t>
      </w:r>
    </w:p>
    <w:p>
      <w:pPr>
        <w:widowControl w:val="0"/>
        <w:numPr>
          <w:ilvl w:val="0"/>
          <w:numId w:val="16"/>
        </w:numPr>
        <w:spacing w:before="102"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供热服务承诺</w:t>
      </w:r>
    </w:p>
    <w:p>
      <w:pPr>
        <w:widowControl w:val="0"/>
        <w:spacing w:before="89" w:after="0" w:line="305" w:lineRule="auto"/>
        <w:ind w:left="117" w:right="75" w:firstLine="440"/>
        <w:rPr>
          <w:rFonts w:ascii="Times New Roman" w:eastAsia="Times New Roman" w:hAnsi="Times New Roman" w:cs="Times New Roman"/>
          <w:sz w:val="22"/>
          <w:szCs w:val="22"/>
        </w:rPr>
      </w:pPr>
      <w:r>
        <w:rPr>
          <w:rFonts w:ascii="宋体" w:eastAsia="宋体" w:hAnsi="宋体" w:cs="宋体"/>
          <w:color w:val="231F20"/>
          <w:sz w:val="22"/>
          <w:szCs w:val="22"/>
        </w:rPr>
        <w:t>乙方保证善意地、适当地行使本协议授予乙方的供热特许经营权，尽最大限度地为市民、</w:t>
      </w:r>
      <w:r>
        <w:rPr>
          <w:rFonts w:ascii="宋体" w:eastAsia="宋体" w:hAnsi="宋体" w:cs="宋体"/>
          <w:color w:val="231F20"/>
          <w:spacing w:val="-3"/>
          <w:sz w:val="22"/>
          <w:szCs w:val="22"/>
        </w:rPr>
        <w:t>企业及其他供热用户提供公平、优质、普遍的供应与服务；并遵循城市发展规划、环保规划及 城镇供热专项规划，投资建设新的供热设施，满足社会对供热利用的新需求。</w:t>
      </w:r>
    </w:p>
    <w:p>
      <w:pPr>
        <w:widowControl w:val="0"/>
        <w:numPr>
          <w:ilvl w:val="0"/>
          <w:numId w:val="17"/>
        </w:numPr>
        <w:spacing w:before="21"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合理价格承诺</w:t>
      </w:r>
    </w:p>
    <w:p>
      <w:pPr>
        <w:widowControl w:val="0"/>
        <w:spacing w:before="89"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z w:val="22"/>
          <w:szCs w:val="22"/>
        </w:rPr>
        <w:t>乙方保证采取一切应当采取的措施，严格控制成本，接受政府监管和社会监督，促使供热价格合理、公平、公开，并使之获得供热用户的理解和支持。</w:t>
      </w:r>
    </w:p>
    <w:p>
      <w:pPr>
        <w:widowControl w:val="0"/>
        <w:numPr>
          <w:ilvl w:val="0"/>
          <w:numId w:val="18"/>
        </w:numPr>
        <w:spacing w:before="20"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降低供热成本承诺</w:t>
      </w:r>
    </w:p>
    <w:p>
      <w:pPr>
        <w:widowControl w:val="0"/>
        <w:spacing w:before="88"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z w:val="22"/>
          <w:szCs w:val="22"/>
        </w:rPr>
        <w:t>乙方保证完善内部管理，严格控制成本，开发和应用先进技术，采用新型能源，不断地降低供热成本。</w:t>
      </w:r>
    </w:p>
    <w:p>
      <w:pPr>
        <w:widowControl w:val="0"/>
        <w:numPr>
          <w:ilvl w:val="0"/>
          <w:numId w:val="19"/>
        </w:numPr>
        <w:spacing w:before="20"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提高环境保护质量承诺</w:t>
      </w:r>
    </w:p>
    <w:p>
      <w:pPr>
        <w:widowControl w:val="0"/>
        <w:spacing w:before="89"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z w:val="22"/>
          <w:szCs w:val="22"/>
        </w:rPr>
        <w:t>乙方承诺在特许经营期间的一切经营和供热服务中，充分考虑对环境的影响，采用先进的环保技术和措施，减少环境污染，维护生态环境。</w:t>
      </w:r>
    </w:p>
    <w:p>
      <w:pPr>
        <w:widowControl w:val="0"/>
        <w:numPr>
          <w:ilvl w:val="0"/>
          <w:numId w:val="20"/>
        </w:numPr>
        <w:spacing w:before="21"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开展公益服务承诺</w:t>
      </w:r>
    </w:p>
    <w:p>
      <w:pPr>
        <w:widowControl w:val="0"/>
        <w:spacing w:before="89"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z w:val="22"/>
          <w:szCs w:val="22"/>
        </w:rPr>
        <w:t>乙方承诺在特许经营期间，面向广大市民及供热用户开展供热公益活动，宣传供热知识及相关能源知识，促进供热在人们生活、生产中的合理应用。</w:t>
      </w:r>
    </w:p>
    <w:p>
      <w:pPr>
        <w:widowControl w:val="0"/>
        <w:numPr>
          <w:ilvl w:val="0"/>
          <w:numId w:val="21"/>
        </w:numPr>
        <w:spacing w:before="21"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提高供热信息化水平承诺</w:t>
      </w:r>
    </w:p>
    <w:p>
      <w:pPr>
        <w:widowControl w:val="0"/>
        <w:spacing w:before="89" w:after="0" w:line="305"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乙方承诺在特许经营期间不断提高企业信息化水平，对供热设施的图纸资料、供热管理资料、用户基本信息及其他与供热经营服务有关的信息进行收集、归类和整理，建立和完善供热服务信息管理系统。</w:t>
      </w:r>
    </w:p>
    <w:p>
      <w:pPr>
        <w:widowControl w:val="0"/>
        <w:spacing w:before="20" w:after="0" w:line="305" w:lineRule="auto"/>
        <w:ind w:left="557" w:right="199"/>
        <w:rPr>
          <w:rFonts w:ascii="Times New Roman" w:eastAsia="Times New Roman" w:hAnsi="Times New Roman" w:cs="Times New Roman"/>
          <w:sz w:val="22"/>
          <w:szCs w:val="22"/>
        </w:rPr>
      </w:pPr>
      <w:r>
        <w:rPr>
          <w:rFonts w:ascii="宋体" w:eastAsia="宋体" w:hAnsi="宋体" w:cs="宋体"/>
          <w:color w:val="231F20"/>
          <w:sz w:val="22"/>
          <w:szCs w:val="22"/>
        </w:rPr>
        <w:t>乙方承诺建立收费、服务信息管理系统并纳入供热管理部门的网络，实现信息资源共享。乙方承诺建立并完善其互联网站，以便向社会公众用户提供网上供热开户申请、用热咨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询、安全说明、热费查询、受理投诉等综合信息服务。</w:t>
      </w:r>
    </w:p>
    <w:p>
      <w:pPr>
        <w:widowControl w:val="0"/>
        <w:spacing w:before="4" w:after="0"/>
        <w:rPr>
          <w:rFonts w:ascii="Times New Roman" w:eastAsia="Times New Roman" w:hAnsi="Times New Roman" w:cs="Times New Roman"/>
          <w:sz w:val="16"/>
          <w:szCs w:val="16"/>
        </w:rPr>
      </w:pPr>
    </w:p>
    <w:p>
      <w:pPr>
        <w:widowControl w:val="0"/>
        <w:tabs>
          <w:tab w:val="left" w:pos="1199"/>
        </w:tabs>
        <w:spacing w:before="1" w:after="0"/>
        <w:jc w:val="center"/>
        <w:rPr>
          <w:rFonts w:ascii="Times New Roman" w:eastAsia="Times New Roman" w:hAnsi="Times New Roman" w:cs="Times New Roman"/>
          <w:sz w:val="24"/>
          <w:szCs w:val="24"/>
        </w:rPr>
      </w:pPr>
      <w:r>
        <w:rPr>
          <w:rFonts w:ascii="宋体" w:eastAsia="宋体" w:hAnsi="宋体" w:cs="宋体"/>
          <w:color w:val="231F20"/>
        </w:rPr>
        <w:t>第十八章</w:t>
      </w:r>
      <w:r>
        <w:rPr>
          <w:rFonts w:ascii="宋体" w:eastAsia="宋体" w:hAnsi="宋体" w:cs="宋体"/>
          <w:color w:val="231F20"/>
          <w:sz w:val="24"/>
          <w:szCs w:val="24"/>
        </w:rPr>
        <w:tab/>
      </w:r>
      <w:r>
        <w:rPr>
          <w:rFonts w:ascii="宋体" w:eastAsia="宋体" w:hAnsi="宋体" w:cs="宋体"/>
          <w:color w:val="231F20"/>
        </w:rPr>
        <w:t>法律责任</w:t>
      </w:r>
    </w:p>
    <w:p>
      <w:pPr>
        <w:widowControl w:val="0"/>
        <w:spacing w:before="8" w:after="0"/>
        <w:rPr>
          <w:rFonts w:ascii="Times New Roman" w:eastAsia="Times New Roman" w:hAnsi="Times New Roman" w:cs="Times New Roman"/>
          <w:sz w:val="16"/>
          <w:szCs w:val="16"/>
        </w:rPr>
      </w:pPr>
    </w:p>
    <w:p>
      <w:pPr>
        <w:widowControl w:val="0"/>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1801 甲方法律责任</w:t>
      </w:r>
    </w:p>
    <w:p>
      <w:pPr>
        <w:widowControl w:val="0"/>
        <w:numPr>
          <w:ilvl w:val="0"/>
          <w:numId w:val="22"/>
        </w:numPr>
        <w:tabs>
          <w:tab w:val="left" w:pos="867"/>
        </w:tabs>
        <w:spacing w:before="102" w:line="305" w:lineRule="auto"/>
        <w:ind w:left="117" w:right="1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 xml:space="preserve">甲方违反本协议第 </w:t>
      </w:r>
      <w:r>
        <w:rPr>
          <w:rFonts w:ascii="宋体" w:eastAsia="宋体" w:hAnsi="宋体" w:cs="宋体"/>
          <w:color w:val="231F20"/>
          <w:sz w:val="22"/>
          <w:szCs w:val="22"/>
        </w:rPr>
        <w:t>403 条规定，对乙方的特许经营权构成妨碍的，应当及时改正，并应赔偿乙方因此而遭受的经济损失；</w:t>
      </w:r>
    </w:p>
    <w:p>
      <w:pPr>
        <w:widowControl w:val="0"/>
        <w:numPr>
          <w:ilvl w:val="0"/>
          <w:numId w:val="22"/>
        </w:numPr>
        <w:tabs>
          <w:tab w:val="left" w:pos="867"/>
        </w:tabs>
        <w:spacing w:before="21" w:line="305" w:lineRule="auto"/>
        <w:ind w:left="117" w:right="11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甲方违反本协议的有关规定，不将其投资建设的供热设施交付乙方使用或擅自处置其投资建设的供热设施的，应当及时改正，并应赔偿乙方因此而遭受的经济损失；</w:t>
      </w:r>
    </w:p>
    <w:p>
      <w:pPr>
        <w:widowControl w:val="0"/>
        <w:numPr>
          <w:ilvl w:val="0"/>
          <w:numId w:val="22"/>
        </w:numPr>
        <w:tabs>
          <w:tab w:val="left" w:pos="867"/>
        </w:tabs>
        <w:spacing w:before="21" w:line="305" w:lineRule="auto"/>
        <w:ind w:left="117" w:right="1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甲方违反本协议有关规定，在征用过程中或本协议终止后，拒不按照协议的约定进行补偿的，应当及时按照协议的约定进行补偿，并应按照中国人民银行公布的活期存款利率向乙方支付逾期支付补偿的利息；</w:t>
      </w:r>
    </w:p>
    <w:p>
      <w:pPr>
        <w:widowControl w:val="0"/>
        <w:numPr>
          <w:ilvl w:val="0"/>
          <w:numId w:val="22"/>
        </w:numPr>
        <w:tabs>
          <w:tab w:val="left" w:pos="867"/>
        </w:tabs>
        <w:spacing w:before="21" w:line="305" w:lineRule="auto"/>
        <w:ind w:left="117" w:right="1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甲方违反有关价格法规及本协议定价、调价程序，给乙方造成经济损失的，应当及时按照有关规定补偿乙方因此受到的经济损失；</w:t>
      </w:r>
    </w:p>
    <w:p>
      <w:pPr>
        <w:widowControl w:val="0"/>
        <w:numPr>
          <w:ilvl w:val="0"/>
          <w:numId w:val="22"/>
        </w:numPr>
        <w:tabs>
          <w:tab w:val="left" w:pos="867"/>
        </w:tabs>
        <w:spacing w:before="21" w:after="0" w:line="305" w:lineRule="auto"/>
        <w:ind w:left="117" w:right="11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甲方基于对获得特许经营者的监管的权力采用非正当行为对乙方实施罚款、吊销营业执照、撤销特许经营权，经法定程序（如行政复议、法院判决等）证明其行为错误时，应当改正其行为，并赔偿乙方因此受到的经济损失。</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1802 乙方法律责任</w:t>
      </w:r>
    </w:p>
    <w:p>
      <w:pPr>
        <w:widowControl w:val="0"/>
        <w:numPr>
          <w:ilvl w:val="0"/>
          <w:numId w:val="23"/>
        </w:numPr>
        <w:tabs>
          <w:tab w:val="left" w:pos="867"/>
        </w:tabs>
        <w:spacing w:before="101"/>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乙方对任何法律的违反，均适用所违反法律的处罚规定；</w:t>
      </w:r>
    </w:p>
    <w:p>
      <w:pPr>
        <w:widowControl w:val="0"/>
        <w:numPr>
          <w:ilvl w:val="0"/>
          <w:numId w:val="23"/>
        </w:numPr>
        <w:tabs>
          <w:tab w:val="left" w:pos="867"/>
        </w:tabs>
        <w:spacing w:before="89" w:line="305" w:lineRule="auto"/>
        <w:ind w:left="117" w:right="108"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w:t>
      </w:r>
      <w:r>
        <w:rPr>
          <w:rFonts w:ascii="宋体" w:eastAsia="宋体" w:hAnsi="宋体" w:cs="宋体"/>
          <w:color w:val="231F20"/>
          <w:spacing w:val="10"/>
          <w:sz w:val="22"/>
          <w:szCs w:val="22"/>
        </w:rPr>
        <w:t>方违反本协议规</w:t>
      </w:r>
      <w:r>
        <w:rPr>
          <w:rFonts w:ascii="宋体" w:eastAsia="宋体" w:hAnsi="宋体" w:cs="宋体"/>
          <w:color w:val="231F20"/>
          <w:spacing w:val="6"/>
          <w:sz w:val="22"/>
          <w:szCs w:val="22"/>
        </w:rPr>
        <w:t>定</w:t>
      </w:r>
      <w:r>
        <w:rPr>
          <w:rFonts w:ascii="宋体" w:eastAsia="宋体" w:hAnsi="宋体" w:cs="宋体"/>
          <w:color w:val="231F20"/>
          <w:spacing w:val="10"/>
          <w:sz w:val="22"/>
          <w:szCs w:val="22"/>
        </w:rPr>
        <w:t>，擅自处置供热设</w:t>
      </w:r>
      <w:r>
        <w:rPr>
          <w:rFonts w:ascii="宋体" w:eastAsia="宋体" w:hAnsi="宋体" w:cs="宋体"/>
          <w:color w:val="231F20"/>
          <w:spacing w:val="5"/>
          <w:sz w:val="22"/>
          <w:szCs w:val="22"/>
        </w:rPr>
        <w:t>施</w:t>
      </w:r>
      <w:r>
        <w:rPr>
          <w:rFonts w:ascii="宋体" w:eastAsia="宋体" w:hAnsi="宋体" w:cs="宋体"/>
          <w:color w:val="231F20"/>
          <w:spacing w:val="2"/>
          <w:sz w:val="22"/>
          <w:szCs w:val="22"/>
        </w:rPr>
        <w:t>的</w:t>
      </w:r>
      <w:r>
        <w:rPr>
          <w:rFonts w:ascii="宋体" w:eastAsia="宋体" w:hAnsi="宋体" w:cs="宋体"/>
          <w:color w:val="231F20"/>
          <w:spacing w:val="5"/>
          <w:sz w:val="22"/>
          <w:szCs w:val="22"/>
        </w:rPr>
        <w:t>，应当恢复原</w:t>
      </w:r>
      <w:r>
        <w:rPr>
          <w:rFonts w:ascii="宋体" w:eastAsia="宋体" w:hAnsi="宋体" w:cs="宋体"/>
          <w:color w:val="231F20"/>
          <w:spacing w:val="2"/>
          <w:sz w:val="22"/>
          <w:szCs w:val="22"/>
        </w:rPr>
        <w:t>状</w:t>
      </w:r>
      <w:r>
        <w:rPr>
          <w:rFonts w:ascii="宋体" w:eastAsia="宋体" w:hAnsi="宋体" w:cs="宋体"/>
          <w:color w:val="231F20"/>
          <w:spacing w:val="5"/>
          <w:sz w:val="22"/>
          <w:szCs w:val="22"/>
        </w:rPr>
        <w:t>，如无法恢复原状</w:t>
      </w:r>
      <w:r>
        <w:rPr>
          <w:rFonts w:ascii="宋体" w:eastAsia="宋体" w:hAnsi="宋体" w:cs="宋体"/>
          <w:color w:val="231F20"/>
          <w:spacing w:val="2"/>
          <w:sz w:val="22"/>
          <w:szCs w:val="22"/>
        </w:rPr>
        <w:t>的</w:t>
      </w:r>
      <w:r>
        <w:rPr>
          <w:rFonts w:ascii="宋体" w:eastAsia="宋体" w:hAnsi="宋体" w:cs="宋体"/>
          <w:color w:val="231F20"/>
          <w:spacing w:val="5"/>
          <w:sz w:val="22"/>
          <w:szCs w:val="22"/>
        </w:rPr>
        <w:t>，应</w:t>
      </w:r>
      <w:r>
        <w:rPr>
          <w:rFonts w:ascii="宋体" w:eastAsia="宋体" w:hAnsi="宋体" w:cs="宋体"/>
          <w:color w:val="231F20"/>
          <w:spacing w:val="7"/>
          <w:sz w:val="22"/>
          <w:szCs w:val="22"/>
        </w:rPr>
        <w:t>当重新投资建设相应的供热设</w:t>
      </w:r>
      <w:r>
        <w:rPr>
          <w:rFonts w:ascii="宋体" w:eastAsia="宋体" w:hAnsi="宋体" w:cs="宋体"/>
          <w:color w:val="231F20"/>
          <w:spacing w:val="2"/>
          <w:sz w:val="22"/>
          <w:szCs w:val="22"/>
        </w:rPr>
        <w:t>施</w:t>
      </w:r>
      <w:r>
        <w:rPr>
          <w:rFonts w:ascii="宋体" w:eastAsia="宋体" w:hAnsi="宋体" w:cs="宋体"/>
          <w:color w:val="231F20"/>
          <w:spacing w:val="7"/>
          <w:sz w:val="22"/>
          <w:szCs w:val="22"/>
        </w:rPr>
        <w:t>，并应向甲方或</w:t>
      </w:r>
      <w:r>
        <w:rPr>
          <w:rFonts w:ascii="宋体" w:eastAsia="宋体" w:hAnsi="宋体" w:cs="宋体"/>
          <w:color w:val="231F20"/>
          <w:spacing w:val="5"/>
          <w:sz w:val="22"/>
          <w:szCs w:val="22"/>
        </w:rPr>
        <w:t>供热管理部门支</w:t>
      </w:r>
      <w:r>
        <w:rPr>
          <w:rFonts w:ascii="宋体" w:eastAsia="宋体" w:hAnsi="宋体" w:cs="宋体"/>
          <w:color w:val="231F20"/>
          <w:spacing w:val="0"/>
          <w:sz w:val="22"/>
          <w:szCs w:val="22"/>
        </w:rPr>
        <w:t>付</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5"/>
          <w:sz w:val="22"/>
          <w:szCs w:val="22"/>
        </w:rPr>
        <w:t>万元人民币的违</w:t>
      </w:r>
      <w:r>
        <w:rPr>
          <w:rFonts w:ascii="宋体" w:eastAsia="宋体" w:hAnsi="宋体" w:cs="宋体"/>
          <w:color w:val="231F20"/>
          <w:spacing w:val="0"/>
          <w:sz w:val="22"/>
          <w:szCs w:val="22"/>
        </w:rPr>
        <w:t>约金；</w:t>
      </w:r>
    </w:p>
    <w:p>
      <w:pPr>
        <w:widowControl w:val="0"/>
        <w:numPr>
          <w:ilvl w:val="0"/>
          <w:numId w:val="23"/>
        </w:numPr>
        <w:tabs>
          <w:tab w:val="left" w:pos="867"/>
        </w:tabs>
        <w:spacing w:before="21" w:line="305" w:lineRule="auto"/>
        <w:ind w:left="117" w:right="111"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乙方违反本协议第</w:t>
      </w:r>
      <w:r>
        <w:rPr>
          <w:rFonts w:ascii="宋体" w:eastAsia="宋体" w:hAnsi="宋体" w:cs="宋体"/>
          <w:color w:val="231F20"/>
          <w:spacing w:val="12"/>
          <w:sz w:val="22"/>
          <w:szCs w:val="22"/>
        </w:rPr>
        <w:t xml:space="preserve"> </w:t>
      </w:r>
      <w:r>
        <w:rPr>
          <w:rFonts w:ascii="宋体" w:eastAsia="宋体" w:hAnsi="宋体" w:cs="宋体"/>
          <w:color w:val="231F20"/>
          <w:spacing w:val="0"/>
          <w:sz w:val="22"/>
          <w:szCs w:val="22"/>
        </w:rPr>
        <w:t>702</w:t>
      </w:r>
      <w:r>
        <w:rPr>
          <w:rFonts w:ascii="宋体" w:eastAsia="宋体" w:hAnsi="宋体" w:cs="宋体"/>
          <w:color w:val="231F20"/>
          <w:spacing w:val="12"/>
          <w:sz w:val="22"/>
          <w:szCs w:val="22"/>
        </w:rPr>
        <w:t xml:space="preserve"> </w:t>
      </w:r>
      <w:r>
        <w:rPr>
          <w:rFonts w:ascii="宋体" w:eastAsia="宋体" w:hAnsi="宋体" w:cs="宋体"/>
          <w:color w:val="231F20"/>
          <w:spacing w:val="0"/>
          <w:sz w:val="22"/>
          <w:szCs w:val="22"/>
        </w:rPr>
        <w:t>条的规定，拒不接受甲方的依法征用或征收时，应当服从甲方的依法征用或征收，并应向甲方或供热管理部门支付</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万元人民币的违约金；</w:t>
      </w:r>
    </w:p>
    <w:p>
      <w:pPr>
        <w:widowControl w:val="0"/>
        <w:numPr>
          <w:ilvl w:val="0"/>
          <w:numId w:val="23"/>
        </w:numPr>
        <w:tabs>
          <w:tab w:val="left" w:pos="867"/>
        </w:tabs>
        <w:spacing w:before="21" w:line="305" w:lineRule="auto"/>
        <w:ind w:left="117" w:right="113"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乙方违反本协议的规定，擅自解散或歇业的，应当及时恢复营业，并应向甲方或供热管理部门支付</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万元人民币的违约金；</w:t>
      </w:r>
    </w:p>
    <w:p>
      <w:pPr>
        <w:widowControl w:val="0"/>
        <w:numPr>
          <w:ilvl w:val="0"/>
          <w:numId w:val="23"/>
        </w:numPr>
        <w:tabs>
          <w:tab w:val="left" w:pos="867"/>
        </w:tabs>
        <w:spacing w:before="21" w:line="305" w:lineRule="auto"/>
        <w:ind w:left="117" w:right="113"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乙方违反本协议的规定，对擅自停热负有责任的，应当及时采取措施恢复供热，甲方可根据事态的严重程度要求乙方支付</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万到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万元人民币的违约金；</w:t>
      </w:r>
    </w:p>
    <w:p>
      <w:pPr>
        <w:widowControl w:val="0"/>
        <w:numPr>
          <w:ilvl w:val="0"/>
          <w:numId w:val="23"/>
        </w:numPr>
        <w:tabs>
          <w:tab w:val="left" w:pos="867"/>
        </w:tabs>
        <w:spacing w:before="21" w:line="305" w:lineRule="auto"/>
        <w:ind w:left="117" w:right="113"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乙方违反本协议的规定，未经甲方批准，擅自转让、出租、抵押或变更特许经营权，擅自改变主业的，应当及时纠正并恢复主业，应向甲方或供热管理部门支付</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万元人民币 的违约金；</w:t>
      </w:r>
    </w:p>
    <w:p>
      <w:pPr>
        <w:widowControl w:val="0"/>
        <w:numPr>
          <w:ilvl w:val="0"/>
          <w:numId w:val="23"/>
        </w:numPr>
        <w:tabs>
          <w:tab w:val="left" w:pos="867"/>
          <w:tab w:val="left" w:pos="9076"/>
        </w:tabs>
        <w:spacing w:before="21" w:line="305" w:lineRule="auto"/>
        <w:ind w:left="117" w:right="227" w:firstLine="440"/>
        <w:jc w:val="left"/>
        <w:rPr>
          <w:rFonts w:ascii="Times New Roman" w:eastAsia="Times New Roman" w:hAnsi="Times New Roman" w:cs="Times New Roman"/>
          <w:color w:val="000000"/>
          <w:spacing w:val="0"/>
          <w:sz w:val="22"/>
          <w:szCs w:val="22"/>
          <w:u w:val="single" w:color="000000"/>
        </w:rPr>
      </w:pPr>
      <w:r>
        <w:rPr>
          <w:rFonts w:ascii="宋体" w:eastAsia="宋体" w:hAnsi="宋体" w:cs="宋体"/>
          <w:color w:val="231F20"/>
          <w:spacing w:val="0"/>
          <w:sz w:val="22"/>
          <w:szCs w:val="22"/>
        </w:rPr>
        <w:t>乙方违反本协议第</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1702</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条规定的，应当及时改</w:t>
      </w:r>
      <w:r>
        <w:rPr>
          <w:rFonts w:ascii="宋体" w:eastAsia="宋体" w:hAnsi="宋体" w:cs="宋体"/>
          <w:color w:val="231F20"/>
          <w:spacing w:val="52"/>
          <w:sz w:val="22"/>
          <w:szCs w:val="22"/>
        </w:rPr>
        <w:t>正</w:t>
      </w:r>
      <w:r>
        <w:rPr>
          <w:rFonts w:ascii="宋体" w:eastAsia="宋体" w:hAnsi="宋体" w:cs="宋体"/>
          <w:color w:val="231F20"/>
          <w:spacing w:val="0"/>
          <w:sz w:val="22"/>
          <w:szCs w:val="22"/>
        </w:rPr>
        <w:t>。甲方可酌情要求乙方支付</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 xml:space="preserve"> 万到</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万元人民币的违约金；</w:t>
      </w:r>
    </w:p>
    <w:p>
      <w:pPr>
        <w:widowControl w:val="0"/>
        <w:numPr>
          <w:ilvl w:val="0"/>
          <w:numId w:val="23"/>
        </w:numPr>
        <w:spacing w:before="21"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乙方违背本协议承诺的义务时，应当及时改正。甲方可根据事态的严重程度要求乙方支</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217"/>
          <w:tab w:val="left" w:pos="2537"/>
        </w:tabs>
        <w:spacing w:before="24"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付</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万到</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万元人民币的违约金；</w:t>
      </w:r>
    </w:p>
    <w:p>
      <w:pPr>
        <w:widowControl w:val="0"/>
        <w:numPr>
          <w:ilvl w:val="0"/>
          <w:numId w:val="24"/>
        </w:numPr>
        <w:tabs>
          <w:tab w:val="left" w:pos="867"/>
        </w:tabs>
        <w:spacing w:before="89" w:after="0" w:line="305" w:lineRule="auto"/>
        <w:ind w:left="117" w:right="15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乙方违反或降低本协议及附件规定的技术、质量、安全、服务等标准向用户供热、提供</w:t>
      </w:r>
      <w:r>
        <w:rPr>
          <w:rFonts w:ascii="宋体" w:eastAsia="宋体" w:hAnsi="宋体" w:cs="宋体"/>
          <w:color w:val="231F20"/>
          <w:spacing w:val="3"/>
          <w:sz w:val="22"/>
          <w:szCs w:val="22"/>
        </w:rPr>
        <w:t>维修服务和供热设施运行管理的，应当及时改正。甲方可根据事态的严重程度要求乙方支付</w:t>
      </w:r>
    </w:p>
    <w:p>
      <w:pPr>
        <w:widowControl w:val="0"/>
        <w:tabs>
          <w:tab w:val="left" w:pos="997"/>
          <w:tab w:val="left" w:pos="2317"/>
        </w:tabs>
        <w:spacing w:before="21"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万到</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万元人民币的违约金；</w:t>
      </w:r>
    </w:p>
    <w:p>
      <w:pPr>
        <w:widowControl w:val="0"/>
        <w:numPr>
          <w:ilvl w:val="0"/>
          <w:numId w:val="25"/>
        </w:numPr>
        <w:tabs>
          <w:tab w:val="left" w:pos="6978"/>
        </w:tabs>
        <w:spacing w:before="89" w:line="305" w:lineRule="auto"/>
        <w:ind w:left="117" w:right="148"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2"/>
          <w:sz w:val="22"/>
          <w:szCs w:val="22"/>
        </w:rPr>
        <w:t>甲方可根据供热用户的投诉对乙方的经营活动进行监</w:t>
      </w:r>
      <w:r>
        <w:rPr>
          <w:rFonts w:ascii="宋体" w:eastAsia="宋体" w:hAnsi="宋体" w:cs="宋体"/>
          <w:color w:val="231F20"/>
          <w:spacing w:val="0"/>
          <w:sz w:val="22"/>
          <w:szCs w:val="22"/>
        </w:rPr>
        <w:t>管</w:t>
      </w:r>
      <w:r>
        <w:rPr>
          <w:rFonts w:ascii="宋体" w:eastAsia="宋体" w:hAnsi="宋体" w:cs="宋体"/>
          <w:color w:val="231F20"/>
          <w:spacing w:val="2"/>
          <w:sz w:val="22"/>
          <w:szCs w:val="22"/>
        </w:rPr>
        <w:t>，用户投诉的情况属</w:t>
      </w:r>
      <w:r>
        <w:rPr>
          <w:rFonts w:ascii="宋体" w:eastAsia="宋体" w:hAnsi="宋体" w:cs="宋体"/>
          <w:color w:val="231F20"/>
          <w:spacing w:val="0"/>
          <w:sz w:val="22"/>
          <w:szCs w:val="22"/>
        </w:rPr>
        <w:t>实</w:t>
      </w:r>
      <w:r>
        <w:rPr>
          <w:rFonts w:ascii="宋体" w:eastAsia="宋体" w:hAnsi="宋体" w:cs="宋体"/>
          <w:color w:val="231F20"/>
          <w:spacing w:val="2"/>
          <w:sz w:val="22"/>
          <w:szCs w:val="22"/>
        </w:rPr>
        <w:t>，并且</w:t>
      </w:r>
      <w:r>
        <w:rPr>
          <w:rFonts w:ascii="宋体" w:eastAsia="宋体" w:hAnsi="宋体" w:cs="宋体"/>
          <w:color w:val="231F20"/>
          <w:spacing w:val="0"/>
          <w:sz w:val="22"/>
          <w:szCs w:val="22"/>
        </w:rPr>
        <w:t>确属乙方的责任的，甲方可根据事态的严重程度要求乙方支付</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万到</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万元人民 币的违约金；</w:t>
      </w:r>
    </w:p>
    <w:p>
      <w:pPr>
        <w:widowControl w:val="0"/>
        <w:numPr>
          <w:ilvl w:val="0"/>
          <w:numId w:val="25"/>
        </w:numPr>
        <w:tabs>
          <w:tab w:val="left" w:pos="1440"/>
        </w:tabs>
        <w:spacing w:before="20" w:after="0"/>
        <w:ind w:left="889" w:right="0" w:hanging="332"/>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13"/>
          <w:sz w:val="22"/>
          <w:szCs w:val="22"/>
        </w:rPr>
        <w:t>乙方未履行本协议的及时报告义务的，应当及时改正。甲方可酌情要求乙方支付</w:t>
      </w:r>
    </w:p>
    <w:p>
      <w:pPr>
        <w:widowControl w:val="0"/>
        <w:tabs>
          <w:tab w:val="left" w:pos="997"/>
          <w:tab w:val="left" w:pos="2317"/>
        </w:tabs>
        <w:spacing w:before="88"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万到</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万元人民币的违约金；</w:t>
      </w:r>
    </w:p>
    <w:p>
      <w:pPr>
        <w:widowControl w:val="0"/>
        <w:numPr>
          <w:ilvl w:val="0"/>
          <w:numId w:val="26"/>
        </w:numPr>
        <w:tabs>
          <w:tab w:val="left" w:pos="1440"/>
        </w:tabs>
        <w:spacing w:before="88" w:after="0"/>
        <w:ind w:left="884" w:right="0" w:hanging="327"/>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甲方可以采用扣除保函的形式扣除违约金。</w:t>
      </w:r>
    </w:p>
    <w:p>
      <w:pPr>
        <w:widowControl w:val="0"/>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1803 不中断协议履行</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pacing w:val="-14"/>
          <w:sz w:val="22"/>
          <w:szCs w:val="22"/>
        </w:rPr>
        <w:t>除非本协议终止，针对本协议的任何违约责任的追究及责任承担，均不影响本协议之继续履行。</w:t>
      </w:r>
    </w:p>
    <w:p>
      <w:pPr>
        <w:widowControl w:val="0"/>
        <w:spacing w:before="4" w:after="0"/>
        <w:rPr>
          <w:rFonts w:ascii="Times New Roman" w:eastAsia="Times New Roman" w:hAnsi="Times New Roman" w:cs="Times New Roman"/>
          <w:sz w:val="16"/>
          <w:szCs w:val="16"/>
        </w:rPr>
      </w:pPr>
    </w:p>
    <w:p>
      <w:pPr>
        <w:widowControl w:val="0"/>
        <w:tabs>
          <w:tab w:val="left" w:pos="1199"/>
        </w:tabs>
        <w:spacing w:before="0" w:after="0"/>
        <w:ind w:right="38"/>
        <w:jc w:val="center"/>
        <w:rPr>
          <w:rFonts w:ascii="Times New Roman" w:eastAsia="Times New Roman" w:hAnsi="Times New Roman" w:cs="Times New Roman"/>
          <w:sz w:val="24"/>
          <w:szCs w:val="24"/>
        </w:rPr>
      </w:pPr>
      <w:r>
        <w:rPr>
          <w:rFonts w:ascii="宋体" w:eastAsia="宋体" w:hAnsi="宋体" w:cs="宋体"/>
          <w:color w:val="231F20"/>
        </w:rPr>
        <w:t>第十九章</w:t>
      </w:r>
      <w:r>
        <w:rPr>
          <w:rFonts w:ascii="宋体" w:eastAsia="宋体" w:hAnsi="宋体" w:cs="宋体"/>
          <w:color w:val="231F20"/>
          <w:sz w:val="24"/>
          <w:szCs w:val="24"/>
        </w:rPr>
        <w:tab/>
      </w:r>
      <w:r>
        <w:rPr>
          <w:rFonts w:ascii="宋体" w:eastAsia="宋体" w:hAnsi="宋体" w:cs="宋体"/>
          <w:color w:val="231F20"/>
        </w:rPr>
        <w:t>协议的变更</w:t>
      </w:r>
    </w:p>
    <w:p>
      <w:pPr>
        <w:widowControl w:val="0"/>
        <w:spacing w:before="8"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1901 协议的变更</w:t>
      </w:r>
    </w:p>
    <w:p>
      <w:pPr>
        <w:widowControl w:val="0"/>
        <w:spacing w:before="101" w:after="0" w:line="305" w:lineRule="auto"/>
        <w:ind w:left="117" w:right="139" w:firstLine="440"/>
        <w:rPr>
          <w:rFonts w:ascii="Times New Roman" w:eastAsia="Times New Roman" w:hAnsi="Times New Roman" w:cs="Times New Roman"/>
          <w:sz w:val="22"/>
          <w:szCs w:val="22"/>
        </w:rPr>
      </w:pPr>
      <w:r>
        <w:rPr>
          <w:rFonts w:ascii="宋体" w:eastAsia="宋体" w:hAnsi="宋体" w:cs="宋体"/>
          <w:color w:val="231F20"/>
          <w:sz w:val="22"/>
          <w:szCs w:val="22"/>
        </w:rPr>
        <w:t>除非经过甲、乙双方就协议内容的变动协商并书面达成一致，否则任何情况都不构成本协议的变更。甲、乙双方可以采取签订书面补充协议或书面协议的方式修改本协议。</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1902 协议执行中的修改</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下列情况出现时，甲、乙双方应当在情况发生或将要发生的 60 日内完成协议的修改：</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1）出现新型可替代供热之能源；</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2）供热工程施工或技术运营条件发生重大变化；</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3）有关供热事业的法律或国家政策发生重大变化；</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4）导致供热价格波动超过 30% 以上的情况发生。</w:t>
      </w:r>
    </w:p>
    <w:p>
      <w:pPr>
        <w:widowControl w:val="0"/>
        <w:spacing w:before="5" w:after="0"/>
        <w:rPr>
          <w:rFonts w:ascii="Times New Roman" w:eastAsia="Times New Roman" w:hAnsi="Times New Roman" w:cs="Times New Roman"/>
          <w:sz w:val="16"/>
          <w:szCs w:val="16"/>
        </w:rPr>
      </w:pPr>
    </w:p>
    <w:p>
      <w:pPr>
        <w:widowControl w:val="0"/>
        <w:tabs>
          <w:tab w:val="left" w:pos="1199"/>
        </w:tabs>
        <w:spacing w:before="0" w:after="0"/>
        <w:ind w:right="38"/>
        <w:jc w:val="center"/>
        <w:rPr>
          <w:rFonts w:ascii="Times New Roman" w:eastAsia="Times New Roman" w:hAnsi="Times New Roman" w:cs="Times New Roman"/>
          <w:sz w:val="24"/>
          <w:szCs w:val="24"/>
        </w:rPr>
      </w:pPr>
      <w:r>
        <w:rPr>
          <w:rFonts w:ascii="宋体" w:eastAsia="宋体" w:hAnsi="宋体" w:cs="宋体"/>
          <w:color w:val="231F20"/>
        </w:rPr>
        <w:t>第二十章</w:t>
      </w:r>
      <w:r>
        <w:rPr>
          <w:rFonts w:ascii="宋体" w:eastAsia="宋体" w:hAnsi="宋体" w:cs="宋体"/>
          <w:color w:val="231F20"/>
          <w:sz w:val="24"/>
          <w:szCs w:val="24"/>
        </w:rPr>
        <w:tab/>
      </w:r>
      <w:r>
        <w:rPr>
          <w:rFonts w:ascii="宋体" w:eastAsia="宋体" w:hAnsi="宋体" w:cs="宋体"/>
          <w:color w:val="231F20"/>
        </w:rPr>
        <w:t>不可抗力</w:t>
      </w:r>
    </w:p>
    <w:p>
      <w:pPr>
        <w:widowControl w:val="0"/>
        <w:spacing w:before="8"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2001 不可抗力</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不可抗力是指不能预见、不能避免并不能克服的客观情况。</w:t>
      </w:r>
    </w:p>
    <w:p>
      <w:pPr>
        <w:widowControl w:val="0"/>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2002 不可抗力事件</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构成不可抗力的行为、事件或情况包括但不限于下列所述行为、事件或情况：</w:t>
      </w:r>
    </w:p>
    <w:p>
      <w:pPr>
        <w:widowControl w:val="0"/>
        <w:spacing w:before="89" w:after="0" w:line="305" w:lineRule="auto"/>
        <w:ind w:left="117" w:right="139" w:firstLine="330"/>
        <w:rPr>
          <w:rFonts w:ascii="Times New Roman" w:eastAsia="Times New Roman" w:hAnsi="Times New Roman" w:cs="Times New Roman"/>
          <w:sz w:val="22"/>
          <w:szCs w:val="22"/>
        </w:rPr>
      </w:pPr>
      <w:r>
        <w:rPr>
          <w:rFonts w:ascii="宋体" w:eastAsia="宋体" w:hAnsi="宋体" w:cs="宋体"/>
          <w:color w:val="231F20"/>
          <w:sz w:val="22"/>
          <w:szCs w:val="22"/>
        </w:rPr>
        <w:t>（ 1）火灾、水灾、干旱、爆炸、闪电、暴雨、台风、龙卷风、地震、地陷、地面下沉、疫情或其他天灾；</w:t>
      </w:r>
    </w:p>
    <w:p>
      <w:pPr>
        <w:widowControl w:val="0"/>
        <w:spacing w:before="21" w:after="0" w:line="305" w:lineRule="auto"/>
        <w:ind w:left="117" w:right="139" w:firstLine="330"/>
        <w:rPr>
          <w:rFonts w:ascii="Times New Roman" w:eastAsia="Times New Roman" w:hAnsi="Times New Roman" w:cs="Times New Roman"/>
          <w:sz w:val="22"/>
          <w:szCs w:val="22"/>
        </w:rPr>
      </w:pPr>
      <w:r>
        <w:rPr>
          <w:rFonts w:ascii="宋体" w:eastAsia="宋体" w:hAnsi="宋体" w:cs="宋体"/>
          <w:color w:val="231F20"/>
          <w:sz w:val="22"/>
          <w:szCs w:val="22"/>
        </w:rPr>
        <w:t>（ 2）</w:t>
      </w:r>
      <w:r>
        <w:rPr>
          <w:rFonts w:ascii="宋体" w:eastAsia="宋体" w:hAnsi="宋体" w:cs="宋体"/>
          <w:color w:val="231F20"/>
          <w:sz w:val="22"/>
          <w:szCs w:val="22"/>
        </w:rPr>
        <w:t>战争</w:t>
      </w:r>
      <w:r>
        <w:rPr>
          <w:rFonts w:ascii="宋体" w:eastAsia="宋体" w:hAnsi="宋体" w:cs="宋体"/>
          <w:color w:val="231F20"/>
          <w:spacing w:val="2"/>
          <w:sz w:val="22"/>
          <w:szCs w:val="22"/>
        </w:rPr>
        <w:t>（无论是否宣战</w:t>
      </w:r>
      <w:r>
        <w:rPr>
          <w:rFonts w:ascii="宋体" w:eastAsia="宋体" w:hAnsi="宋体" w:cs="宋体"/>
          <w:color w:val="231F20"/>
          <w:spacing w:val="-110"/>
          <w:sz w:val="22"/>
          <w:szCs w:val="22"/>
        </w:rPr>
        <w:t>）</w:t>
      </w:r>
      <w:r>
        <w:rPr>
          <w:rFonts w:ascii="宋体" w:eastAsia="宋体" w:hAnsi="宋体" w:cs="宋体"/>
          <w:color w:val="231F20"/>
          <w:sz w:val="22"/>
          <w:szCs w:val="22"/>
        </w:rPr>
        <w:t>、暴乱、封锁、叛乱、公敌行动、入侵、禁运、贸易制裁、破坏或恐怖行动等严重威胁；</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3）其他不可抗力事件。</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2003 对不可抗力免责的限制</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以下各项事件不构成不可抗力：</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1）因正常损耗、未适当维护设备或零部件存货不足而引起的设备故障或损坏；</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2）个别用户缺乏资金支付应付款项，除非发生全市所有有效支付方式失效的情况；</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3）仅仅导致履约不经济的任何行为、事件或情况。</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2004 提出不可抗力一方的义务</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提出不可抗力的一方应当：</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1）尽早（在任何情况下不迟于 24 小时）通知另一方发生了不可抗力事件，除非不可抗力事件或情况导致通知无法发出；</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2）尽早（在任何情况下不迟于 48 小时）通知另一方，说明不可抗力事件的详细情况以及预计的持续期间，除非不可抗力事件或情况导致通知无法发出；</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3）在任何时候采取合理的行动，以避免或尽量减少不可抗力事件的影响；</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4）在任何时候告知另一方不可抗力事件的进展及其预计结束日期；</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5）通知另一方能够部分或全面恢复履行其义务的日期。</w:t>
      </w:r>
    </w:p>
    <w:p>
      <w:pPr>
        <w:widowControl w:val="0"/>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2005 不可抗力免责</w:t>
      </w:r>
    </w:p>
    <w:p>
      <w:pPr>
        <w:widowControl w:val="0"/>
        <w:spacing w:before="102" w:after="0" w:line="305" w:lineRule="auto"/>
        <w:ind w:left="117" w:right="199" w:firstLine="440"/>
        <w:rPr>
          <w:rFonts w:ascii="Times New Roman" w:eastAsia="Times New Roman" w:hAnsi="Times New Roman" w:cs="Times New Roman"/>
          <w:sz w:val="22"/>
          <w:szCs w:val="22"/>
        </w:rPr>
      </w:pPr>
      <w:r>
        <w:rPr>
          <w:rFonts w:ascii="宋体" w:eastAsia="宋体" w:hAnsi="宋体" w:cs="宋体"/>
          <w:color w:val="231F20"/>
          <w:sz w:val="22"/>
          <w:szCs w:val="22"/>
        </w:rPr>
        <w:t>一方出现不可抗力且尽到本协议规定的义务时，无须对其延误或未履行其在本协议项下的义务承担责任。</w:t>
      </w:r>
    </w:p>
    <w:p>
      <w:pPr>
        <w:widowControl w:val="0"/>
        <w:tabs>
          <w:tab w:val="left" w:pos="1439"/>
        </w:tabs>
        <w:spacing w:before="177" w:after="0"/>
        <w:ind w:right="98"/>
        <w:jc w:val="center"/>
        <w:rPr>
          <w:rFonts w:ascii="Times New Roman" w:eastAsia="Times New Roman" w:hAnsi="Times New Roman" w:cs="Times New Roman"/>
          <w:sz w:val="24"/>
          <w:szCs w:val="24"/>
        </w:rPr>
      </w:pPr>
      <w:r>
        <w:rPr>
          <w:rFonts w:ascii="宋体" w:eastAsia="宋体" w:hAnsi="宋体" w:cs="宋体"/>
          <w:color w:val="231F20"/>
        </w:rPr>
        <w:t>第二十一章</w:t>
      </w:r>
      <w:r>
        <w:rPr>
          <w:rFonts w:ascii="宋体" w:eastAsia="宋体" w:hAnsi="宋体" w:cs="宋体"/>
          <w:color w:val="231F20"/>
          <w:sz w:val="24"/>
          <w:szCs w:val="24"/>
        </w:rPr>
        <w:tab/>
      </w:r>
      <w:r>
        <w:rPr>
          <w:rFonts w:ascii="宋体" w:eastAsia="宋体" w:hAnsi="宋体" w:cs="宋体"/>
          <w:color w:val="231F20"/>
        </w:rPr>
        <w:t>争议的解决</w:t>
      </w:r>
    </w:p>
    <w:p>
      <w:pPr>
        <w:widowControl w:val="0"/>
        <w:spacing w:before="8"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2101 协议争议的协商</w:t>
      </w:r>
    </w:p>
    <w:p>
      <w:pPr>
        <w:widowControl w:val="0"/>
        <w:spacing w:before="101" w:after="0" w:line="305" w:lineRule="auto"/>
        <w:ind w:left="117" w:right="10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因本协议的签订、履行、变更和解除而产生的争议，甲、乙双方应当通过协商予以解决。协商应当在争议发生的 60 日内举行。60 日内未能就争议解决达成一致的，视为协商失败，甲、乙任何一方均可以循本协议规定的其他途径解决争议。</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2102 仲裁或提起诉讼</w:t>
      </w:r>
    </w:p>
    <w:p>
      <w:pPr>
        <w:widowControl w:val="0"/>
        <w:spacing w:before="101"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pacing w:val="-1"/>
          <w:sz w:val="22"/>
          <w:szCs w:val="22"/>
        </w:rPr>
        <w:t xml:space="preserve">若甲乙双方不能根据第 </w:t>
      </w:r>
      <w:r>
        <w:rPr>
          <w:rFonts w:ascii="宋体" w:eastAsia="宋体" w:hAnsi="宋体" w:cs="宋体"/>
          <w:color w:val="231F20"/>
          <w:sz w:val="22"/>
          <w:szCs w:val="22"/>
        </w:rPr>
        <w:t>2101</w:t>
      </w:r>
      <w:r>
        <w:rPr>
          <w:rFonts w:ascii="宋体" w:eastAsia="宋体" w:hAnsi="宋体" w:cs="宋体"/>
          <w:color w:val="231F20"/>
          <w:spacing w:val="-4"/>
          <w:sz w:val="22"/>
          <w:szCs w:val="22"/>
        </w:rPr>
        <w:t xml:space="preserve"> 条规定解决争议，可依照法律通过仲裁途径解决；或者将该争议按照法律规定，向有管辖权的人民法院提起诉讼。当法律对此类争议的解决方式做出明确结论时，依其结论处理。</w:t>
      </w:r>
    </w:p>
    <w:p>
      <w:pPr>
        <w:widowControl w:val="0"/>
        <w:tabs>
          <w:tab w:val="left" w:pos="1439"/>
        </w:tabs>
        <w:spacing w:before="176" w:after="0"/>
        <w:ind w:right="98"/>
        <w:jc w:val="center"/>
        <w:rPr>
          <w:rFonts w:ascii="Times New Roman" w:eastAsia="Times New Roman" w:hAnsi="Times New Roman" w:cs="Times New Roman"/>
          <w:sz w:val="24"/>
          <w:szCs w:val="24"/>
        </w:rPr>
      </w:pPr>
      <w:r>
        <w:rPr>
          <w:rFonts w:ascii="宋体" w:eastAsia="宋体" w:hAnsi="宋体" w:cs="宋体"/>
          <w:color w:val="231F20"/>
        </w:rPr>
        <w:t>第二十二章</w:t>
      </w:r>
      <w:r>
        <w:rPr>
          <w:rFonts w:ascii="宋体" w:eastAsia="宋体" w:hAnsi="宋体" w:cs="宋体"/>
          <w:color w:val="231F20"/>
          <w:sz w:val="24"/>
          <w:szCs w:val="24"/>
        </w:rPr>
        <w:tab/>
      </w:r>
      <w:r>
        <w:rPr>
          <w:rFonts w:ascii="宋体" w:eastAsia="宋体" w:hAnsi="宋体" w:cs="宋体"/>
          <w:color w:val="231F20"/>
        </w:rPr>
        <w:t>附则</w:t>
      </w:r>
    </w:p>
    <w:p>
      <w:pPr>
        <w:widowControl w:val="0"/>
        <w:spacing w:before="8"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2201 协议文本</w:t>
      </w:r>
    </w:p>
    <w:p>
      <w:pPr>
        <w:widowControl w:val="0"/>
        <w:tabs>
          <w:tab w:val="left" w:pos="8301"/>
        </w:tabs>
        <w:spacing w:before="102" w:after="0" w:line="305"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本协议连同附件均用中文书写。正本贰份由甲方、乙方各执壹份，副本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份仍由上 述各方各执</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份。</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2202 协议签订</w:t>
      </w:r>
    </w:p>
    <w:p>
      <w:pPr>
        <w:widowControl w:val="0"/>
        <w:spacing w:before="102"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甲方、乙方签订本协议之代表均应在已经获得签订授权的情况下签订本协议，并在此前各方均已完成各自内部批准本协议之程序。</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2203 协议生效</w:t>
      </w:r>
    </w:p>
    <w:p>
      <w:pPr>
        <w:widowControl w:val="0"/>
        <w:spacing w:before="101"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本协议自甲乙双方代表签字并加盖公章之日起生效。本协议的补充协议以及附件是本协议的组成部分，与本协议具有同等效力。</w:t>
      </w:r>
    </w:p>
    <w:p>
      <w:pPr>
        <w:widowControl w:val="0"/>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2204 协议适用的法律</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本协议受中华人民共和国法律管辖，并根据中华人民共和国法律对其进行解释。</w:t>
      </w:r>
    </w:p>
    <w:p>
      <w:pPr>
        <w:widowControl w:val="0"/>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2205 协议附件</w:t>
      </w:r>
    </w:p>
    <w:p>
      <w:pPr>
        <w:widowControl w:val="0"/>
        <w:spacing w:before="101" w:after="0" w:line="305" w:lineRule="auto"/>
        <w:ind w:left="557" w:right="4553"/>
        <w:rPr>
          <w:rFonts w:ascii="Times New Roman" w:eastAsia="Times New Roman" w:hAnsi="Times New Roman" w:cs="Times New Roman"/>
          <w:sz w:val="22"/>
          <w:szCs w:val="22"/>
        </w:rPr>
      </w:pPr>
      <w:r>
        <w:rPr>
          <w:rFonts w:ascii="宋体" w:eastAsia="宋体" w:hAnsi="宋体" w:cs="宋体"/>
          <w:color w:val="231F20"/>
          <w:sz w:val="22"/>
          <w:szCs w:val="22"/>
        </w:rPr>
        <w:t>截止本协议签订日，本协议所附附件如下： 附件一：供热企业应具备的条件</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附件二：供热质量和服务标准</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附件三：特许经营权地域范围图示</w:t>
      </w:r>
    </w:p>
    <w:p>
      <w:pPr>
        <w:widowControl w:val="0"/>
        <w:spacing w:before="89" w:after="0" w:line="305" w:lineRule="auto"/>
        <w:ind w:left="557" w:right="4993"/>
        <w:rPr>
          <w:rFonts w:ascii="Times New Roman" w:eastAsia="Times New Roman" w:hAnsi="Times New Roman" w:cs="Times New Roman"/>
          <w:sz w:val="22"/>
          <w:szCs w:val="22"/>
        </w:rPr>
      </w:pPr>
      <w:r>
        <w:rPr>
          <w:rFonts w:ascii="宋体" w:eastAsia="宋体" w:hAnsi="宋体" w:cs="宋体"/>
          <w:color w:val="231F20"/>
          <w:sz w:val="22"/>
          <w:szCs w:val="22"/>
        </w:rPr>
        <w:t>附件四：乙方与用户的供用热合同样本附件五：供热技术规范和标准</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附件六：供热安全管理标准</w:t>
      </w:r>
    </w:p>
    <w:p>
      <w:pPr>
        <w:widowControl w:val="0"/>
        <w:spacing w:before="88" w:after="0" w:line="305" w:lineRule="auto"/>
        <w:ind w:left="557" w:right="4553"/>
        <w:rPr>
          <w:rFonts w:ascii="Times New Roman" w:eastAsia="Times New Roman" w:hAnsi="Times New Roman" w:cs="Times New Roman"/>
          <w:sz w:val="22"/>
          <w:szCs w:val="22"/>
        </w:rPr>
      </w:pPr>
      <w:r>
        <w:rPr>
          <w:rFonts w:ascii="宋体" w:eastAsia="宋体" w:hAnsi="宋体" w:cs="宋体"/>
          <w:color w:val="231F20"/>
          <w:sz w:val="22"/>
          <w:szCs w:val="22"/>
        </w:rPr>
        <w:t>附件七：供热特许经营中期评估方法及标准附件八：供热事故应急预案</w:t>
      </w:r>
    </w:p>
    <w:p>
      <w:pPr>
        <w:widowControl w:val="0"/>
        <w:spacing w:before="20" w:after="0" w:line="305" w:lineRule="auto"/>
        <w:ind w:left="557" w:right="3453"/>
        <w:rPr>
          <w:rFonts w:ascii="Times New Roman" w:eastAsia="Times New Roman" w:hAnsi="Times New Roman" w:cs="Times New Roman"/>
          <w:sz w:val="22"/>
          <w:szCs w:val="22"/>
        </w:rPr>
      </w:pPr>
      <w:r>
        <w:rPr>
          <w:rFonts w:ascii="宋体" w:eastAsia="宋体" w:hAnsi="宋体" w:cs="宋体"/>
          <w:color w:val="231F20"/>
          <w:sz w:val="22"/>
          <w:szCs w:val="22"/>
        </w:rPr>
        <w:t>附件九：特许经营期限期满乙方移交资产的程序和标准附件十：甲方签约授权证明</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附件十一：乙方签约授权证明</w:t>
      </w:r>
    </w:p>
    <w:p>
      <w:pPr>
        <w:widowControl w:val="0"/>
        <w:spacing w:before="12" w:after="0"/>
        <w:rPr>
          <w:rFonts w:ascii="Times New Roman" w:eastAsia="Times New Roman" w:hAnsi="Times New Roman" w:cs="Times New Roman"/>
          <w:sz w:val="33"/>
          <w:szCs w:val="33"/>
        </w:rPr>
      </w:pPr>
    </w:p>
    <w:p>
      <w:pPr>
        <w:widowControl w:val="0"/>
        <w:tabs>
          <w:tab w:val="left" w:pos="2753"/>
          <w:tab w:val="left" w:pos="3633"/>
          <w:tab w:val="left" w:pos="4124"/>
          <w:tab w:val="left" w:pos="4711"/>
          <w:tab w:val="left" w:pos="5004"/>
          <w:tab w:val="left" w:pos="5495"/>
          <w:tab w:val="left" w:pos="6375"/>
        </w:tabs>
        <w:spacing w:before="1" w:after="22" w:line="610" w:lineRule="auto"/>
        <w:ind w:left="557" w:right="234"/>
        <w:rPr>
          <w:rFonts w:ascii="方正书宋_GBK" w:eastAsia="方正书宋_GBK" w:hAnsi="方正书宋_GBK" w:cs="方正书宋_GBK"/>
          <w:sz w:val="22"/>
          <w:szCs w:val="22"/>
          <w:u w:val="single"/>
        </w:rPr>
      </w:pPr>
      <w:r>
        <w:rPr>
          <w:rFonts w:ascii="宋体" w:eastAsia="宋体" w:hAnsi="宋体" w:cs="宋体"/>
          <w:color w:val="231F20"/>
          <w:sz w:val="22"/>
          <w:szCs w:val="22"/>
        </w:rPr>
        <w:t>双方各自授权代表于</w:t>
      </w:r>
      <w:r>
        <w:rPr>
          <w:rFonts w:ascii="宋体" w:eastAsia="宋体" w:hAnsi="宋体" w:cs="宋体"/>
          <w:color w:val="231F20"/>
          <w:sz w:val="22"/>
          <w:szCs w:val="22"/>
        </w:rPr>
        <w:tab/>
      </w:r>
      <w:r>
        <w:rPr>
          <w:rFonts w:ascii="宋体" w:eastAsia="宋体" w:hAnsi="宋体" w:cs="宋体"/>
          <w:color w:val="231F20"/>
          <w:sz w:val="20"/>
          <w:szCs w:val="20"/>
          <w:u w:val="single"/>
        </w:rPr>
        <w:tab/>
      </w:r>
      <w:r>
        <w:rPr>
          <w:rFonts w:ascii="宋体" w:eastAsia="宋体" w:hAnsi="宋体" w:cs="宋体"/>
          <w:color w:val="231F20"/>
          <w:sz w:val="22"/>
          <w:szCs w:val="22"/>
        </w:rPr>
        <w:t>年</w:t>
      </w:r>
      <w:r>
        <w:rPr>
          <w:rFonts w:ascii="宋体" w:eastAsia="宋体" w:hAnsi="宋体" w:cs="宋体"/>
          <w:color w:val="231F20"/>
          <w:sz w:val="22"/>
          <w:szCs w:val="22"/>
        </w:rPr>
        <w:tab/>
      </w:r>
      <w:r>
        <w:rPr>
          <w:rFonts w:ascii="宋体" w:eastAsia="宋体" w:hAnsi="宋体" w:cs="宋体"/>
          <w:color w:val="231F20"/>
          <w:sz w:val="20"/>
          <w:szCs w:val="20"/>
          <w:u w:val="single"/>
        </w:rPr>
        <w:tab/>
      </w:r>
      <w:r>
        <w:rPr>
          <w:rFonts w:ascii="宋体" w:eastAsia="宋体" w:hAnsi="宋体" w:cs="宋体"/>
          <w:color w:val="231F20"/>
          <w:sz w:val="20"/>
          <w:szCs w:val="20"/>
          <w:u w:val="single"/>
        </w:rPr>
        <w:tab/>
      </w:r>
      <w:r>
        <w:rPr>
          <w:rFonts w:ascii="宋体" w:eastAsia="宋体" w:hAnsi="宋体" w:cs="宋体"/>
          <w:color w:val="231F20"/>
          <w:sz w:val="22"/>
          <w:szCs w:val="22"/>
        </w:rPr>
        <w:t>月</w:t>
      </w:r>
      <w:r>
        <w:rPr>
          <w:rFonts w:ascii="宋体" w:eastAsia="宋体" w:hAnsi="宋体" w:cs="宋体"/>
          <w:color w:val="231F20"/>
          <w:sz w:val="22"/>
          <w:szCs w:val="22"/>
        </w:rPr>
        <w:tab/>
      </w:r>
      <w:r>
        <w:rPr>
          <w:rFonts w:ascii="宋体" w:eastAsia="宋体" w:hAnsi="宋体" w:cs="宋体"/>
          <w:color w:val="231F20"/>
          <w:sz w:val="20"/>
          <w:szCs w:val="20"/>
          <w:u w:val="single"/>
        </w:rPr>
        <w:tab/>
      </w:r>
      <w:r>
        <w:rPr>
          <w:rFonts w:ascii="宋体" w:eastAsia="宋体" w:hAnsi="宋体" w:cs="宋体"/>
          <w:color w:val="231F20"/>
          <w:sz w:val="22"/>
          <w:szCs w:val="22"/>
        </w:rPr>
        <w:t>日签订本协议，以兹为证。甲方：</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乙方：</w:t>
      </w:r>
    </w:p>
    <w:p>
      <w:pPr>
        <w:widowControl w:val="0"/>
        <w:tabs>
          <w:tab w:val="left" w:pos="4617"/>
        </w:tabs>
        <w:spacing w:before="0" w:after="0" w:line="20" w:lineRule="atLeast"/>
        <w:ind w:left="557"/>
        <w:rPr>
          <w:rFonts w:ascii="Times New Roman" w:eastAsia="Times New Roman" w:hAnsi="Times New Roman" w:cs="Times New Roman"/>
          <w:sz w:val="24"/>
          <w:szCs w:val="24"/>
        </w:rPr>
      </w:pPr>
      <w:r>
        <w:rPr>
          <w:rFonts w:ascii="Times New Roman" w:eastAsia="Times New Roman" w:hAnsi="Times New Roman" w:cs="Times New Roman"/>
          <w:strike w:val="0"/>
          <w:u w:val="none"/>
        </w:rPr>
        <w:drawing>
          <wp:inline>
            <wp:extent cx="1809750" cy="190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809750" cy="19050"/>
                    </a:xfrm>
                    <a:prstGeom prst="rect">
                      <a:avLst/>
                    </a:prstGeom>
                  </pic:spPr>
                </pic:pic>
              </a:graphicData>
            </a:graphic>
          </wp:inline>
        </w:drawing>
      </w:r>
      <w:r>
        <w:rPr>
          <w:rFonts w:ascii="宋体" w:eastAsia="宋体" w:hAnsi="宋体" w:cs="宋体"/>
          <w:strike w:val="0"/>
          <w:sz w:val="24"/>
          <w:szCs w:val="24"/>
          <w:u w:val="none"/>
        </w:rPr>
        <w:tab/>
      </w:r>
      <w:r>
        <w:rPr>
          <w:rFonts w:ascii="Times New Roman" w:eastAsia="Times New Roman" w:hAnsi="Times New Roman" w:cs="Times New Roman"/>
          <w:strike w:val="0"/>
          <w:u w:val="none"/>
        </w:rPr>
        <w:drawing>
          <wp:inline>
            <wp:extent cx="2085975" cy="190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2085975" cy="19050"/>
                    </a:xfrm>
                    <a:prstGeom prst="rect">
                      <a:avLst/>
                    </a:prstGeom>
                  </pic:spPr>
                </pic:pic>
              </a:graphicData>
            </a:graphic>
          </wp:inline>
        </w:drawing>
      </w:r>
    </w:p>
    <w:p>
      <w:pPr>
        <w:widowControl w:val="0"/>
        <w:tabs>
          <w:tab w:val="left" w:pos="4657"/>
        </w:tabs>
        <w:spacing w:before="78" w:after="0"/>
        <w:ind w:left="557"/>
        <w:rPr>
          <w:rFonts w:ascii="Times New Roman" w:eastAsia="Times New Roman" w:hAnsi="Times New Roman" w:cs="Times New Roman"/>
          <w:sz w:val="22"/>
          <w:szCs w:val="22"/>
        </w:rPr>
      </w:pPr>
      <w:r>
        <w:rPr>
          <w:rFonts w:ascii="宋体" w:eastAsia="宋体" w:hAnsi="宋体" w:cs="宋体"/>
          <w:color w:val="231F20"/>
          <w:sz w:val="22"/>
          <w:szCs w:val="22"/>
        </w:rPr>
        <w:t>签字：</w:t>
      </w:r>
      <w:r>
        <w:rPr>
          <w:rFonts w:ascii="宋体" w:eastAsia="宋体" w:hAnsi="宋体" w:cs="宋体"/>
          <w:color w:val="231F20"/>
          <w:sz w:val="22"/>
          <w:szCs w:val="22"/>
        </w:rPr>
        <w:tab/>
      </w:r>
      <w:r>
        <w:rPr>
          <w:rFonts w:ascii="宋体" w:eastAsia="宋体" w:hAnsi="宋体" w:cs="宋体"/>
          <w:color w:val="231F20"/>
          <w:sz w:val="22"/>
          <w:szCs w:val="22"/>
        </w:rPr>
        <w:t>签字：</w:t>
      </w:r>
    </w:p>
    <w:p>
      <w:pPr>
        <w:widowControl w:val="0"/>
        <w:tabs>
          <w:tab w:val="left" w:pos="4657"/>
        </w:tabs>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 / 授权代表</w:t>
      </w:r>
      <w:r>
        <w:rPr>
          <w:rFonts w:ascii="宋体" w:eastAsia="宋体" w:hAnsi="宋体" w:cs="宋体"/>
          <w:color w:val="231F20"/>
          <w:sz w:val="22"/>
          <w:szCs w:val="22"/>
        </w:rPr>
        <w:tab/>
      </w:r>
      <w:r>
        <w:rPr>
          <w:rFonts w:ascii="宋体" w:eastAsia="宋体" w:hAnsi="宋体" w:cs="宋体"/>
          <w:color w:val="231F20"/>
          <w:sz w:val="22"/>
          <w:szCs w:val="22"/>
        </w:rPr>
        <w:t>法定代表人 / 授权代表</w:t>
      </w:r>
    </w:p>
    <w:p>
      <w:pPr>
        <w:widowControl w:val="0"/>
        <w:spacing w:before="13" w:after="0"/>
        <w:rPr>
          <w:rFonts w:ascii="Times New Roman" w:eastAsia="Times New Roman" w:hAnsi="Times New Roman" w:cs="Times New Roman"/>
          <w:sz w:val="33"/>
          <w:szCs w:val="33"/>
        </w:rPr>
      </w:pPr>
    </w:p>
    <w:p>
      <w:pPr>
        <w:widowControl w:val="0"/>
        <w:tabs>
          <w:tab w:val="left" w:pos="3908"/>
        </w:tabs>
        <w:spacing w:before="0" w:after="0"/>
        <w:ind w:right="588"/>
        <w:jc w:val="center"/>
        <w:rPr>
          <w:rFonts w:ascii="Times New Roman" w:eastAsia="Times New Roman" w:hAnsi="Times New Roman" w:cs="Times New Roman"/>
          <w:sz w:val="22"/>
          <w:szCs w:val="22"/>
        </w:rPr>
      </w:pPr>
      <w:r>
        <w:rPr>
          <w:rFonts w:ascii="宋体" w:eastAsia="宋体" w:hAnsi="宋体" w:cs="宋体"/>
          <w:color w:val="231F20"/>
          <w:sz w:val="22"/>
          <w:szCs w:val="22"/>
        </w:rPr>
        <w:t>（公章）</w:t>
      </w:r>
      <w:r>
        <w:rPr>
          <w:rFonts w:ascii="宋体" w:eastAsia="宋体" w:hAnsi="宋体" w:cs="宋体"/>
          <w:color w:val="231F20"/>
          <w:sz w:val="22"/>
          <w:szCs w:val="22"/>
        </w:rPr>
        <w:tab/>
      </w:r>
      <w:r>
        <w:rPr>
          <w:rFonts w:ascii="宋体" w:eastAsia="宋体" w:hAnsi="宋体" w:cs="宋体"/>
          <w:color w:val="231F20"/>
          <w:sz w:val="22"/>
          <w:szCs w:val="22"/>
        </w:rPr>
        <w:t>（公章）</w:t>
      </w: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6507607</wp:posOffset>
          </wp:positionH>
          <wp:positionV relativeFrom="page">
            <wp:posOffset>10023729</wp:posOffset>
          </wp:positionV>
          <wp:extent cx="180975" cy="1714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stretch>
                    <a:fillRect/>
                  </a:stretch>
                </pic:blipFill>
                <pic:spPr>
                  <a:xfrm>
                    <a:off x="0" y="0"/>
                    <a:ext cx="180975" cy="171450"/>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9"/>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numbering" Target="numbering.xml" /><Relationship Id="rId8"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