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GF—2014—2411</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2" w:after="0"/>
        <w:rPr>
          <w:rFonts w:ascii="Times New Roman" w:eastAsia="Times New Roman" w:hAnsi="Times New Roman" w:cs="Times New Roman"/>
          <w:sz w:val="40"/>
          <w:szCs w:val="40"/>
        </w:rPr>
      </w:pPr>
    </w:p>
    <w:p>
      <w:pPr>
        <w:widowControl w:val="0"/>
        <w:spacing w:before="0" w:after="0"/>
        <w:ind w:left="2052"/>
        <w:rPr>
          <w:rFonts w:ascii="Times New Roman" w:eastAsia="Times New Roman" w:hAnsi="Times New Roman" w:cs="Times New Roman"/>
          <w:sz w:val="40"/>
          <w:szCs w:val="40"/>
        </w:rPr>
      </w:pPr>
      <w:r>
        <w:rPr>
          <w:rFonts w:ascii="宋体" w:eastAsia="宋体" w:hAnsi="宋体" w:cs="宋体"/>
          <w:color w:val="231F20"/>
          <w:sz w:val="40"/>
          <w:szCs w:val="40"/>
        </w:rPr>
        <w:t>境内旅游组团社与地接社合同</w:t>
      </w:r>
    </w:p>
    <w:p>
      <w:pPr>
        <w:widowControl w:val="0"/>
        <w:spacing w:before="152" w:after="0"/>
        <w:ind w:left="3812"/>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tabs>
          <w:tab w:val="left" w:pos="3594"/>
          <w:tab w:val="left" w:pos="4232"/>
          <w:tab w:val="left" w:pos="4871"/>
          <w:tab w:val="left" w:pos="5509"/>
        </w:tabs>
        <w:spacing w:before="262" w:after="0"/>
        <w:ind w:left="2995"/>
        <w:rPr>
          <w:rFonts w:ascii="Times New Roman" w:eastAsia="Times New Roman" w:hAnsi="Times New Roman" w:cs="Times New Roman"/>
          <w:sz w:val="28"/>
          <w:szCs w:val="28"/>
        </w:rPr>
      </w:pPr>
      <w:r>
        <w:rPr>
          <w:rFonts w:ascii="宋体" w:eastAsia="宋体" w:hAnsi="宋体" w:cs="宋体"/>
          <w:color w:val="231F20"/>
          <w:sz w:val="28"/>
          <w:szCs w:val="28"/>
        </w:rPr>
        <w:t>国</w:t>
      </w:r>
      <w:r>
        <w:rPr>
          <w:rFonts w:ascii="宋体" w:eastAsia="宋体" w:hAnsi="宋体" w:cs="宋体"/>
          <w:color w:val="231F20"/>
          <w:sz w:val="28"/>
          <w:szCs w:val="28"/>
        </w:rPr>
        <w:tab/>
      </w:r>
      <w:r>
        <w:rPr>
          <w:rFonts w:ascii="宋体" w:eastAsia="宋体" w:hAnsi="宋体" w:cs="宋体"/>
          <w:color w:val="231F20"/>
          <w:sz w:val="28"/>
          <w:szCs w:val="28"/>
        </w:rPr>
        <w:t>家</w:t>
      </w:r>
      <w:r>
        <w:rPr>
          <w:rFonts w:ascii="宋体" w:eastAsia="宋体" w:hAnsi="宋体" w:cs="宋体"/>
          <w:color w:val="231F20"/>
          <w:sz w:val="28"/>
          <w:szCs w:val="28"/>
        </w:rPr>
        <w:tab/>
      </w:r>
      <w:r>
        <w:rPr>
          <w:rFonts w:ascii="宋体" w:eastAsia="宋体" w:hAnsi="宋体" w:cs="宋体"/>
          <w:color w:val="231F20"/>
          <w:sz w:val="28"/>
          <w:szCs w:val="28"/>
        </w:rPr>
        <w:t>旅</w:t>
      </w:r>
      <w:r>
        <w:rPr>
          <w:rFonts w:ascii="宋体" w:eastAsia="宋体" w:hAnsi="宋体" w:cs="宋体"/>
          <w:color w:val="231F20"/>
          <w:sz w:val="28"/>
          <w:szCs w:val="28"/>
        </w:rPr>
        <w:tab/>
      </w:r>
      <w:r>
        <w:rPr>
          <w:rFonts w:ascii="宋体" w:eastAsia="宋体" w:hAnsi="宋体" w:cs="宋体"/>
          <w:color w:val="231F20"/>
          <w:sz w:val="28"/>
          <w:szCs w:val="28"/>
        </w:rPr>
        <w:t>游</w:t>
      </w:r>
      <w:r>
        <w:rPr>
          <w:rFonts w:ascii="宋体" w:eastAsia="宋体" w:hAnsi="宋体" w:cs="宋体"/>
          <w:color w:val="231F20"/>
          <w:sz w:val="28"/>
          <w:szCs w:val="28"/>
        </w:rPr>
        <w:tab/>
      </w:r>
      <w:r>
        <w:rPr>
          <w:rFonts w:ascii="宋体" w:eastAsia="宋体" w:hAnsi="宋体" w:cs="宋体"/>
          <w:color w:val="231F20"/>
          <w:sz w:val="28"/>
          <w:szCs w:val="28"/>
        </w:rPr>
        <w:t>局</w:t>
      </w:r>
    </w:p>
    <w:p>
      <w:pPr>
        <w:widowControl w:val="0"/>
        <w:tabs>
          <w:tab w:val="left" w:pos="6075"/>
        </w:tabs>
        <w:spacing w:before="42" w:after="0" w:line="266" w:lineRule="auto"/>
        <w:ind w:left="3835" w:right="2668" w:hanging="840"/>
        <w:rPr>
          <w:rFonts w:ascii="Times New Roman" w:eastAsia="Times New Roman" w:hAnsi="Times New Roman" w:cs="Times New Roman"/>
          <w:sz w:val="28"/>
          <w:szCs w:val="28"/>
        </w:rPr>
      </w:pPr>
      <w:r>
        <w:rPr>
          <w:rFonts w:ascii="宋体" w:eastAsia="宋体" w:hAnsi="宋体" w:cs="宋体"/>
          <w:color w:val="231F20"/>
          <w:sz w:val="28"/>
          <w:szCs w:val="28"/>
        </w:rPr>
        <w:t>国家工商行政管理总局</w:t>
      </w:r>
      <w:r>
        <w:rPr>
          <w:rFonts w:ascii="宋体" w:eastAsia="宋体" w:hAnsi="宋体" w:cs="宋体"/>
          <w:color w:val="231F20"/>
          <w:sz w:val="28"/>
          <w:szCs w:val="28"/>
        </w:rPr>
        <w:tab/>
      </w:r>
      <w:r>
        <w:rPr>
          <w:rFonts w:ascii="宋体" w:eastAsia="宋体" w:hAnsi="宋体" w:cs="宋体"/>
          <w:color w:val="231F20"/>
          <w:sz w:val="28"/>
          <w:szCs w:val="28"/>
        </w:rPr>
        <w:t>制定二〇一四年四月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4092"/>
        <w:rPr>
          <w:rFonts w:ascii="Times New Roman" w:eastAsia="Times New Roman" w:hAnsi="Times New Roman" w:cs="Times New Roman"/>
          <w:sz w:val="28"/>
          <w:szCs w:val="28"/>
        </w:rPr>
      </w:pPr>
      <w:r>
        <w:rPr>
          <w:rFonts w:ascii="宋体" w:eastAsia="宋体" w:hAnsi="宋体" w:cs="宋体"/>
          <w:i/>
          <w:iCs/>
          <w:color w:val="231F20"/>
          <w:sz w:val="28"/>
          <w:szCs w:val="28"/>
        </w:rPr>
        <w:t>使用说明</w:t>
      </w:r>
    </w:p>
    <w:p>
      <w:pPr>
        <w:widowControl w:val="0"/>
        <w:spacing w:before="13" w:after="0"/>
        <w:rPr>
          <w:rFonts w:ascii="Times New Roman" w:eastAsia="Times New Roman" w:hAnsi="Times New Roman" w:cs="Times New Roman"/>
          <w:sz w:val="26"/>
          <w:szCs w:val="26"/>
        </w:rPr>
      </w:pPr>
    </w:p>
    <w:p>
      <w:pPr>
        <w:widowControl w:val="0"/>
        <w:numPr>
          <w:ilvl w:val="0"/>
          <w:numId w:val="1"/>
        </w:numPr>
        <w:tabs>
          <w:tab w:val="left" w:pos="867"/>
        </w:tabs>
        <w:spacing w:before="1"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本合同为示范文本，供中华人民共和国境内（不含港、澳、台地区）组团社和地接社就国内旅游接待业务签订合同时使用。</w:t>
      </w:r>
    </w:p>
    <w:p>
      <w:pPr>
        <w:widowControl w:val="0"/>
        <w:numPr>
          <w:ilvl w:val="0"/>
          <w:numId w:val="1"/>
        </w:numPr>
        <w:tabs>
          <w:tab w:val="left" w:pos="867"/>
        </w:tabs>
        <w:spacing w:before="26"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本合同示范文本在合同有效期内可反复使用，操作单团接待业务时，与合同双方达成的具体协议（</w:t>
      </w:r>
      <w:r>
        <w:rPr>
          <w:rFonts w:ascii="宋体" w:eastAsia="宋体" w:hAnsi="宋体" w:cs="宋体"/>
          <w:color w:val="231F20"/>
          <w:spacing w:val="-6"/>
          <w:sz w:val="22"/>
          <w:szCs w:val="22"/>
        </w:rPr>
        <w:t>主要指《接待计划书》</w:t>
      </w:r>
      <w:r>
        <w:rPr>
          <w:rFonts w:ascii="宋体" w:eastAsia="宋体" w:hAnsi="宋体" w:cs="宋体"/>
          <w:color w:val="231F20"/>
          <w:sz w:val="22"/>
          <w:szCs w:val="22"/>
        </w:rPr>
        <w:t>）共同使用。</w:t>
      </w:r>
    </w:p>
    <w:p>
      <w:pPr>
        <w:widowControl w:val="0"/>
        <w:numPr>
          <w:ilvl w:val="0"/>
          <w:numId w:val="1"/>
        </w:numPr>
        <w:tabs>
          <w:tab w:val="left" w:pos="867"/>
        </w:tabs>
        <w:spacing w:before="26" w:line="319" w:lineRule="auto"/>
        <w:ind w:left="117" w:right="210"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6"/>
          <w:sz w:val="22"/>
          <w:szCs w:val="22"/>
        </w:rPr>
        <w:t>本合同示范文本中“组团社”即“组团旅行社”，是指与旅游者订立包价旅游合同的旅</w:t>
      </w:r>
      <w:r>
        <w:rPr>
          <w:rFonts w:ascii="宋体" w:eastAsia="宋体" w:hAnsi="宋体" w:cs="宋体"/>
          <w:color w:val="231F20"/>
          <w:spacing w:val="-14"/>
          <w:sz w:val="22"/>
          <w:szCs w:val="22"/>
        </w:rPr>
        <w:t>行社；“地接社”即“地方接待旅行社”是指接受组团社委托，在旅游目的地接待旅游者的旅行社。</w:t>
      </w:r>
    </w:p>
    <w:p>
      <w:pPr>
        <w:widowControl w:val="0"/>
        <w:numPr>
          <w:ilvl w:val="0"/>
          <w:numId w:val="1"/>
        </w:numPr>
        <w:tabs>
          <w:tab w:val="left" w:pos="867"/>
        </w:tabs>
        <w:spacing w:before="26" w:line="319" w:lineRule="auto"/>
        <w:ind w:left="117" w:right="208"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本合同示范文本中“履行辅助人”，是指与旅行社存在合同关系，协助其履行包价旅游</w:t>
      </w:r>
      <w:r>
        <w:rPr>
          <w:rFonts w:ascii="宋体" w:eastAsia="宋体" w:hAnsi="宋体" w:cs="宋体"/>
          <w:color w:val="231F20"/>
          <w:sz w:val="22"/>
          <w:szCs w:val="22"/>
        </w:rPr>
        <w:t>合同义务，实际提供相关服务的法人、自然人或者其他组织。</w:t>
      </w:r>
    </w:p>
    <w:p>
      <w:pPr>
        <w:widowControl w:val="0"/>
        <w:numPr>
          <w:ilvl w:val="0"/>
          <w:numId w:val="1"/>
        </w:numPr>
        <w:tabs>
          <w:tab w:val="left" w:pos="867"/>
        </w:tabs>
        <w:spacing w:before="26" w:line="319" w:lineRule="auto"/>
        <w:ind w:left="117" w:right="10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本合同示范文本中有关条款留有空白处，供双方自行约定。对双方不予约定的空白处， 应当划“∕”以示没有特别约定。</w:t>
      </w:r>
    </w:p>
    <w:p>
      <w:pPr>
        <w:widowControl w:val="0"/>
        <w:numPr>
          <w:ilvl w:val="0"/>
          <w:numId w:val="1"/>
        </w:numPr>
        <w:tabs>
          <w:tab w:val="left" w:pos="867"/>
        </w:tabs>
        <w:spacing w:before="26"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签订合同后，双方均应认真保存合同有关资料、相关证明材料及履行合同过程中发生的有关票据资料，以备查用。</w:t>
      </w:r>
    </w:p>
    <w:p>
      <w:pPr>
        <w:widowControl w:val="0"/>
        <w:numPr>
          <w:ilvl w:val="0"/>
          <w:numId w:val="1"/>
        </w:numPr>
        <w:spacing w:before="26"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本合同示范文本由国家旅游局和国家工商行政管理总局共同制定、解释。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5"/>
          <w:szCs w:val="15"/>
        </w:rPr>
      </w:pPr>
    </w:p>
    <w:p>
      <w:pPr>
        <w:widowControl w:val="0"/>
        <w:spacing w:before="0" w:after="0" w:line="481" w:lineRule="atLeast"/>
        <w:ind w:left="2572"/>
        <w:rPr>
          <w:rFonts w:ascii="Times New Roman" w:eastAsia="Times New Roman" w:hAnsi="Times New Roman" w:cs="Times New Roman"/>
        </w:rPr>
      </w:pPr>
      <w:r>
        <w:rPr>
          <w:rFonts w:ascii="宋体" w:eastAsia="宋体" w:hAnsi="宋体" w:cs="宋体"/>
          <w:color w:val="231F20"/>
          <w:sz w:val="32"/>
          <w:szCs w:val="32"/>
        </w:rPr>
        <w:t>境内旅游组团社与地接社合同</w:t>
      </w:r>
    </w:p>
    <w:p>
      <w:pPr>
        <w:widowControl w:val="0"/>
        <w:tabs>
          <w:tab w:val="left" w:pos="9188"/>
        </w:tabs>
        <w:spacing w:before="214" w:after="0"/>
        <w:ind w:left="6689"/>
        <w:rPr>
          <w:rFonts w:ascii="方正黑体_GBK" w:eastAsia="方正黑体_GBK" w:hAnsi="方正黑体_GBK" w:cs="方正黑体_GBK"/>
          <w:i/>
          <w:iCs/>
          <w:sz w:val="22"/>
          <w:szCs w:val="22"/>
          <w:u w:val="single"/>
        </w:rPr>
      </w:pPr>
      <w:r>
        <w:rPr>
          <w:rFonts w:ascii="宋体" w:eastAsia="宋体" w:hAnsi="宋体" w:cs="宋体"/>
          <w:i/>
          <w:iCs/>
          <w:color w:val="231F20"/>
          <w:sz w:val="22"/>
          <w:szCs w:val="22"/>
        </w:rPr>
        <w:t>合同编号</w:t>
      </w:r>
      <w:r>
        <w:rPr>
          <w:rFonts w:ascii="宋体" w:eastAsia="宋体" w:hAnsi="宋体" w:cs="宋体"/>
          <w:i/>
          <w:iCs/>
          <w:color w:val="231F20"/>
          <w:sz w:val="22"/>
          <w:szCs w:val="22"/>
          <w:u w:val="single" w:color="231F20"/>
        </w:rPr>
        <w:t>：</w:t>
      </w:r>
      <w:r>
        <w:rPr>
          <w:rFonts w:ascii="宋体" w:eastAsia="宋体" w:hAnsi="宋体" w:cs="宋体"/>
          <w:i/>
          <w:iCs/>
          <w:color w:val="231F20"/>
          <w:sz w:val="22"/>
          <w:szCs w:val="22"/>
          <w:u w:val="single" w:color="231F20"/>
        </w:rPr>
        <w:tab/>
      </w:r>
    </w:p>
    <w:p>
      <w:pPr>
        <w:widowControl w:val="0"/>
        <w:spacing w:before="0" w:after="0"/>
        <w:rPr>
          <w:rFonts w:ascii="Times New Roman" w:eastAsia="Times New Roman" w:hAnsi="Times New Roman" w:cs="Times New Roman"/>
        </w:rPr>
      </w:pPr>
    </w:p>
    <w:p>
      <w:pPr>
        <w:widowControl w:val="0"/>
        <w:spacing w:before="208" w:after="0"/>
        <w:ind w:left="557"/>
        <w:rPr>
          <w:rFonts w:ascii="Times New Roman" w:eastAsia="Times New Roman" w:hAnsi="Times New Roman" w:cs="Times New Roman"/>
          <w:sz w:val="22"/>
          <w:szCs w:val="22"/>
        </w:rPr>
      </w:pPr>
      <w:r>
        <w:rPr>
          <w:rFonts w:ascii="宋体" w:eastAsia="宋体" w:hAnsi="宋体" w:cs="宋体"/>
          <w:color w:val="231F20"/>
          <w:sz w:val="22"/>
          <w:szCs w:val="22"/>
        </w:rPr>
        <w:t>组团社：</w:t>
      </w:r>
    </w:p>
    <w:p>
      <w:pPr>
        <w:widowControl w:val="0"/>
        <w:tabs>
          <w:tab w:val="left" w:pos="5097"/>
        </w:tabs>
        <w:spacing w:before="108" w:after="0" w:line="319" w:lineRule="auto"/>
        <w:ind w:left="557" w:right="3646"/>
        <w:rPr>
          <w:rFonts w:ascii="Times New Roman" w:eastAsia="Times New Roman" w:hAnsi="Times New Roman" w:cs="Times New Roman"/>
          <w:sz w:val="22"/>
          <w:szCs w:val="22"/>
        </w:rPr>
      </w:pPr>
      <w:r>
        <w:rPr>
          <w:rFonts w:ascii="宋体" w:eastAsia="宋体" w:hAnsi="宋体" w:cs="宋体"/>
          <w:color w:val="231F20"/>
          <w:sz w:val="22"/>
          <w:szCs w:val="22"/>
        </w:rPr>
        <w:t>法定代表人（主要负责人</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职务：业务经营许可证号：</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经营地址：</w:t>
      </w:r>
    </w:p>
    <w:p>
      <w:pPr>
        <w:widowControl w:val="0"/>
        <w:tabs>
          <w:tab w:val="left" w:pos="509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经办人：</w:t>
      </w:r>
      <w:r>
        <w:rPr>
          <w:rFonts w:ascii="宋体" w:eastAsia="宋体" w:hAnsi="宋体" w:cs="宋体"/>
          <w:color w:val="231F20"/>
          <w:sz w:val="22"/>
          <w:szCs w:val="22"/>
        </w:rPr>
        <w:tab/>
      </w:r>
      <w:r>
        <w:rPr>
          <w:rFonts w:ascii="宋体" w:eastAsia="宋体" w:hAnsi="宋体" w:cs="宋体"/>
          <w:color w:val="231F20"/>
          <w:sz w:val="22"/>
          <w:szCs w:val="22"/>
        </w:rPr>
        <w:t>职务：</w:t>
      </w:r>
    </w:p>
    <w:p>
      <w:pPr>
        <w:widowControl w:val="0"/>
        <w:tabs>
          <w:tab w:val="left" w:pos="509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联系电话：</w:t>
      </w:r>
      <w:r>
        <w:rPr>
          <w:rFonts w:ascii="宋体" w:eastAsia="宋体" w:hAnsi="宋体" w:cs="宋体"/>
          <w:color w:val="231F20"/>
          <w:sz w:val="22"/>
          <w:szCs w:val="22"/>
        </w:rPr>
        <w:tab/>
      </w:r>
      <w:r>
        <w:rPr>
          <w:rFonts w:ascii="宋体" w:eastAsia="宋体" w:hAnsi="宋体" w:cs="宋体"/>
          <w:color w:val="231F20"/>
          <w:sz w:val="22"/>
          <w:szCs w:val="22"/>
        </w:rPr>
        <w:t>传真：</w:t>
      </w:r>
    </w:p>
    <w:p>
      <w:pPr>
        <w:widowControl w:val="0"/>
        <w:spacing w:before="109" w:after="0" w:line="319" w:lineRule="auto"/>
        <w:ind w:left="557" w:right="7733"/>
        <w:rPr>
          <w:rFonts w:ascii="Times New Roman" w:eastAsia="Times New Roman" w:hAnsi="Times New Roman" w:cs="Times New Roman"/>
          <w:sz w:val="22"/>
          <w:szCs w:val="22"/>
        </w:rPr>
      </w:pPr>
      <w:r>
        <w:rPr>
          <w:rFonts w:ascii="宋体" w:eastAsia="宋体" w:hAnsi="宋体" w:cs="宋体"/>
          <w:color w:val="231F20"/>
          <w:sz w:val="22"/>
          <w:szCs w:val="22"/>
        </w:rPr>
        <w:t>电子邮箱： 地接社：</w:t>
      </w:r>
    </w:p>
    <w:p>
      <w:pPr>
        <w:widowControl w:val="0"/>
        <w:tabs>
          <w:tab w:val="left" w:pos="5097"/>
        </w:tabs>
        <w:spacing w:before="26" w:after="0" w:line="319" w:lineRule="auto"/>
        <w:ind w:left="557" w:right="3646"/>
        <w:rPr>
          <w:rFonts w:ascii="Times New Roman" w:eastAsia="Times New Roman" w:hAnsi="Times New Roman" w:cs="Times New Roman"/>
          <w:sz w:val="22"/>
          <w:szCs w:val="22"/>
        </w:rPr>
      </w:pPr>
      <w:r>
        <w:rPr>
          <w:rFonts w:ascii="宋体" w:eastAsia="宋体" w:hAnsi="宋体" w:cs="宋体"/>
          <w:color w:val="231F20"/>
          <w:sz w:val="22"/>
          <w:szCs w:val="22"/>
        </w:rPr>
        <w:t>法定代表人（主要负责人</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职务：业务经营许可证号：</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经营地址：</w:t>
      </w:r>
    </w:p>
    <w:p>
      <w:pPr>
        <w:widowControl w:val="0"/>
        <w:tabs>
          <w:tab w:val="left" w:pos="509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经办人：</w:t>
      </w:r>
      <w:r>
        <w:rPr>
          <w:rFonts w:ascii="宋体" w:eastAsia="宋体" w:hAnsi="宋体" w:cs="宋体"/>
          <w:color w:val="231F20"/>
          <w:sz w:val="22"/>
          <w:szCs w:val="22"/>
        </w:rPr>
        <w:tab/>
      </w:r>
      <w:r>
        <w:rPr>
          <w:rFonts w:ascii="宋体" w:eastAsia="宋体" w:hAnsi="宋体" w:cs="宋体"/>
          <w:color w:val="231F20"/>
          <w:sz w:val="22"/>
          <w:szCs w:val="22"/>
        </w:rPr>
        <w:t>职务：</w:t>
      </w:r>
    </w:p>
    <w:p>
      <w:pPr>
        <w:widowControl w:val="0"/>
        <w:tabs>
          <w:tab w:val="left" w:pos="509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联系电话：</w:t>
      </w:r>
      <w:r>
        <w:rPr>
          <w:rFonts w:ascii="宋体" w:eastAsia="宋体" w:hAnsi="宋体" w:cs="宋体"/>
          <w:color w:val="231F20"/>
          <w:sz w:val="22"/>
          <w:szCs w:val="22"/>
        </w:rPr>
        <w:tab/>
      </w:r>
      <w:r>
        <w:rPr>
          <w:rFonts w:ascii="宋体" w:eastAsia="宋体" w:hAnsi="宋体" w:cs="宋体"/>
          <w:color w:val="231F20"/>
          <w:sz w:val="22"/>
          <w:szCs w:val="22"/>
        </w:rPr>
        <w:t>传真：</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电子邮箱：</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组团社将其组织的旅游者交由地接社接待，地接社按照双方确认的标准和要求，为组团社组织的旅游者提供接待服务。组团社与地接社双方经平等协商，达成如下协议：</w:t>
      </w:r>
    </w:p>
    <w:p>
      <w:pPr>
        <w:widowControl w:val="0"/>
        <w:spacing w:before="8" w:after="0"/>
        <w:rPr>
          <w:rFonts w:ascii="Times New Roman" w:eastAsia="Times New Roman" w:hAnsi="Times New Roman" w:cs="Times New Roman"/>
          <w:sz w:val="30"/>
          <w:szCs w:val="30"/>
        </w:rPr>
      </w:pPr>
    </w:p>
    <w:p>
      <w:pPr>
        <w:widowControl w:val="0"/>
        <w:tabs>
          <w:tab w:val="left" w:pos="1437"/>
        </w:tabs>
        <w:spacing w:before="1" w:after="0"/>
        <w:ind w:left="557"/>
        <w:rPr>
          <w:rFonts w:ascii="Times New Roman" w:eastAsia="Times New Roman" w:hAnsi="Times New Roman" w:cs="Times New Roman"/>
          <w:sz w:val="22"/>
          <w:szCs w:val="22"/>
        </w:rPr>
      </w:pPr>
      <w:r>
        <w:rPr>
          <w:rFonts w:ascii="宋体" w:eastAsia="宋体" w:hAnsi="宋体" w:cs="宋体"/>
          <w:i/>
          <w:iCs/>
          <w:color w:val="231F20"/>
          <w:sz w:val="22"/>
          <w:szCs w:val="22"/>
        </w:rPr>
        <w:t>第一条</w:t>
      </w:r>
      <w:r>
        <w:rPr>
          <w:rFonts w:ascii="宋体" w:eastAsia="宋体" w:hAnsi="宋体" w:cs="宋体"/>
          <w:i/>
          <w:iCs/>
          <w:color w:val="231F20"/>
          <w:sz w:val="22"/>
          <w:szCs w:val="22"/>
        </w:rPr>
        <w:tab/>
      </w:r>
      <w:r>
        <w:rPr>
          <w:rFonts w:ascii="宋体" w:eastAsia="宋体" w:hAnsi="宋体" w:cs="宋体"/>
          <w:color w:val="231F20"/>
          <w:sz w:val="22"/>
          <w:szCs w:val="22"/>
        </w:rPr>
        <w:t>合同构成</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下列内容作为本合同的有效组成部分，与本合同具有同等法律效力：</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1.《接待计划书》；</w:t>
      </w:r>
    </w:p>
    <w:p>
      <w:pPr>
        <w:widowControl w:val="0"/>
        <w:numPr>
          <w:ilvl w:val="0"/>
          <w:numId w:val="2"/>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双方业务往来确认；</w:t>
      </w:r>
    </w:p>
    <w:p>
      <w:pPr>
        <w:widowControl w:val="0"/>
        <w:numPr>
          <w:ilvl w:val="0"/>
          <w:numId w:val="2"/>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双方就未尽事宜达成的补充协议；</w:t>
      </w:r>
    </w:p>
    <w:p>
      <w:pPr>
        <w:widowControl w:val="0"/>
        <w:numPr>
          <w:ilvl w:val="0"/>
          <w:numId w:val="2"/>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财务确认及结算单据；</w:t>
      </w:r>
    </w:p>
    <w:p>
      <w:pPr>
        <w:widowControl w:val="0"/>
        <w:numPr>
          <w:ilvl w:val="0"/>
          <w:numId w:val="2"/>
        </w:numPr>
        <w:tabs>
          <w:tab w:val="left" w:pos="9078"/>
        </w:tabs>
        <w:spacing w:before="109"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其他约定</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i/>
          <w:iCs/>
          <w:color w:val="231F20"/>
          <w:sz w:val="22"/>
          <w:szCs w:val="22"/>
        </w:rPr>
        <w:t>第二条</w:t>
      </w:r>
      <w:r>
        <w:rPr>
          <w:rFonts w:ascii="宋体" w:eastAsia="宋体" w:hAnsi="宋体" w:cs="宋体"/>
          <w:i/>
          <w:iCs/>
          <w:color w:val="231F20"/>
          <w:sz w:val="22"/>
          <w:szCs w:val="22"/>
        </w:rPr>
        <w:tab/>
      </w:r>
      <w:r>
        <w:rPr>
          <w:rFonts w:ascii="宋体" w:eastAsia="宋体" w:hAnsi="宋体" w:cs="宋体"/>
          <w:color w:val="231F20"/>
          <w:sz w:val="22"/>
          <w:szCs w:val="22"/>
        </w:rPr>
        <w:t>合同当事人</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组团社和地接社是依照中华人民共和国法律、法规设立的旅行社或者分社，依法取得旅行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社业务资质，且在合同有效期内双方资质有效存续。</w:t>
      </w:r>
    </w:p>
    <w:p>
      <w:pPr>
        <w:widowControl w:val="0"/>
        <w:spacing w:before="109"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双方均应于签订合同前向对方提供营业执</w:t>
      </w:r>
      <w:r>
        <w:rPr>
          <w:rFonts w:ascii="宋体" w:eastAsia="宋体" w:hAnsi="宋体" w:cs="宋体"/>
          <w:color w:val="231F20"/>
          <w:sz w:val="22"/>
          <w:szCs w:val="22"/>
        </w:rPr>
        <w:t>照</w:t>
      </w:r>
      <w:r>
        <w:rPr>
          <w:rFonts w:ascii="宋体" w:eastAsia="宋体" w:hAnsi="宋体" w:cs="宋体"/>
          <w:color w:val="231F20"/>
          <w:spacing w:val="2"/>
          <w:sz w:val="22"/>
          <w:szCs w:val="22"/>
        </w:rPr>
        <w:t>、业务经营许可</w:t>
      </w:r>
      <w:r>
        <w:rPr>
          <w:rFonts w:ascii="宋体" w:eastAsia="宋体" w:hAnsi="宋体" w:cs="宋体"/>
          <w:color w:val="231F20"/>
          <w:sz w:val="22"/>
          <w:szCs w:val="22"/>
        </w:rPr>
        <w:t>证</w:t>
      </w:r>
      <w:r>
        <w:rPr>
          <w:rFonts w:ascii="宋体" w:eastAsia="宋体" w:hAnsi="宋体" w:cs="宋体"/>
          <w:color w:val="231F20"/>
          <w:spacing w:val="2"/>
          <w:sz w:val="22"/>
          <w:szCs w:val="22"/>
        </w:rPr>
        <w:t>（分社备案登记证明</w:t>
      </w:r>
      <w:r>
        <w:rPr>
          <w:rFonts w:ascii="宋体" w:eastAsia="宋体" w:hAnsi="宋体" w:cs="宋体"/>
          <w:color w:val="231F20"/>
          <w:spacing w:val="-110"/>
          <w:sz w:val="22"/>
          <w:szCs w:val="22"/>
        </w:rPr>
        <w:t>）</w:t>
      </w:r>
      <w:r>
        <w:rPr>
          <w:rFonts w:ascii="宋体" w:eastAsia="宋体" w:hAnsi="宋体" w:cs="宋体"/>
          <w:color w:val="231F20"/>
          <w:spacing w:val="2"/>
          <w:sz w:val="22"/>
          <w:szCs w:val="22"/>
        </w:rPr>
        <w:t>、旅</w:t>
      </w:r>
      <w:r>
        <w:rPr>
          <w:rFonts w:ascii="宋体" w:eastAsia="宋体" w:hAnsi="宋体" w:cs="宋体"/>
          <w:color w:val="231F20"/>
          <w:sz w:val="22"/>
          <w:szCs w:val="22"/>
        </w:rPr>
        <w:t>行社责任保险单、安全管理制度、突发事件处理预案等文书复印件并加盖印章。如上述信息发生变更，变更一方应于变更之日起</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日内书面通知对方并提供更新后的材料。</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i/>
          <w:iCs/>
          <w:color w:val="231F20"/>
          <w:sz w:val="22"/>
          <w:szCs w:val="22"/>
        </w:rPr>
        <w:t xml:space="preserve">第三条 </w:t>
      </w:r>
      <w:r>
        <w:rPr>
          <w:rFonts w:ascii="宋体" w:eastAsia="宋体" w:hAnsi="宋体" w:cs="宋体"/>
          <w:color w:val="231F20"/>
          <w:sz w:val="22"/>
          <w:szCs w:val="22"/>
        </w:rPr>
        <w:t>《接待计划书》订立</w:t>
      </w:r>
    </w:p>
    <w:p>
      <w:pPr>
        <w:widowControl w:val="0"/>
        <w:spacing w:before="108"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组团社可以通过电话、传真、电子邮件等通讯方式与地接社洽谈接待相关事宜，在此过程中双方最终达成一致的事项，应形成《接待计划书》，并由双方签字盖章确认。</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《接待计划书》应明确以下内容：</w:t>
      </w:r>
    </w:p>
    <w:p>
      <w:pPr>
        <w:widowControl w:val="0"/>
        <w:numPr>
          <w:ilvl w:val="0"/>
          <w:numId w:val="3"/>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旅游者人数及名单；</w:t>
      </w:r>
    </w:p>
    <w:p>
      <w:pPr>
        <w:widowControl w:val="0"/>
        <w:numPr>
          <w:ilvl w:val="0"/>
          <w:numId w:val="3"/>
        </w:numPr>
        <w:tabs>
          <w:tab w:val="left" w:pos="5824"/>
        </w:tabs>
        <w:spacing w:before="109"/>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接待费用</w:t>
      </w:r>
      <w:r>
        <w:rPr>
          <w:rFonts w:ascii="宋体" w:eastAsia="宋体" w:hAnsi="宋体" w:cs="宋体"/>
          <w:color w:val="231F20"/>
          <w:spacing w:val="-55"/>
          <w:sz w:val="22"/>
          <w:szCs w:val="22"/>
        </w:rPr>
        <w:t>；</w:t>
      </w:r>
      <w:r>
        <w:rPr>
          <w:rFonts w:ascii="宋体" w:eastAsia="宋体" w:hAnsi="宋体" w:cs="宋体"/>
          <w:color w:val="231F20"/>
          <w:spacing w:val="0"/>
          <w:sz w:val="22"/>
          <w:szCs w:val="22"/>
        </w:rPr>
        <w:t>其中地接导游费用为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3"/>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抵离时间、航班、车次；</w:t>
      </w:r>
    </w:p>
    <w:p>
      <w:pPr>
        <w:widowControl w:val="0"/>
        <w:numPr>
          <w:ilvl w:val="0"/>
          <w:numId w:val="3"/>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交通、住宿、餐饮服务安排及标准；</w:t>
      </w:r>
    </w:p>
    <w:p>
      <w:pPr>
        <w:widowControl w:val="0"/>
        <w:numPr>
          <w:ilvl w:val="0"/>
          <w:numId w:val="3"/>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游览行程安排、游览内容及时间；</w:t>
      </w:r>
    </w:p>
    <w:p>
      <w:pPr>
        <w:widowControl w:val="0"/>
        <w:numPr>
          <w:ilvl w:val="0"/>
          <w:numId w:val="3"/>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自由活动次数及时间；</w:t>
      </w:r>
    </w:p>
    <w:p>
      <w:pPr>
        <w:widowControl w:val="0"/>
        <w:numPr>
          <w:ilvl w:val="0"/>
          <w:numId w:val="3"/>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对导游的要求；</w:t>
      </w:r>
    </w:p>
    <w:p>
      <w:pPr>
        <w:widowControl w:val="0"/>
        <w:numPr>
          <w:ilvl w:val="0"/>
          <w:numId w:val="3"/>
        </w:numPr>
        <w:tabs>
          <w:tab w:val="left" w:pos="5769"/>
        </w:tabs>
        <w:spacing w:before="109"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i/>
          <w:iCs/>
          <w:color w:val="231F20"/>
          <w:sz w:val="22"/>
          <w:szCs w:val="22"/>
        </w:rPr>
        <w:t xml:space="preserve">第四条 </w:t>
      </w:r>
      <w:r>
        <w:rPr>
          <w:rFonts w:ascii="宋体" w:eastAsia="宋体" w:hAnsi="宋体" w:cs="宋体"/>
          <w:color w:val="231F20"/>
          <w:sz w:val="22"/>
          <w:szCs w:val="22"/>
        </w:rPr>
        <w:t>《接待计划书》变更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《接待计划书》一经确认，单方不得擅自变更。</w:t>
      </w:r>
    </w:p>
    <w:p>
      <w:pPr>
        <w:widowControl w:val="0"/>
        <w:spacing w:before="109" w:after="0" w:line="319"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出团前如遇不可抗力或者其他原因确需变更的，经协商一致，就变更后的内容由双方签字盖章确认。紧急情况下，双方可通过电话、传真、电子邮件等通讯方式进行协商，但应在紧急情况消失之日起</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日内由双方签字盖章确认。</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除法律、法规规定外，出团后《接待计划书》不得变更。</w:t>
      </w:r>
    </w:p>
    <w:p>
      <w:pPr>
        <w:widowControl w:val="0"/>
        <w:tabs>
          <w:tab w:val="left" w:pos="1437"/>
        </w:tabs>
        <w:spacing w:before="103" w:after="0" w:line="317" w:lineRule="auto"/>
        <w:ind w:left="557" w:right="6426"/>
        <w:rPr>
          <w:rFonts w:ascii="Times New Roman" w:eastAsia="Times New Roman" w:hAnsi="Times New Roman" w:cs="Times New Roman"/>
          <w:sz w:val="22"/>
          <w:szCs w:val="22"/>
        </w:rPr>
      </w:pPr>
      <w:r>
        <w:rPr>
          <w:rFonts w:ascii="宋体" w:eastAsia="宋体" w:hAnsi="宋体" w:cs="宋体"/>
          <w:i/>
          <w:iCs/>
          <w:color w:val="231F20"/>
          <w:sz w:val="22"/>
          <w:szCs w:val="22"/>
        </w:rPr>
        <w:t>第五条</w:t>
      </w:r>
      <w:r>
        <w:rPr>
          <w:rFonts w:ascii="宋体" w:eastAsia="宋体" w:hAnsi="宋体" w:cs="宋体"/>
          <w:i/>
          <w:iCs/>
          <w:color w:val="231F20"/>
          <w:sz w:val="22"/>
          <w:szCs w:val="22"/>
        </w:rPr>
        <w:tab/>
      </w:r>
      <w:r>
        <w:rPr>
          <w:rFonts w:ascii="宋体" w:eastAsia="宋体" w:hAnsi="宋体" w:cs="宋体"/>
          <w:color w:val="231F20"/>
          <w:sz w:val="22"/>
          <w:szCs w:val="22"/>
        </w:rPr>
        <w:t>接待服务要求 地接社接待服务应符合：</w:t>
      </w:r>
    </w:p>
    <w:p>
      <w:pPr>
        <w:widowControl w:val="0"/>
        <w:spacing w:before="28"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1.</w:t>
      </w:r>
      <w:r>
        <w:rPr>
          <w:rFonts w:ascii="宋体" w:eastAsia="宋体" w:hAnsi="宋体" w:cs="宋体"/>
          <w:color w:val="231F20"/>
          <w:spacing w:val="-10"/>
          <w:sz w:val="22"/>
          <w:szCs w:val="22"/>
        </w:rPr>
        <w:t>《中华人民共和国旅游法》</w:t>
      </w:r>
      <w:r>
        <w:rPr>
          <w:rFonts w:ascii="宋体" w:eastAsia="宋体" w:hAnsi="宋体" w:cs="宋体"/>
          <w:color w:val="231F20"/>
          <w:sz w:val="22"/>
          <w:szCs w:val="22"/>
        </w:rPr>
        <w:t>（</w:t>
      </w:r>
      <w:r>
        <w:rPr>
          <w:rFonts w:ascii="宋体" w:eastAsia="宋体" w:hAnsi="宋体" w:cs="宋体"/>
          <w:color w:val="231F20"/>
          <w:spacing w:val="-7"/>
          <w:sz w:val="22"/>
          <w:szCs w:val="22"/>
        </w:rPr>
        <w:t>以下简称《旅游法》</w:t>
      </w:r>
      <w:r>
        <w:rPr>
          <w:rFonts w:ascii="宋体" w:eastAsia="宋体" w:hAnsi="宋体" w:cs="宋体"/>
          <w:color w:val="231F20"/>
          <w:spacing w:val="-110"/>
          <w:sz w:val="22"/>
          <w:szCs w:val="22"/>
        </w:rPr>
        <w:t>）</w:t>
      </w:r>
      <w:r>
        <w:rPr>
          <w:rFonts w:ascii="宋体" w:eastAsia="宋体" w:hAnsi="宋体" w:cs="宋体"/>
          <w:color w:val="231F20"/>
          <w:spacing w:val="-25"/>
          <w:sz w:val="22"/>
          <w:szCs w:val="22"/>
        </w:rPr>
        <w:t>、《旅行社条例》、《导游人员管理条例》等法律、法规；</w:t>
      </w:r>
    </w:p>
    <w:p>
      <w:pPr>
        <w:widowControl w:val="0"/>
        <w:numPr>
          <w:ilvl w:val="0"/>
          <w:numId w:val="4"/>
        </w:numPr>
        <w:spacing w:before="25"/>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双方约定的接待服务标准；</w:t>
      </w:r>
    </w:p>
    <w:p>
      <w:pPr>
        <w:widowControl w:val="0"/>
        <w:numPr>
          <w:ilvl w:val="0"/>
          <w:numId w:val="4"/>
        </w:numPr>
        <w:spacing w:before="108"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相关的国家标准和行业标准。</w:t>
      </w:r>
    </w:p>
    <w:p>
      <w:pPr>
        <w:widowControl w:val="0"/>
        <w:tabs>
          <w:tab w:val="left" w:pos="1437"/>
        </w:tabs>
        <w:spacing w:before="102" w:after="0"/>
        <w:ind w:left="557"/>
        <w:rPr>
          <w:rFonts w:ascii="Times New Roman" w:eastAsia="Times New Roman" w:hAnsi="Times New Roman" w:cs="Times New Roman"/>
          <w:sz w:val="22"/>
          <w:szCs w:val="22"/>
        </w:rPr>
      </w:pPr>
      <w:r>
        <w:rPr>
          <w:rFonts w:ascii="宋体" w:eastAsia="宋体" w:hAnsi="宋体" w:cs="宋体"/>
          <w:i/>
          <w:iCs/>
          <w:color w:val="231F20"/>
          <w:sz w:val="22"/>
          <w:szCs w:val="22"/>
        </w:rPr>
        <w:t>第六条</w:t>
      </w:r>
      <w:r>
        <w:rPr>
          <w:rFonts w:ascii="宋体" w:eastAsia="宋体" w:hAnsi="宋体" w:cs="宋体"/>
          <w:i/>
          <w:iCs/>
          <w:color w:val="231F20"/>
          <w:sz w:val="22"/>
          <w:szCs w:val="22"/>
        </w:rPr>
        <w:tab/>
      </w:r>
      <w:r>
        <w:rPr>
          <w:rFonts w:ascii="宋体" w:eastAsia="宋体" w:hAnsi="宋体" w:cs="宋体"/>
          <w:color w:val="231F20"/>
          <w:sz w:val="22"/>
          <w:szCs w:val="22"/>
        </w:rPr>
        <w:t>接待费用结算</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结算方式及期限</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5"/>
          <w:sz w:val="22"/>
          <w:szCs w:val="22"/>
        </w:rPr>
        <w:t>地接社应配合组团社关于接待费用结算的要求及时填写结算</w:t>
      </w:r>
      <w:r>
        <w:rPr>
          <w:rFonts w:ascii="宋体" w:eastAsia="宋体" w:hAnsi="宋体" w:cs="宋体"/>
          <w:color w:val="231F20"/>
          <w:sz w:val="22"/>
          <w:szCs w:val="22"/>
        </w:rPr>
        <w:t>单</w:t>
      </w:r>
      <w:r>
        <w:rPr>
          <w:rFonts w:ascii="宋体" w:eastAsia="宋体" w:hAnsi="宋体" w:cs="宋体"/>
          <w:color w:val="231F20"/>
          <w:spacing w:val="5"/>
          <w:sz w:val="22"/>
          <w:szCs w:val="22"/>
        </w:rPr>
        <w:t>，并加盖地接社财务专用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6972"/>
        </w:tabs>
        <w:spacing w:before="24" w:after="0" w:line="319" w:lineRule="auto"/>
        <w:ind w:left="117" w:right="213"/>
        <w:rPr>
          <w:rFonts w:ascii="方正书宋_GBK" w:eastAsia="方正书宋_GBK" w:hAnsi="方正书宋_GBK" w:cs="方正书宋_GBK"/>
          <w:sz w:val="20"/>
          <w:szCs w:val="20"/>
          <w:u w:val="single"/>
        </w:rPr>
      </w:pPr>
      <w:r>
        <w:rPr>
          <w:rFonts w:ascii="宋体" w:eastAsia="宋体" w:hAnsi="宋体" w:cs="宋体"/>
          <w:color w:val="231F20"/>
          <w:sz w:val="22"/>
          <w:szCs w:val="22"/>
        </w:rPr>
        <w:t>章，送达组团社财务部门。组团社应在收到地接社结算单据后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日内核对，并按约定按 时足额支付接待费用。</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i/>
          <w:iCs/>
          <w:color w:val="231F20"/>
          <w:sz w:val="22"/>
          <w:szCs w:val="22"/>
        </w:rPr>
        <w:t>第七条</w:t>
      </w:r>
      <w:r>
        <w:rPr>
          <w:rFonts w:ascii="宋体" w:eastAsia="宋体" w:hAnsi="宋体" w:cs="宋体"/>
          <w:i/>
          <w:iCs/>
          <w:color w:val="231F20"/>
          <w:sz w:val="22"/>
          <w:szCs w:val="22"/>
        </w:rPr>
        <w:tab/>
      </w:r>
      <w:r>
        <w:rPr>
          <w:rFonts w:ascii="宋体" w:eastAsia="宋体" w:hAnsi="宋体" w:cs="宋体"/>
          <w:color w:val="231F20"/>
          <w:sz w:val="22"/>
          <w:szCs w:val="22"/>
        </w:rPr>
        <w:t>合同义务</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（一）组团社义务</w:t>
      </w:r>
    </w:p>
    <w:p>
      <w:pPr>
        <w:widowControl w:val="0"/>
        <w:numPr>
          <w:ilvl w:val="0"/>
          <w:numId w:val="5"/>
        </w:numPr>
        <w:tabs>
          <w:tab w:val="left" w:pos="867"/>
        </w:tabs>
        <w:spacing w:before="108"/>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组团社应按约定的时限、数额支付接待费用；</w:t>
      </w:r>
    </w:p>
    <w:p>
      <w:pPr>
        <w:widowControl w:val="0"/>
        <w:numPr>
          <w:ilvl w:val="0"/>
          <w:numId w:val="5"/>
        </w:numPr>
        <w:tabs>
          <w:tab w:val="left" w:pos="867"/>
        </w:tabs>
        <w:spacing w:before="108" w:line="319" w:lineRule="auto"/>
        <w:ind w:left="117" w:right="10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2"/>
          <w:sz w:val="22"/>
          <w:szCs w:val="22"/>
        </w:rPr>
        <w:t>组团社应真实、明确说明接待要求和标准，将与旅游者达成的合同、单团《旅游行程单》的副本提供给地接社；</w:t>
      </w:r>
    </w:p>
    <w:p>
      <w:pPr>
        <w:widowControl w:val="0"/>
        <w:numPr>
          <w:ilvl w:val="0"/>
          <w:numId w:val="5"/>
        </w:numPr>
        <w:tabs>
          <w:tab w:val="left" w:pos="867"/>
        </w:tabs>
        <w:spacing w:before="25"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组团社应对地接社完成接待服务予以必要协助。</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（二）地接社义务</w:t>
      </w:r>
    </w:p>
    <w:p>
      <w:pPr>
        <w:widowControl w:val="0"/>
        <w:numPr>
          <w:ilvl w:val="0"/>
          <w:numId w:val="6"/>
        </w:numPr>
        <w:tabs>
          <w:tab w:val="left" w:pos="867"/>
        </w:tabs>
        <w:spacing w:before="109" w:line="319" w:lineRule="auto"/>
        <w:ind w:left="117" w:right="2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地接社应严格按照双方约定安排旅游行程、旅游景点、服务项目等，不得因与组团社团款等纠纷擅自中止旅游服务；</w:t>
      </w:r>
    </w:p>
    <w:p>
      <w:pPr>
        <w:widowControl w:val="0"/>
        <w:numPr>
          <w:ilvl w:val="0"/>
          <w:numId w:val="6"/>
        </w:numPr>
        <w:tabs>
          <w:tab w:val="left" w:pos="867"/>
        </w:tabs>
        <w:spacing w:before="25"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未经组团社书面同意，地接社不得以任何方式将组团社组织的旅游者与其他旅游者合并接待，或者转交任何第三方接待；</w:t>
      </w:r>
    </w:p>
    <w:p>
      <w:pPr>
        <w:widowControl w:val="0"/>
        <w:numPr>
          <w:ilvl w:val="0"/>
          <w:numId w:val="6"/>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地接社应选择合格且具有相应接待能力的供应商；</w:t>
      </w:r>
    </w:p>
    <w:p>
      <w:pPr>
        <w:widowControl w:val="0"/>
        <w:numPr>
          <w:ilvl w:val="0"/>
          <w:numId w:val="6"/>
        </w:numPr>
        <w:tabs>
          <w:tab w:val="left" w:pos="867"/>
          <w:tab w:val="left" w:pos="9078"/>
        </w:tabs>
        <w:spacing w:before="109" w:line="319" w:lineRule="auto"/>
        <w:ind w:left="117" w:right="105"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地接社应积极配合组团社做好接待服务质量测评工作，按约定通报团队动态和反馈接待服务质量信息，服务质量测评方式及达标标准双方约定为</w:t>
      </w:r>
      <w:r>
        <w:rPr>
          <w:rFonts w:ascii="宋体" w:eastAsia="宋体" w:hAnsi="宋体" w:cs="宋体"/>
          <w:color w:val="231F20"/>
          <w:sz w:val="22"/>
          <w:szCs w:val="22"/>
          <w:u w:val="single" w:color="231F20"/>
        </w:rPr>
        <w:t>：</w:t>
      </w:r>
      <w:r>
        <w:rPr>
          <w:rFonts w:ascii="宋体" w:eastAsia="宋体" w:hAnsi="宋体" w:cs="宋体"/>
          <w:color w:val="000000"/>
          <w:sz w:val="22"/>
          <w:szCs w:val="22"/>
          <w:u w:val="single" w:color="000000"/>
        </w:rPr>
        <w:tab/>
      </w:r>
      <w:r>
        <w:rPr>
          <w:rFonts w:ascii="宋体" w:eastAsia="宋体" w:hAnsi="宋体" w:cs="宋体"/>
          <w:color w:val="231F20"/>
          <w:sz w:val="22"/>
          <w:szCs w:val="22"/>
        </w:rPr>
        <w:t>；</w:t>
      </w:r>
    </w:p>
    <w:p>
      <w:pPr>
        <w:widowControl w:val="0"/>
        <w:numPr>
          <w:ilvl w:val="0"/>
          <w:numId w:val="6"/>
        </w:numPr>
        <w:spacing w:before="26"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要求导游引导旅游者健康、文明旅游，劝阻旅游者违法和违反社会公德的行为。</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（三）双方共同义务</w:t>
      </w:r>
    </w:p>
    <w:p>
      <w:pPr>
        <w:widowControl w:val="0"/>
        <w:numPr>
          <w:ilvl w:val="0"/>
          <w:numId w:val="7"/>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双方约定的接待费用不应低于接待和服务成本；</w:t>
      </w:r>
    </w:p>
    <w:p>
      <w:pPr>
        <w:widowControl w:val="0"/>
        <w:numPr>
          <w:ilvl w:val="0"/>
          <w:numId w:val="7"/>
        </w:numPr>
        <w:tabs>
          <w:tab w:val="left" w:pos="867"/>
        </w:tabs>
        <w:spacing w:before="109" w:line="319" w:lineRule="auto"/>
        <w:ind w:left="117" w:right="2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15"/>
          <w:sz w:val="22"/>
          <w:szCs w:val="22"/>
        </w:rPr>
        <w:t>双方的约定应遵守《旅游法》、《消费者权益保护法》等法律、法规，不应损害旅游者的合法权益；</w:t>
      </w:r>
    </w:p>
    <w:p>
      <w:pPr>
        <w:widowControl w:val="0"/>
        <w:numPr>
          <w:ilvl w:val="0"/>
          <w:numId w:val="7"/>
        </w:numPr>
        <w:tabs>
          <w:tab w:val="left" w:pos="867"/>
        </w:tabs>
        <w:spacing w:before="25"/>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一方违约后，对方应采取适当措施防止损失的扩大；</w:t>
      </w:r>
    </w:p>
    <w:p>
      <w:pPr>
        <w:widowControl w:val="0"/>
        <w:numPr>
          <w:ilvl w:val="0"/>
          <w:numId w:val="7"/>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双方均应保守经营活动中获取的商业秘密；</w:t>
      </w:r>
    </w:p>
    <w:p>
      <w:pPr>
        <w:widowControl w:val="0"/>
        <w:numPr>
          <w:ilvl w:val="0"/>
          <w:numId w:val="7"/>
        </w:numPr>
        <w:tabs>
          <w:tab w:val="left" w:pos="867"/>
        </w:tabs>
        <w:spacing w:before="109" w:after="0" w:line="319" w:lineRule="auto"/>
        <w:ind w:left="117" w:right="21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旅游行程中旅游者主张解除合同的，旅行社应当协助旅游者返回出发地或者旅游者指定的合理地点。</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i/>
          <w:iCs/>
          <w:color w:val="231F20"/>
          <w:sz w:val="22"/>
          <w:szCs w:val="22"/>
        </w:rPr>
        <w:t>第八条</w:t>
      </w:r>
      <w:r>
        <w:rPr>
          <w:rFonts w:ascii="宋体" w:eastAsia="宋体" w:hAnsi="宋体" w:cs="宋体"/>
          <w:i/>
          <w:iCs/>
          <w:color w:val="231F20"/>
          <w:sz w:val="22"/>
          <w:szCs w:val="22"/>
        </w:rPr>
        <w:tab/>
      </w:r>
      <w:r>
        <w:rPr>
          <w:rFonts w:ascii="宋体" w:eastAsia="宋体" w:hAnsi="宋体" w:cs="宋体"/>
          <w:color w:val="231F20"/>
          <w:sz w:val="22"/>
          <w:szCs w:val="22"/>
        </w:rPr>
        <w:t>风险防范</w:t>
      </w:r>
    </w:p>
    <w:p>
      <w:pPr>
        <w:widowControl w:val="0"/>
        <w:numPr>
          <w:ilvl w:val="0"/>
          <w:numId w:val="8"/>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组团社和地接社均应按法律、法规规定足额投保旅行社责任保险；</w:t>
      </w:r>
    </w:p>
    <w:p>
      <w:pPr>
        <w:widowControl w:val="0"/>
        <w:numPr>
          <w:ilvl w:val="0"/>
          <w:numId w:val="8"/>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组团社应提示其组织的旅游者购买人身意外伤害保险；</w:t>
      </w:r>
    </w:p>
    <w:p>
      <w:pPr>
        <w:widowControl w:val="0"/>
        <w:numPr>
          <w:ilvl w:val="0"/>
          <w:numId w:val="8"/>
        </w:numPr>
        <w:tabs>
          <w:tab w:val="left" w:pos="867"/>
        </w:tabs>
        <w:spacing w:before="109" w:line="319" w:lineRule="auto"/>
        <w:ind w:left="117" w:right="21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地接社为组团社组织的旅游者安排的车辆及司机必须具备合法有效资质，地接社选择的客运经营者应已购买承运人责任保险，且保险金额不低于</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万元；</w:t>
      </w:r>
    </w:p>
    <w:p>
      <w:pPr>
        <w:widowControl w:val="0"/>
        <w:numPr>
          <w:ilvl w:val="0"/>
          <w:numId w:val="8"/>
        </w:numPr>
        <w:spacing w:before="26" w:after="0"/>
        <w:ind w:left="796"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组团社和地接社均应保证旅游者的安全，对于可能危及旅游者人身及财产安全的事项，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应做出真实的说明和明确的警示，并采取必要措施防止危害发生和扩大；</w:t>
      </w:r>
    </w:p>
    <w:p>
      <w:pPr>
        <w:widowControl w:val="0"/>
        <w:numPr>
          <w:ilvl w:val="0"/>
          <w:numId w:val="9"/>
        </w:numPr>
        <w:tabs>
          <w:tab w:val="left" w:pos="921"/>
        </w:tabs>
        <w:spacing w:before="109" w:after="0" w:line="319" w:lineRule="auto"/>
        <w:ind w:left="117" w:right="155" w:firstLine="494"/>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地接社接待过程中，旅游者受到人身、财产损害的，地接社应采取救助措施并先行垫付必要费用，及时向组团社反馈信息，收集和保存相关证据，组团社和地接社在责任划分明确后</w:t>
      </w:r>
    </w:p>
    <w:p>
      <w:pPr>
        <w:widowControl w:val="0"/>
        <w:tabs>
          <w:tab w:val="left" w:pos="1102"/>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日内根据各自承担的责任进行结算，属于第三方责任的，地接社应协助旅游者索赔。</w:t>
      </w:r>
    </w:p>
    <w:p>
      <w:pPr>
        <w:widowControl w:val="0"/>
        <w:tabs>
          <w:tab w:val="left" w:pos="1437"/>
        </w:tabs>
        <w:spacing w:before="102" w:after="0"/>
        <w:ind w:left="557"/>
        <w:rPr>
          <w:rFonts w:ascii="Times New Roman" w:eastAsia="Times New Roman" w:hAnsi="Times New Roman" w:cs="Times New Roman"/>
          <w:sz w:val="22"/>
          <w:szCs w:val="22"/>
        </w:rPr>
      </w:pPr>
      <w:r>
        <w:rPr>
          <w:rFonts w:ascii="宋体" w:eastAsia="宋体" w:hAnsi="宋体" w:cs="宋体"/>
          <w:i/>
          <w:iCs/>
          <w:color w:val="231F20"/>
          <w:sz w:val="22"/>
          <w:szCs w:val="22"/>
        </w:rPr>
        <w:t>第九条</w:t>
      </w:r>
      <w:r>
        <w:rPr>
          <w:rFonts w:ascii="宋体" w:eastAsia="宋体" w:hAnsi="宋体" w:cs="宋体"/>
          <w:i/>
          <w:iCs/>
          <w:color w:val="231F20"/>
          <w:sz w:val="22"/>
          <w:szCs w:val="22"/>
        </w:rPr>
        <w:tab/>
      </w:r>
      <w:r>
        <w:rPr>
          <w:rFonts w:ascii="宋体" w:eastAsia="宋体" w:hAnsi="宋体" w:cs="宋体"/>
          <w:color w:val="231F20"/>
          <w:sz w:val="22"/>
          <w:szCs w:val="22"/>
        </w:rPr>
        <w:t>旅游纠纷处理</w:t>
      </w:r>
    </w:p>
    <w:p>
      <w:pPr>
        <w:widowControl w:val="0"/>
        <w:numPr>
          <w:ilvl w:val="0"/>
          <w:numId w:val="10"/>
        </w:numPr>
        <w:tabs>
          <w:tab w:val="left" w:pos="867"/>
        </w:tabs>
        <w:spacing w:before="109" w:line="319" w:lineRule="auto"/>
        <w:ind w:left="117" w:right="15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在地接社接待过程中提出投诉的，地接社应尽力在当地及时解决，并将处理情况书面通知组团社，未能在当地解决的，应及时书面通知组团社。地接社应积极配合组团社处理旅游者投诉、仲裁、诉讼等服务质量纠纷，及时提供所需证据材料。</w:t>
      </w:r>
    </w:p>
    <w:p>
      <w:pPr>
        <w:widowControl w:val="0"/>
        <w:numPr>
          <w:ilvl w:val="0"/>
          <w:numId w:val="10"/>
        </w:numPr>
        <w:spacing w:before="26" w:after="0"/>
        <w:ind w:left="777"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3"/>
          <w:sz w:val="22"/>
          <w:szCs w:val="22"/>
        </w:rPr>
        <w:t>组团社和地接社应根据调查情况，划分各自应承担的赔偿责任，并于责任划分明确后</w:t>
      </w:r>
    </w:p>
    <w:p>
      <w:pPr>
        <w:widowControl w:val="0"/>
        <w:tabs>
          <w:tab w:val="left" w:pos="1048"/>
        </w:tabs>
        <w:spacing w:before="109" w:after="0" w:line="319" w:lineRule="auto"/>
        <w:ind w:left="117" w:right="155"/>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日内进行结算。因组团社原因导致行程延误、更改、取消等所造成的经济损失由组团社承担，因地接社接待服务质量问题造成的经济损失由地接社承担。</w:t>
      </w:r>
    </w:p>
    <w:p>
      <w:pPr>
        <w:widowControl w:val="0"/>
        <w:numPr>
          <w:ilvl w:val="0"/>
          <w:numId w:val="11"/>
        </w:numPr>
        <w:tabs>
          <w:tab w:val="left" w:pos="867"/>
        </w:tabs>
        <w:spacing w:before="25" w:after="0" w:line="319" w:lineRule="auto"/>
        <w:ind w:left="117" w:right="15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因地接社接待服务质量问题所产生的经济赔偿，组团社依照或者参照如下标准做出赔偿后，地接社应在组团社提出追索请求并提供相关证明后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日内对组团社予以全额赔偿：</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1）依照组团社和旅游者约定的赔偿标准；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2）参照国家旅游局制定的《旅行社服务质量赔偿标准》；</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3）依照法院、仲裁机构裁决所确定的数额标准。</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i/>
          <w:iCs/>
          <w:color w:val="231F20"/>
          <w:sz w:val="22"/>
          <w:szCs w:val="22"/>
        </w:rPr>
        <w:t>第十条</w:t>
      </w:r>
      <w:r>
        <w:rPr>
          <w:rFonts w:ascii="宋体" w:eastAsia="宋体" w:hAnsi="宋体" w:cs="宋体"/>
          <w:i/>
          <w:iCs/>
          <w:color w:val="231F20"/>
          <w:sz w:val="22"/>
          <w:szCs w:val="22"/>
        </w:rPr>
        <w:tab/>
      </w:r>
      <w:r>
        <w:rPr>
          <w:rFonts w:ascii="宋体" w:eastAsia="宋体" w:hAnsi="宋体" w:cs="宋体"/>
          <w:color w:val="231F20"/>
          <w:sz w:val="22"/>
          <w:szCs w:val="22"/>
        </w:rPr>
        <w:t>不可抗力</w:t>
      </w:r>
    </w:p>
    <w:p>
      <w:pPr>
        <w:widowControl w:val="0"/>
        <w:numPr>
          <w:ilvl w:val="0"/>
          <w:numId w:val="12"/>
        </w:numPr>
        <w:tabs>
          <w:tab w:val="left" w:pos="867"/>
        </w:tabs>
        <w:spacing w:before="109" w:line="319" w:lineRule="auto"/>
        <w:ind w:left="117" w:right="15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因不可抗力等不可归责于合同任何一方的事由致使一方不能履行合同的，应根据影响程</w:t>
      </w:r>
      <w:r>
        <w:rPr>
          <w:rFonts w:ascii="宋体" w:eastAsia="宋体" w:hAnsi="宋体" w:cs="宋体"/>
          <w:color w:val="231F20"/>
          <w:spacing w:val="1"/>
          <w:sz w:val="22"/>
          <w:szCs w:val="22"/>
        </w:rPr>
        <w:t>度，部分或者全部免除责任，但迟延履行后发生不可抗力等不可归责于合同任何一方的事由</w:t>
      </w:r>
      <w:r>
        <w:rPr>
          <w:rFonts w:ascii="宋体" w:eastAsia="宋体" w:hAnsi="宋体" w:cs="宋体"/>
          <w:color w:val="231F20"/>
          <w:sz w:val="22"/>
          <w:szCs w:val="22"/>
        </w:rPr>
        <w:t>的，不能免除责任。</w:t>
      </w:r>
    </w:p>
    <w:p>
      <w:pPr>
        <w:widowControl w:val="0"/>
        <w:numPr>
          <w:ilvl w:val="0"/>
          <w:numId w:val="12"/>
        </w:numPr>
        <w:tabs>
          <w:tab w:val="left" w:pos="867"/>
        </w:tabs>
        <w:spacing w:before="25" w:line="319" w:lineRule="auto"/>
        <w:ind w:left="117" w:right="15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一方因不可抗力等不可归责于合同任何一方的事由不能履行合同的，应当及时通知另一方，并在合理期限内提供证明。双方应采取合理适当措施防止损失扩大，因一方未履行相关义务造成对方损失的，应承担赔偿责任。</w:t>
      </w:r>
    </w:p>
    <w:p>
      <w:pPr>
        <w:widowControl w:val="0"/>
        <w:numPr>
          <w:ilvl w:val="0"/>
          <w:numId w:val="12"/>
        </w:numPr>
        <w:tabs>
          <w:tab w:val="left" w:pos="867"/>
        </w:tabs>
        <w:spacing w:before="25" w:line="319" w:lineRule="auto"/>
        <w:ind w:left="117" w:right="159"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5"/>
          <w:sz w:val="22"/>
          <w:szCs w:val="22"/>
        </w:rPr>
        <w:t>因不可抗力等不可归责于合同任何一方的事由导致行程延滞，组团社和地接社应及时与旅游者协商、调整行程，所增加的费用，同意旅游者不承担的部分由组团社和地接社协商承担。</w:t>
      </w:r>
    </w:p>
    <w:p>
      <w:pPr>
        <w:widowControl w:val="0"/>
        <w:numPr>
          <w:ilvl w:val="0"/>
          <w:numId w:val="12"/>
        </w:numPr>
        <w:tabs>
          <w:tab w:val="left" w:pos="867"/>
        </w:tabs>
        <w:spacing w:before="25" w:after="0" w:line="319" w:lineRule="auto"/>
        <w:ind w:left="117" w:right="15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因不可抗力等不可归责于合同任何一方的事由危及旅游者人身、财产安全，组团社和地接社应采取相应的安全救助措施，所支出的费用，同意旅游者不承担的部分由组团社和地接社协商承担。</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i/>
          <w:iCs/>
          <w:color w:val="231F20"/>
          <w:sz w:val="22"/>
          <w:szCs w:val="22"/>
        </w:rPr>
        <w:t>第十一条</w:t>
      </w:r>
      <w:r>
        <w:rPr>
          <w:rFonts w:ascii="宋体" w:eastAsia="宋体" w:hAnsi="宋体" w:cs="宋体"/>
          <w:i/>
          <w:iCs/>
          <w:color w:val="231F20"/>
          <w:sz w:val="22"/>
          <w:szCs w:val="22"/>
        </w:rPr>
        <w:tab/>
      </w:r>
      <w:r>
        <w:rPr>
          <w:rFonts w:ascii="宋体" w:eastAsia="宋体" w:hAnsi="宋体" w:cs="宋体"/>
          <w:color w:val="231F20"/>
          <w:sz w:val="22"/>
          <w:szCs w:val="22"/>
        </w:rPr>
        <w:t>违约责任</w:t>
      </w:r>
    </w:p>
    <w:p>
      <w:pPr>
        <w:widowControl w:val="0"/>
        <w:numPr>
          <w:ilvl w:val="0"/>
          <w:numId w:val="13"/>
        </w:numPr>
        <w:tabs>
          <w:tab w:val="left" w:pos="867"/>
          <w:tab w:val="left" w:pos="8729"/>
        </w:tabs>
        <w:spacing w:before="109" w:after="0" w:line="319" w:lineRule="auto"/>
        <w:ind w:left="117" w:right="100" w:firstLine="440"/>
        <w:jc w:val="both"/>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组团社未按合同约定按时足额支付接待费用，应以未支付团款为基数，按日</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 向</w:t>
      </w:r>
      <w:r>
        <w:rPr>
          <w:rFonts w:ascii="宋体" w:eastAsia="宋体" w:hAnsi="宋体" w:cs="宋体"/>
          <w:color w:val="231F20"/>
          <w:sz w:val="22"/>
          <w:szCs w:val="22"/>
        </w:rPr>
        <w:t xml:space="preserve"> </w:t>
      </w:r>
      <w:r>
        <w:rPr>
          <w:rFonts w:ascii="宋体" w:eastAsia="宋体" w:hAnsi="宋体" w:cs="宋体"/>
          <w:color w:val="231F20"/>
          <w:sz w:val="22"/>
          <w:szCs w:val="22"/>
        </w:rPr>
        <w:t>地接社支付违约金，违约金不足以弥补实际损失的，按实际损失赔偿。</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4"/>
        </w:numPr>
        <w:spacing w:before="24" w:after="0"/>
        <w:ind w:left="81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组团社因如下情形造成地接社经济损失的，应按实际损失向地接社承担违约责任：</w:t>
      </w:r>
    </w:p>
    <w:p>
      <w:pPr>
        <w:widowControl w:val="0"/>
        <w:spacing w:before="109" w:after="0"/>
        <w:ind w:left="487"/>
        <w:rPr>
          <w:rFonts w:ascii="Times New Roman" w:eastAsia="Times New Roman" w:hAnsi="Times New Roman" w:cs="Times New Roman"/>
          <w:sz w:val="22"/>
          <w:szCs w:val="22"/>
        </w:rPr>
      </w:pPr>
      <w:r>
        <w:rPr>
          <w:rFonts w:ascii="宋体" w:eastAsia="宋体" w:hAnsi="宋体" w:cs="宋体"/>
          <w:color w:val="231F20"/>
          <w:sz w:val="22"/>
          <w:szCs w:val="22"/>
        </w:rPr>
        <w:t>（ 1）接待要求、标准等信息说明不明确或者错误；</w:t>
      </w:r>
    </w:p>
    <w:p>
      <w:pPr>
        <w:widowControl w:val="0"/>
        <w:spacing w:before="109" w:after="0"/>
        <w:ind w:left="487"/>
        <w:rPr>
          <w:rFonts w:ascii="Times New Roman" w:eastAsia="Times New Roman" w:hAnsi="Times New Roman" w:cs="Times New Roman"/>
          <w:sz w:val="22"/>
          <w:szCs w:val="22"/>
        </w:rPr>
      </w:pPr>
      <w:r>
        <w:rPr>
          <w:rFonts w:ascii="宋体" w:eastAsia="宋体" w:hAnsi="宋体" w:cs="宋体"/>
          <w:color w:val="231F20"/>
          <w:sz w:val="22"/>
          <w:szCs w:val="22"/>
        </w:rPr>
        <w:t>（ 2）未对地接社完成接待服务予以必要协助。</w:t>
      </w:r>
    </w:p>
    <w:p>
      <w:pPr>
        <w:widowControl w:val="0"/>
        <w:numPr>
          <w:ilvl w:val="0"/>
          <w:numId w:val="15"/>
        </w:numPr>
        <w:tabs>
          <w:tab w:val="left" w:pos="907"/>
        </w:tabs>
        <w:spacing w:before="109" w:line="319" w:lineRule="auto"/>
        <w:ind w:left="157" w:right="211"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地接社未经组团社书面同意，将组团社组织的旅游者与其他旅游者合并接待，或者转交任何第三方接待，地接社应向组团社支付当团接待费用</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       </w:t>
      </w:r>
      <w:r>
        <w:rPr>
          <w:rFonts w:ascii="宋体" w:eastAsia="宋体" w:hAnsi="宋体" w:cs="宋体"/>
          <w:color w:val="231F20"/>
          <w:sz w:val="22"/>
          <w:szCs w:val="22"/>
        </w:rPr>
        <w:t>%</w:t>
      </w:r>
      <w:r>
        <w:rPr>
          <w:rFonts w:ascii="宋体" w:eastAsia="宋体" w:hAnsi="宋体" w:cs="宋体"/>
          <w:color w:val="231F20"/>
          <w:spacing w:val="32"/>
          <w:sz w:val="22"/>
          <w:szCs w:val="22"/>
        </w:rPr>
        <w:t xml:space="preserve"> </w:t>
      </w:r>
      <w:r>
        <w:rPr>
          <w:rFonts w:ascii="宋体" w:eastAsia="宋体" w:hAnsi="宋体" w:cs="宋体"/>
          <w:color w:val="231F20"/>
          <w:sz w:val="22"/>
          <w:szCs w:val="22"/>
        </w:rPr>
        <w:t>的违约金，违约金不足以弥补实际损失的，按实际损失赔偿。</w:t>
      </w:r>
    </w:p>
    <w:p>
      <w:pPr>
        <w:widowControl w:val="0"/>
        <w:numPr>
          <w:ilvl w:val="0"/>
          <w:numId w:val="15"/>
        </w:numPr>
        <w:tabs>
          <w:tab w:val="left" w:pos="907"/>
        </w:tabs>
        <w:spacing w:before="25" w:line="319" w:lineRule="auto"/>
        <w:ind w:left="157" w:right="210"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地接社未按合同约定选择合格且具有相应接待能力的供应商，地接社应向组团社支付当团接待费用</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 的违约金，违约金不足以弥补实际损失的，按实际损失赔偿。</w:t>
      </w:r>
    </w:p>
    <w:p>
      <w:pPr>
        <w:widowControl w:val="0"/>
        <w:numPr>
          <w:ilvl w:val="0"/>
          <w:numId w:val="15"/>
        </w:numPr>
        <w:tabs>
          <w:tab w:val="left" w:pos="907"/>
        </w:tabs>
        <w:spacing w:before="25" w:line="319" w:lineRule="auto"/>
        <w:ind w:left="157" w:right="2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因地接社违法违规行为导致组团社受到行政处罚的，地接社应向组团社支付当团接待费用</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         </w:t>
      </w:r>
      <w:r>
        <w:rPr>
          <w:rFonts w:ascii="宋体" w:eastAsia="宋体" w:hAnsi="宋体" w:cs="宋体"/>
          <w:color w:val="231F20"/>
          <w:sz w:val="22"/>
          <w:szCs w:val="22"/>
        </w:rPr>
        <w:t>% 的违约金，违约金不足以弥补实际损失的，按实际损失赔偿。</w:t>
      </w:r>
    </w:p>
    <w:p>
      <w:pPr>
        <w:widowControl w:val="0"/>
        <w:numPr>
          <w:ilvl w:val="0"/>
          <w:numId w:val="15"/>
        </w:numPr>
        <w:tabs>
          <w:tab w:val="left" w:pos="907"/>
        </w:tabs>
        <w:spacing w:before="25" w:line="319" w:lineRule="auto"/>
        <w:ind w:left="15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地接社未能在当地解决旅游者提出的投诉，又未及时书面通知组团社的，地接社应就造成的损失承担赔偿责任。</w:t>
      </w:r>
    </w:p>
    <w:p>
      <w:pPr>
        <w:widowControl w:val="0"/>
        <w:numPr>
          <w:ilvl w:val="0"/>
          <w:numId w:val="15"/>
        </w:numPr>
        <w:tabs>
          <w:tab w:val="left" w:pos="907"/>
        </w:tabs>
        <w:spacing w:before="25" w:line="319" w:lineRule="auto"/>
        <w:ind w:left="157" w:right="2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组团社和地接社双方或者任何一方未积极采取补救措施防止损失扩大，在各自责任范围内就扩大的损失承担赔偿责任。</w:t>
      </w:r>
    </w:p>
    <w:p>
      <w:pPr>
        <w:widowControl w:val="0"/>
        <w:numPr>
          <w:ilvl w:val="0"/>
          <w:numId w:val="15"/>
        </w:numPr>
        <w:tabs>
          <w:tab w:val="left" w:pos="907"/>
        </w:tabs>
        <w:spacing w:before="25" w:after="0" w:line="319" w:lineRule="auto"/>
        <w:ind w:left="157" w:right="2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组团社和地接社任何一方泄露在经营活动中获取的商业秘密，违约一方应向另一方支付当团接待费用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的违约金，违约金不足以弥补实际损失的，按实际损失赔偿。</w:t>
      </w:r>
    </w:p>
    <w:p>
      <w:pPr>
        <w:widowControl w:val="0"/>
        <w:tabs>
          <w:tab w:val="left" w:pos="1697"/>
        </w:tabs>
        <w:spacing w:before="19" w:after="0"/>
        <w:ind w:left="597"/>
        <w:rPr>
          <w:rFonts w:ascii="Times New Roman" w:eastAsia="Times New Roman" w:hAnsi="Times New Roman" w:cs="Times New Roman"/>
          <w:sz w:val="22"/>
          <w:szCs w:val="22"/>
        </w:rPr>
      </w:pPr>
      <w:r>
        <w:rPr>
          <w:rFonts w:ascii="宋体" w:eastAsia="宋体" w:hAnsi="宋体" w:cs="宋体"/>
          <w:i/>
          <w:iCs/>
          <w:color w:val="231F20"/>
          <w:sz w:val="22"/>
          <w:szCs w:val="22"/>
        </w:rPr>
        <w:t>第十二条</w:t>
      </w:r>
      <w:r>
        <w:rPr>
          <w:rFonts w:ascii="宋体" w:eastAsia="宋体" w:hAnsi="宋体" w:cs="宋体"/>
          <w:i/>
          <w:iCs/>
          <w:color w:val="231F20"/>
          <w:sz w:val="22"/>
          <w:szCs w:val="22"/>
        </w:rPr>
        <w:tab/>
      </w:r>
      <w:r>
        <w:rPr>
          <w:rFonts w:ascii="宋体" w:eastAsia="宋体" w:hAnsi="宋体" w:cs="宋体"/>
          <w:color w:val="231F20"/>
          <w:sz w:val="22"/>
          <w:szCs w:val="22"/>
        </w:rPr>
        <w:t>合同解除</w:t>
      </w:r>
    </w:p>
    <w:p>
      <w:pPr>
        <w:widowControl w:val="0"/>
        <w:numPr>
          <w:ilvl w:val="0"/>
          <w:numId w:val="16"/>
        </w:numPr>
        <w:tabs>
          <w:tab w:val="left" w:pos="907"/>
          <w:tab w:val="left" w:pos="3508"/>
        </w:tabs>
        <w:spacing w:before="109" w:line="319" w:lineRule="auto"/>
        <w:ind w:left="15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组团社超出约定付款期限</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日以上未支付接待费用的，地接社有权解除合同，并要求组团社承担相应的赔偿责任。</w:t>
      </w:r>
    </w:p>
    <w:p>
      <w:pPr>
        <w:widowControl w:val="0"/>
        <w:numPr>
          <w:ilvl w:val="0"/>
          <w:numId w:val="16"/>
        </w:numPr>
        <w:tabs>
          <w:tab w:val="left" w:pos="907"/>
          <w:tab w:val="left" w:pos="8622"/>
        </w:tabs>
        <w:spacing w:before="25" w:line="319" w:lineRule="auto"/>
        <w:ind w:left="15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地接社接待服务质量未达到本合同第七条</w:t>
      </w:r>
      <w:r>
        <w:rPr>
          <w:rFonts w:ascii="宋体" w:eastAsia="宋体" w:hAnsi="宋体" w:cs="宋体"/>
          <w:color w:val="231F20"/>
          <w:spacing w:val="-55"/>
          <w:sz w:val="22"/>
          <w:szCs w:val="22"/>
        </w:rPr>
        <w:t>第</w:t>
      </w:r>
      <w:r>
        <w:rPr>
          <w:rFonts w:ascii="宋体" w:eastAsia="宋体" w:hAnsi="宋体" w:cs="宋体"/>
          <w:color w:val="231F20"/>
          <w:spacing w:val="0"/>
          <w:sz w:val="22"/>
          <w:szCs w:val="22"/>
        </w:rPr>
        <w:t>（二</w:t>
      </w:r>
      <w:r>
        <w:rPr>
          <w:rFonts w:ascii="宋体" w:eastAsia="宋体" w:hAnsi="宋体" w:cs="宋体"/>
          <w:color w:val="231F20"/>
          <w:spacing w:val="-55"/>
          <w:sz w:val="22"/>
          <w:szCs w:val="22"/>
        </w:rPr>
        <w:t>）</w:t>
      </w:r>
      <w:r>
        <w:rPr>
          <w:rFonts w:ascii="宋体" w:eastAsia="宋体" w:hAnsi="宋体" w:cs="宋体"/>
          <w:color w:val="231F20"/>
          <w:spacing w:val="0"/>
          <w:sz w:val="22"/>
          <w:szCs w:val="22"/>
        </w:rPr>
        <w:t>款第</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4</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项约定的达标标准</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55"/>
          <w:sz w:val="22"/>
          <w:szCs w:val="22"/>
        </w:rPr>
        <w:t>次</w:t>
      </w:r>
      <w:r>
        <w:rPr>
          <w:rFonts w:ascii="宋体" w:eastAsia="宋体" w:hAnsi="宋体" w:cs="宋体"/>
          <w:color w:val="231F20"/>
          <w:spacing w:val="0"/>
          <w:sz w:val="22"/>
          <w:szCs w:val="22"/>
        </w:rPr>
        <w:t>（含本数）以上的，组团社有权解除合同，并要求地接社承担相应的赔偿责任。</w:t>
      </w:r>
    </w:p>
    <w:p>
      <w:pPr>
        <w:widowControl w:val="0"/>
        <w:numPr>
          <w:ilvl w:val="0"/>
          <w:numId w:val="16"/>
        </w:numPr>
        <w:tabs>
          <w:tab w:val="left" w:pos="907"/>
          <w:tab w:val="left" w:pos="6808"/>
        </w:tabs>
        <w:spacing w:before="25" w:line="319" w:lineRule="auto"/>
        <w:ind w:left="15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因地接社原因引发旅游者有责投诉、仲裁或者民事诉讼</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次（含本数）以上，组团社有权解除合同，并要求地接社承担相应的赔偿责任。</w:t>
      </w:r>
    </w:p>
    <w:p>
      <w:pPr>
        <w:widowControl w:val="0"/>
        <w:numPr>
          <w:ilvl w:val="0"/>
          <w:numId w:val="16"/>
        </w:numPr>
        <w:tabs>
          <w:tab w:val="left" w:pos="907"/>
        </w:tabs>
        <w:spacing w:before="25" w:line="319" w:lineRule="auto"/>
        <w:ind w:left="157" w:right="189"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26"/>
          <w:sz w:val="22"/>
          <w:szCs w:val="22"/>
        </w:rPr>
        <w:t>因地接社违约给组团社或者旅游者造成经济损</w:t>
      </w:r>
      <w:r>
        <w:rPr>
          <w:rFonts w:ascii="宋体" w:eastAsia="宋体" w:hAnsi="宋体" w:cs="宋体"/>
          <w:color w:val="231F20"/>
          <w:spacing w:val="0"/>
          <w:sz w:val="22"/>
          <w:szCs w:val="22"/>
        </w:rPr>
        <w:t>失</w:t>
      </w:r>
      <w:r>
        <w:rPr>
          <w:rFonts w:ascii="宋体" w:eastAsia="宋体" w:hAnsi="宋体" w:cs="宋体"/>
          <w:color w:val="231F20"/>
          <w:spacing w:val="26"/>
          <w:sz w:val="22"/>
          <w:szCs w:val="22"/>
        </w:rPr>
        <w:t>，地接社拒不改正或者拒绝赔</w:t>
      </w:r>
      <w:r>
        <w:rPr>
          <w:rFonts w:ascii="宋体" w:eastAsia="宋体" w:hAnsi="宋体" w:cs="宋体"/>
          <w:color w:val="231F20"/>
          <w:spacing w:val="0"/>
          <w:sz w:val="22"/>
          <w:szCs w:val="22"/>
        </w:rPr>
        <w:t>偿</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次（含本数）以上，组团社有权解除合同，并要求地接社承担相应的赔偿责任。</w:t>
      </w:r>
    </w:p>
    <w:p>
      <w:pPr>
        <w:widowControl w:val="0"/>
        <w:numPr>
          <w:ilvl w:val="0"/>
          <w:numId w:val="16"/>
        </w:numPr>
        <w:tabs>
          <w:tab w:val="left" w:pos="907"/>
          <w:tab w:val="left" w:pos="9118"/>
        </w:tabs>
        <w:spacing w:before="25" w:after="0"/>
        <w:ind w:left="15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双方约定合同解除的其他情形</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tabs>
          <w:tab w:val="left" w:pos="1697"/>
        </w:tabs>
        <w:spacing w:before="103" w:after="0"/>
        <w:ind w:left="597"/>
        <w:rPr>
          <w:rFonts w:ascii="Times New Roman" w:eastAsia="Times New Roman" w:hAnsi="Times New Roman" w:cs="Times New Roman"/>
          <w:sz w:val="22"/>
          <w:szCs w:val="22"/>
        </w:rPr>
      </w:pPr>
      <w:r>
        <w:rPr>
          <w:rFonts w:ascii="宋体" w:eastAsia="宋体" w:hAnsi="宋体" w:cs="宋体"/>
          <w:i/>
          <w:iCs/>
          <w:color w:val="231F20"/>
          <w:sz w:val="22"/>
          <w:szCs w:val="22"/>
        </w:rPr>
        <w:t>第十三条</w:t>
      </w:r>
      <w:r>
        <w:rPr>
          <w:rFonts w:ascii="宋体" w:eastAsia="宋体" w:hAnsi="宋体" w:cs="宋体"/>
          <w:i/>
          <w:iCs/>
          <w:color w:val="231F20"/>
          <w:sz w:val="22"/>
          <w:szCs w:val="22"/>
        </w:rPr>
        <w:tab/>
      </w:r>
      <w:r>
        <w:rPr>
          <w:rFonts w:ascii="宋体" w:eastAsia="宋体" w:hAnsi="宋体" w:cs="宋体"/>
          <w:color w:val="231F20"/>
          <w:sz w:val="22"/>
          <w:szCs w:val="22"/>
        </w:rPr>
        <w:t>争议解决</w:t>
      </w:r>
    </w:p>
    <w:p>
      <w:pPr>
        <w:widowControl w:val="0"/>
        <w:spacing w:before="109" w:after="0" w:line="319" w:lineRule="auto"/>
        <w:ind w:left="157" w:right="215" w:firstLine="440"/>
        <w:rPr>
          <w:rFonts w:ascii="Times New Roman" w:eastAsia="Times New Roman" w:hAnsi="Times New Roman" w:cs="Times New Roman"/>
          <w:sz w:val="22"/>
          <w:szCs w:val="22"/>
        </w:rPr>
      </w:pPr>
      <w:r>
        <w:rPr>
          <w:rFonts w:ascii="宋体" w:eastAsia="宋体" w:hAnsi="宋体" w:cs="宋体"/>
          <w:color w:val="231F20"/>
          <w:spacing w:val="30"/>
          <w:sz w:val="22"/>
          <w:szCs w:val="22"/>
        </w:rPr>
        <w:t>组团社和地接社因单团接待业务引发的争</w:t>
      </w:r>
      <w:r>
        <w:rPr>
          <w:rFonts w:ascii="宋体" w:eastAsia="宋体" w:hAnsi="宋体" w:cs="宋体"/>
          <w:color w:val="231F20"/>
          <w:sz w:val="22"/>
          <w:szCs w:val="22"/>
        </w:rPr>
        <w:t>议，</w:t>
      </w:r>
      <w:r>
        <w:rPr>
          <w:rFonts w:ascii="宋体" w:eastAsia="宋体" w:hAnsi="宋体" w:cs="宋体"/>
          <w:color w:val="231F20"/>
          <w:spacing w:val="-25"/>
          <w:sz w:val="22"/>
          <w:szCs w:val="22"/>
        </w:rPr>
        <w:t xml:space="preserve"> </w:t>
      </w:r>
      <w:r>
        <w:rPr>
          <w:rFonts w:ascii="宋体" w:eastAsia="宋体" w:hAnsi="宋体" w:cs="宋体"/>
          <w:color w:val="231F20"/>
          <w:spacing w:val="30"/>
          <w:sz w:val="22"/>
          <w:szCs w:val="22"/>
        </w:rPr>
        <w:t>可协商解</w:t>
      </w:r>
      <w:r>
        <w:rPr>
          <w:rFonts w:ascii="宋体" w:eastAsia="宋体" w:hAnsi="宋体" w:cs="宋体"/>
          <w:color w:val="231F20"/>
          <w:sz w:val="22"/>
          <w:szCs w:val="22"/>
        </w:rPr>
        <w:t>决，</w:t>
      </w:r>
      <w:r>
        <w:rPr>
          <w:rFonts w:ascii="宋体" w:eastAsia="宋体" w:hAnsi="宋体" w:cs="宋体"/>
          <w:color w:val="231F20"/>
          <w:spacing w:val="-25"/>
          <w:sz w:val="22"/>
          <w:szCs w:val="22"/>
        </w:rPr>
        <w:t xml:space="preserve"> </w:t>
      </w:r>
      <w:r>
        <w:rPr>
          <w:rFonts w:ascii="宋体" w:eastAsia="宋体" w:hAnsi="宋体" w:cs="宋体"/>
          <w:color w:val="231F20"/>
          <w:spacing w:val="30"/>
          <w:sz w:val="22"/>
          <w:szCs w:val="22"/>
        </w:rPr>
        <w:t>协商不成</w:t>
      </w:r>
      <w:r>
        <w:rPr>
          <w:rFonts w:ascii="宋体" w:eastAsia="宋体" w:hAnsi="宋体" w:cs="宋体"/>
          <w:color w:val="231F20"/>
          <w:sz w:val="22"/>
          <w:szCs w:val="22"/>
        </w:rPr>
        <w:t>的，</w:t>
      </w:r>
      <w:r>
        <w:rPr>
          <w:rFonts w:ascii="宋体" w:eastAsia="宋体" w:hAnsi="宋体" w:cs="宋体"/>
          <w:color w:val="231F20"/>
          <w:spacing w:val="-25"/>
          <w:sz w:val="22"/>
          <w:szCs w:val="22"/>
        </w:rPr>
        <w:t xml:space="preserve"> </w:t>
      </w:r>
      <w:r>
        <w:rPr>
          <w:rFonts w:ascii="宋体" w:eastAsia="宋体" w:hAnsi="宋体" w:cs="宋体"/>
          <w:color w:val="231F20"/>
          <w:spacing w:val="30"/>
          <w:sz w:val="22"/>
          <w:szCs w:val="22"/>
        </w:rPr>
        <w:t>按下</w:t>
      </w:r>
      <w:r>
        <w:rPr>
          <w:rFonts w:ascii="宋体" w:eastAsia="宋体" w:hAnsi="宋体" w:cs="宋体"/>
          <w:color w:val="231F20"/>
          <w:sz w:val="22"/>
          <w:szCs w:val="22"/>
        </w:rPr>
        <w:t>列第</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种方式解决（选择一种</w:t>
      </w:r>
      <w:r>
        <w:rPr>
          <w:rFonts w:ascii="宋体" w:eastAsia="宋体" w:hAnsi="宋体" w:cs="宋体"/>
          <w:color w:val="231F20"/>
          <w:spacing w:val="-28"/>
          <w:sz w:val="22"/>
          <w:szCs w:val="22"/>
        </w:rPr>
        <w:t>）：</w:t>
      </w:r>
    </w:p>
    <w:p>
      <w:pPr>
        <w:widowControl w:val="0"/>
        <w:numPr>
          <w:ilvl w:val="0"/>
          <w:numId w:val="17"/>
        </w:numPr>
        <w:tabs>
          <w:tab w:val="left" w:pos="9168"/>
        </w:tabs>
        <w:spacing w:before="25" w:after="0"/>
        <w:ind w:left="815" w:right="0" w:hanging="310"/>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231F20"/>
          <w:spacing w:val="-1"/>
          <w:sz w:val="22"/>
          <w:szCs w:val="22"/>
        </w:rPr>
        <w:t>提</w:t>
      </w:r>
      <w:r>
        <w:rPr>
          <w:rFonts w:ascii="宋体" w:eastAsia="宋体" w:hAnsi="宋体" w:cs="宋体"/>
          <w:color w:val="231F20"/>
          <w:spacing w:val="0"/>
          <w:sz w:val="22"/>
          <w:szCs w:val="22"/>
        </w:rPr>
        <w:t>交仲裁，双方约定仲裁委员会为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p>
    <w:p>
      <w:pPr>
        <w:widowControl w:val="0"/>
        <w:spacing w:before="109" w:after="0"/>
        <w:ind w:left="101"/>
        <w:rPr>
          <w:rFonts w:ascii="Times New Roman" w:eastAsia="Times New Roman" w:hAnsi="Times New Roman" w:cs="Times New Roman"/>
          <w:sz w:val="22"/>
          <w:szCs w:val="22"/>
        </w:rPr>
      </w:pPr>
      <w:r>
        <w:rPr>
          <w:rFonts w:ascii="宋体" w:eastAsia="宋体" w:hAnsi="宋体" w:cs="宋体"/>
          <w:color w:val="231F20"/>
          <w:sz w:val="22"/>
          <w:szCs w:val="22"/>
        </w:rPr>
        <w:t>（标明仲裁委员会所属地区和名称）；</w:t>
      </w:r>
    </w:p>
    <w:p>
      <w:pPr>
        <w:widowControl w:val="0"/>
        <w:spacing w:before="0" w:after="0" w:line="20" w:lineRule="atLeast"/>
        <w:ind w:left="157"/>
        <w:rPr>
          <w:rFonts w:ascii="Times New Roman" w:eastAsia="Times New Roman" w:hAnsi="Times New Roman" w:cs="Times New Roman"/>
        </w:rPr>
      </w:pPr>
      <w:r>
        <w:rPr>
          <w:rFonts w:ascii="Times New Roman" w:eastAsia="Times New Roman" w:hAnsi="Times New Roman" w:cs="Times New Roman"/>
          <w:strike w:val="0"/>
          <w:u w:val="none"/>
        </w:rPr>
        <w:drawing>
          <wp:inline>
            <wp:extent cx="57150" cy="190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150" cy="19050"/>
                    </a:xfrm>
                    <a:prstGeom prst="rect">
                      <a:avLst/>
                    </a:prstGeom>
                  </pic:spPr>
                </pic:pic>
              </a:graphicData>
            </a:graphic>
          </wp:inline>
        </w:drawing>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8"/>
        </w:numPr>
        <w:tabs>
          <w:tab w:val="left" w:pos="9340"/>
        </w:tabs>
        <w:spacing w:before="24" w:after="0"/>
        <w:ind w:left="875" w:right="0" w:hanging="310"/>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231F20"/>
          <w:spacing w:val="-1"/>
          <w:sz w:val="22"/>
          <w:szCs w:val="22"/>
        </w:rPr>
        <w:t>提</w:t>
      </w:r>
      <w:r>
        <w:rPr>
          <w:rFonts w:ascii="宋体" w:eastAsia="宋体" w:hAnsi="宋体" w:cs="宋体"/>
          <w:color w:val="231F20"/>
          <w:spacing w:val="0"/>
          <w:sz w:val="22"/>
          <w:szCs w:val="22"/>
        </w:rPr>
        <w:t>起民事诉讼，双方约定诉讼管辖地为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（限于被告住所地、合同履行地、合同签订地、原告住所地、标的物所在地</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1757"/>
        </w:tabs>
        <w:spacing w:before="103" w:after="0"/>
        <w:ind w:left="657"/>
        <w:rPr>
          <w:rFonts w:ascii="Times New Roman" w:eastAsia="Times New Roman" w:hAnsi="Times New Roman" w:cs="Times New Roman"/>
          <w:sz w:val="22"/>
          <w:szCs w:val="22"/>
        </w:rPr>
      </w:pPr>
      <w:r>
        <w:rPr>
          <w:rFonts w:ascii="宋体" w:eastAsia="宋体" w:hAnsi="宋体" w:cs="宋体"/>
          <w:i/>
          <w:iCs/>
          <w:color w:val="231F20"/>
          <w:sz w:val="22"/>
          <w:szCs w:val="22"/>
        </w:rPr>
        <w:t>第十四条</w:t>
      </w:r>
      <w:r>
        <w:rPr>
          <w:rFonts w:ascii="宋体" w:eastAsia="宋体" w:hAnsi="宋体" w:cs="宋体"/>
          <w:i/>
          <w:iCs/>
          <w:color w:val="231F20"/>
          <w:sz w:val="22"/>
          <w:szCs w:val="22"/>
        </w:rPr>
        <w:tab/>
      </w:r>
      <w:r>
        <w:rPr>
          <w:rFonts w:ascii="宋体" w:eastAsia="宋体" w:hAnsi="宋体" w:cs="宋体"/>
          <w:color w:val="231F20"/>
          <w:sz w:val="22"/>
          <w:szCs w:val="22"/>
        </w:rPr>
        <w:t>合同效力与期限</w:t>
      </w:r>
    </w:p>
    <w:p>
      <w:pPr>
        <w:widowControl w:val="0"/>
        <w:numPr>
          <w:ilvl w:val="0"/>
          <w:numId w:val="19"/>
        </w:numPr>
        <w:tabs>
          <w:tab w:val="left" w:pos="967"/>
          <w:tab w:val="left" w:pos="2685"/>
          <w:tab w:val="left" w:pos="4716"/>
        </w:tabs>
        <w:spacing w:before="109"/>
        <w:ind w:left="2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本合同一式</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份，双方各持</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份，具有同等法律效力。</w:t>
      </w:r>
    </w:p>
    <w:p>
      <w:pPr>
        <w:widowControl w:val="0"/>
        <w:numPr>
          <w:ilvl w:val="0"/>
          <w:numId w:val="19"/>
        </w:numPr>
        <w:tabs>
          <w:tab w:val="left" w:pos="967"/>
          <w:tab w:val="left" w:pos="6598"/>
        </w:tabs>
        <w:spacing w:before="109" w:line="319" w:lineRule="auto"/>
        <w:ind w:left="217" w:right="149"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2"/>
          <w:sz w:val="22"/>
          <w:szCs w:val="22"/>
        </w:rPr>
        <w:t>本合同自双方签字盖章之日起生</w:t>
      </w:r>
      <w:r>
        <w:rPr>
          <w:rFonts w:ascii="宋体" w:eastAsia="宋体" w:hAnsi="宋体" w:cs="宋体"/>
          <w:color w:val="231F20"/>
          <w:spacing w:val="0"/>
          <w:sz w:val="22"/>
          <w:szCs w:val="22"/>
        </w:rPr>
        <w:t>效</w:t>
      </w:r>
      <w:r>
        <w:rPr>
          <w:rFonts w:ascii="宋体" w:eastAsia="宋体" w:hAnsi="宋体" w:cs="宋体"/>
          <w:color w:val="231F20"/>
          <w:spacing w:val="2"/>
          <w:sz w:val="22"/>
          <w:szCs w:val="22"/>
        </w:rPr>
        <w:t>，有效期</w:t>
      </w:r>
      <w:r>
        <w:rPr>
          <w:rFonts w:ascii="宋体" w:eastAsia="宋体" w:hAnsi="宋体" w:cs="宋体"/>
          <w:color w:val="231F20"/>
          <w:spacing w:val="0"/>
          <w:sz w:val="22"/>
          <w:szCs w:val="22"/>
        </w:rPr>
        <w:t>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2"/>
          <w:sz w:val="22"/>
          <w:szCs w:val="22"/>
        </w:rPr>
        <w:t xml:space="preserve">。一方可于合同有效期届满 </w:t>
      </w:r>
      <w:r>
        <w:rPr>
          <w:rFonts w:ascii="宋体" w:eastAsia="宋体" w:hAnsi="宋体" w:cs="宋体"/>
          <w:color w:val="231F20"/>
          <w:spacing w:val="0"/>
          <w:sz w:val="22"/>
          <w:szCs w:val="22"/>
        </w:rPr>
        <w:t>前</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日向另一方书面提出续签合同。</w:t>
      </w:r>
    </w:p>
    <w:p>
      <w:pPr>
        <w:widowControl w:val="0"/>
        <w:numPr>
          <w:ilvl w:val="0"/>
          <w:numId w:val="19"/>
        </w:numPr>
        <w:spacing w:before="26"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本合同终止或者解除时，双方在合同有效期内已确认的接待计划应当继续履行。</w:t>
      </w:r>
    </w:p>
    <w:p>
      <w:pPr>
        <w:widowControl w:val="0"/>
        <w:spacing w:before="0" w:after="0"/>
        <w:rPr>
          <w:rFonts w:ascii="Times New Roman" w:eastAsia="Times New Roman" w:hAnsi="Times New Roman" w:cs="Times New Roman"/>
        </w:rPr>
      </w:pPr>
    </w:p>
    <w:p>
      <w:pPr>
        <w:widowControl w:val="0"/>
        <w:tabs>
          <w:tab w:val="left" w:pos="4537"/>
        </w:tabs>
        <w:spacing w:before="188" w:after="0"/>
        <w:ind w:left="657"/>
        <w:rPr>
          <w:rFonts w:ascii="Times New Roman" w:eastAsia="Times New Roman" w:hAnsi="Times New Roman" w:cs="Times New Roman"/>
          <w:sz w:val="22"/>
          <w:szCs w:val="22"/>
        </w:rPr>
      </w:pPr>
      <w:r>
        <w:rPr>
          <w:rFonts w:ascii="宋体" w:eastAsia="宋体" w:hAnsi="宋体" w:cs="宋体"/>
          <w:color w:val="231F20"/>
          <w:sz w:val="22"/>
          <w:szCs w:val="22"/>
        </w:rPr>
        <w:t>组团社签章：</w:t>
      </w:r>
      <w:r>
        <w:rPr>
          <w:rFonts w:ascii="宋体" w:eastAsia="宋体" w:hAnsi="宋体" w:cs="宋体"/>
          <w:color w:val="231F20"/>
          <w:sz w:val="22"/>
          <w:szCs w:val="22"/>
        </w:rPr>
        <w:tab/>
      </w:r>
      <w:r>
        <w:rPr>
          <w:rFonts w:ascii="宋体" w:eastAsia="宋体" w:hAnsi="宋体" w:cs="宋体"/>
          <w:color w:val="231F20"/>
          <w:sz w:val="22"/>
          <w:szCs w:val="22"/>
        </w:rPr>
        <w:t>地接社签章：</w:t>
      </w:r>
    </w:p>
    <w:p>
      <w:pPr>
        <w:widowControl w:val="0"/>
        <w:tabs>
          <w:tab w:val="left" w:pos="4537"/>
        </w:tabs>
        <w:spacing w:before="108" w:after="0"/>
        <w:ind w:left="657"/>
        <w:rPr>
          <w:rFonts w:ascii="Times New Roman" w:eastAsia="Times New Roman" w:hAnsi="Times New Roman" w:cs="Times New Roman"/>
          <w:sz w:val="22"/>
          <w:szCs w:val="22"/>
        </w:rPr>
      </w:pPr>
      <w:r>
        <w:rPr>
          <w:rFonts w:ascii="宋体" w:eastAsia="宋体" w:hAnsi="宋体" w:cs="宋体"/>
          <w:color w:val="231F20"/>
          <w:sz w:val="22"/>
          <w:szCs w:val="22"/>
        </w:rPr>
        <w:t>签约时间：</w:t>
      </w:r>
      <w:r>
        <w:rPr>
          <w:rFonts w:ascii="宋体" w:eastAsia="宋体" w:hAnsi="宋体" w:cs="宋体"/>
          <w:color w:val="231F20"/>
          <w:sz w:val="22"/>
          <w:szCs w:val="22"/>
        </w:rPr>
        <w:tab/>
      </w:r>
      <w:r>
        <w:rPr>
          <w:rFonts w:ascii="宋体" w:eastAsia="宋体" w:hAnsi="宋体" w:cs="宋体"/>
          <w:color w:val="231F20"/>
          <w:sz w:val="22"/>
          <w:szCs w:val="22"/>
        </w:rPr>
        <w:t>签约时间：</w:t>
      </w:r>
    </w:p>
    <w:p>
      <w:pPr>
        <w:widowControl w:val="0"/>
        <w:tabs>
          <w:tab w:val="left" w:pos="4537"/>
        </w:tabs>
        <w:spacing w:before="108" w:after="0"/>
        <w:ind w:left="657"/>
        <w:rPr>
          <w:rFonts w:ascii="Times New Roman" w:eastAsia="Times New Roman" w:hAnsi="Times New Roman" w:cs="Times New Roman"/>
          <w:sz w:val="22"/>
          <w:szCs w:val="22"/>
        </w:rPr>
      </w:pPr>
      <w:r>
        <w:rPr>
          <w:rFonts w:ascii="宋体" w:eastAsia="宋体" w:hAnsi="宋体" w:cs="宋体"/>
          <w:color w:val="231F20"/>
          <w:sz w:val="22"/>
          <w:szCs w:val="22"/>
        </w:rPr>
        <w:t>签约地点：</w:t>
      </w:r>
      <w:r>
        <w:rPr>
          <w:rFonts w:ascii="宋体" w:eastAsia="宋体" w:hAnsi="宋体" w:cs="宋体"/>
          <w:color w:val="231F20"/>
          <w:sz w:val="22"/>
          <w:szCs w:val="22"/>
        </w:rPr>
        <w:tab/>
      </w:r>
      <w:r>
        <w:rPr>
          <w:rFonts w:ascii="宋体" w:eastAsia="宋体" w:hAnsi="宋体" w:cs="宋体"/>
          <w:color w:val="231F20"/>
          <w:sz w:val="22"/>
          <w:szCs w:val="22"/>
        </w:rPr>
        <w:t>签约地点：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66432" behindDoc="0" locked="0" layoutInCell="1" allowOverlap="1">
            <wp:simplePos x="0" y="0"/>
            <wp:positionH relativeFrom="page">
              <wp:posOffset>502285</wp:posOffset>
            </wp:positionH>
            <wp:positionV relativeFrom="page">
              <wp:posOffset>6583807</wp:posOffset>
            </wp:positionV>
            <wp:extent cx="171450" cy="952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71450" cy="95250"/>
                    </a:xfrm>
                    <a:prstGeom prst="rect">
                      <a:avLst/>
                    </a:prstGeom>
                  </pic:spPr>
                </pic:pic>
              </a:graphicData>
            </a:graphic>
          </wp:anchor>
        </w:drawing>
      </w:r>
      <w:r>
        <w:rPr>
          <w:rFonts w:ascii="Times New Roman" w:eastAsia="Times New Roman" w:hAnsi="Times New Roman" w:cs="Times New Roman"/>
          <w:strike w:val="0"/>
          <w:sz w:val="20"/>
          <w:szCs w:val="20"/>
          <w:u w:val="none"/>
        </w:rPr>
        <w:drawing>
          <wp:anchor simplePos="0" relativeHeight="251665408" behindDoc="0" locked="0" layoutInCell="1" allowOverlap="1">
            <wp:simplePos x="0" y="0"/>
            <wp:positionH relativeFrom="page">
              <wp:posOffset>9753600</wp:posOffset>
            </wp:positionH>
            <wp:positionV relativeFrom="page">
              <wp:posOffset>887349</wp:posOffset>
            </wp:positionV>
            <wp:extent cx="190500" cy="41910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90500" cy="419100"/>
                    </a:xfrm>
                    <a:prstGeom prst="rect">
                      <a:avLst/>
                    </a:prstGeom>
                  </pic:spPr>
                </pic:pic>
              </a:graphicData>
            </a:graphic>
          </wp:anchor>
        </w:drawing>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2" w:after="0"/>
        <w:rPr>
          <w:rFonts w:ascii="Times New Roman" w:eastAsia="Times New Roman" w:hAnsi="Times New Roman" w:cs="Times New Roman"/>
          <w:sz w:val="27"/>
          <w:szCs w:val="27"/>
        </w:rPr>
      </w:pPr>
    </w:p>
    <w:p>
      <w:pPr>
        <w:widowControl w:val="0"/>
        <w:spacing w:before="0" w:after="0" w:line="514" w:lineRule="atLeast"/>
        <w:ind w:left="185" w:right="12"/>
        <w:jc w:val="center"/>
        <w:rPr>
          <w:rFonts w:ascii="Times New Roman" w:eastAsia="Times New Roman" w:hAnsi="Times New Roman" w:cs="Times New Roman"/>
        </w:rPr>
      </w:pPr>
      <w:r>
        <w:rPr>
          <w:rFonts w:ascii="宋体" w:eastAsia="宋体" w:hAnsi="宋体" w:cs="宋体"/>
          <w:color w:val="231F20"/>
          <w:sz w:val="36"/>
          <w:szCs w:val="36"/>
        </w:rPr>
        <w:t>《游客安全信息卡》参考样式</w:t>
      </w:r>
    </w:p>
    <w:p>
      <w:pPr>
        <w:widowControl w:val="0"/>
        <w:tabs>
          <w:tab w:val="left" w:pos="9463"/>
        </w:tabs>
        <w:spacing w:before="92" w:after="0"/>
        <w:ind w:right="12"/>
        <w:jc w:val="center"/>
        <w:rPr>
          <w:rFonts w:ascii="Times New Roman" w:eastAsia="Times New Roman" w:hAnsi="Times New Roman" w:cs="Times New Roman"/>
          <w:sz w:val="21"/>
          <w:szCs w:val="21"/>
        </w:rPr>
      </w:pPr>
      <w:r>
        <w:rPr>
          <w:rFonts w:ascii="宋体" w:eastAsia="宋体" w:hAnsi="宋体" w:cs="宋体"/>
          <w:color w:val="231F20"/>
          <w:sz w:val="21"/>
          <w:szCs w:val="21"/>
        </w:rPr>
        <w:t>（正面</w:t>
      </w:r>
      <w:r>
        <w:rPr>
          <w:rFonts w:ascii="宋体" w:eastAsia="宋体" w:hAnsi="宋体" w:cs="宋体"/>
          <w:color w:val="231F20"/>
          <w:spacing w:val="-2"/>
          <w:sz w:val="21"/>
          <w:szCs w:val="21"/>
        </w:rPr>
        <w:t xml:space="preserve"> </w:t>
      </w:r>
      <w:r>
        <w:rPr>
          <w:rFonts w:ascii="宋体" w:eastAsia="宋体" w:hAnsi="宋体" w:cs="宋体"/>
          <w:color w:val="231F20"/>
          <w:sz w:val="21"/>
          <w:szCs w:val="21"/>
        </w:rPr>
        <w:t>90mm*110m）</w:t>
      </w:r>
      <w:r>
        <w:rPr>
          <w:rFonts w:ascii="宋体" w:eastAsia="宋体" w:hAnsi="宋体" w:cs="宋体"/>
          <w:color w:val="231F20"/>
          <w:sz w:val="21"/>
          <w:szCs w:val="21"/>
        </w:rPr>
        <w:tab/>
      </w:r>
      <w:r>
        <w:rPr>
          <w:rFonts w:ascii="宋体" w:eastAsia="宋体" w:hAnsi="宋体" w:cs="宋体"/>
          <w:color w:val="231F20"/>
          <w:sz w:val="21"/>
          <w:szCs w:val="21"/>
        </w:rPr>
        <w:t>（背面</w:t>
      </w:r>
      <w:r>
        <w:rPr>
          <w:rFonts w:ascii="宋体" w:eastAsia="宋体" w:hAnsi="宋体" w:cs="宋体"/>
          <w:color w:val="231F20"/>
          <w:spacing w:val="-9"/>
          <w:sz w:val="21"/>
          <w:szCs w:val="21"/>
        </w:rPr>
        <w:t xml:space="preserve"> </w:t>
      </w:r>
      <w:r>
        <w:rPr>
          <w:rFonts w:ascii="宋体" w:eastAsia="宋体" w:hAnsi="宋体" w:cs="宋体"/>
          <w:color w:val="231F20"/>
          <w:sz w:val="21"/>
          <w:szCs w:val="21"/>
        </w:rPr>
        <w:t>90mm*110mm）</w:t>
      </w:r>
    </w:p>
    <w:p>
      <w:pPr>
        <w:widowControl w:val="0"/>
        <w:spacing w:before="13" w:after="0"/>
        <w:rPr>
          <w:rFonts w:ascii="Times New Roman" w:eastAsia="Times New Roman" w:hAnsi="Times New Roman" w:cs="Times New Roman"/>
          <w:sz w:val="15"/>
          <w:szCs w:val="15"/>
        </w:rPr>
      </w:pPr>
      <w:r>
        <w:rPr>
          <w:rFonts w:ascii="Times New Roman" w:eastAsia="Times New Roman" w:hAnsi="Times New Roman" w:cs="Times New Roman"/>
          <w:strike w:val="0"/>
          <w:sz w:val="15"/>
          <w:szCs w:val="15"/>
          <w:u w:val="none"/>
        </w:rPr>
        <w:drawing>
          <wp:anchor simplePos="0" relativeHeight="251658240" behindDoc="0" locked="0" layoutInCell="1" allowOverlap="1">
            <wp:simplePos x="0" y="0"/>
            <wp:positionH relativeFrom="page">
              <wp:posOffset>935990</wp:posOffset>
            </wp:positionH>
            <wp:positionV relativeFrom="paragraph">
              <wp:posOffset>179705</wp:posOffset>
            </wp:positionV>
            <wp:extent cx="28765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2876550" cy="9525"/>
                    </a:xfrm>
                    <a:prstGeom prst="rect">
                      <a:avLst/>
                    </a:prstGeom>
                  </pic:spPr>
                </pic:pic>
              </a:graphicData>
            </a:graphic>
          </wp:anchor>
        </w:drawing>
      </w:r>
    </w:p>
    <w:p>
      <w:pPr>
        <w:widowControl w:val="0"/>
        <w:spacing w:before="0" w:after="0" w:line="241" w:lineRule="atLeast"/>
        <w:ind w:left="312"/>
        <w:rPr>
          <w:rFonts w:ascii="Times New Roman" w:eastAsia="Times New Roman" w:hAnsi="Times New Roman" w:cs="Times New Roman"/>
        </w:rPr>
      </w:pPr>
      <w:r>
        <w:rPr>
          <w:rFonts w:ascii="Times New Roman" w:eastAsia="Times New Roman" w:hAnsi="Times New Roman" w:cs="Times New Roman"/>
          <w:strike w:val="0"/>
          <w:u w:val="none"/>
        </w:rPr>
        <w:drawing>
          <wp:inline>
            <wp:extent cx="1219200" cy="1619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1219200" cy="161925"/>
                    </a:xfrm>
                    <a:prstGeom prst="rect">
                      <a:avLst/>
                    </a:prstGeom>
                  </pic:spPr>
                </pic:pic>
              </a:graphicData>
            </a:graphic>
          </wp:inline>
        </w:drawing>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5"/>
          <w:szCs w:val="15"/>
        </w:rPr>
      </w:pPr>
      <w:r>
        <w:rPr>
          <w:rFonts w:ascii="Times New Roman" w:eastAsia="Times New Roman" w:hAnsi="Times New Roman" w:cs="Times New Roman"/>
          <w:strike w:val="0"/>
          <w:sz w:val="15"/>
          <w:szCs w:val="15"/>
          <w:u w:val="none"/>
        </w:rPr>
        <w:drawing>
          <wp:anchor simplePos="0" relativeHeight="251659264" behindDoc="0" locked="0" layoutInCell="1" allowOverlap="1">
            <wp:simplePos x="0" y="0"/>
            <wp:positionH relativeFrom="page">
              <wp:posOffset>1393825</wp:posOffset>
            </wp:positionH>
            <wp:positionV relativeFrom="paragraph">
              <wp:posOffset>161544</wp:posOffset>
            </wp:positionV>
            <wp:extent cx="2019300" cy="628650"/>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9"/>
                    <a:stretch>
                      <a:fillRect/>
                    </a:stretch>
                  </pic:blipFill>
                  <pic:spPr>
                    <a:xfrm>
                      <a:off x="0" y="0"/>
                      <a:ext cx="2019300" cy="628650"/>
                    </a:xfrm>
                    <a:prstGeom prst="rect">
                      <a:avLst/>
                    </a:prstGeom>
                  </pic:spPr>
                </pic:pic>
              </a:graphicData>
            </a:graphic>
          </wp:anchor>
        </w:drawing>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4"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page">
              <wp:posOffset>1993900</wp:posOffset>
            </wp:positionH>
            <wp:positionV relativeFrom="paragraph">
              <wp:posOffset>253619</wp:posOffset>
            </wp:positionV>
            <wp:extent cx="819150" cy="314325"/>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0"/>
                    <a:stretch>
                      <a:fillRect/>
                    </a:stretch>
                  </pic:blipFill>
                  <pic:spPr>
                    <a:xfrm>
                      <a:off x="0" y="0"/>
                      <a:ext cx="819150" cy="314325"/>
                    </a:xfrm>
                    <a:prstGeom prst="rect">
                      <a:avLst/>
                    </a:prstGeom>
                  </pic:spPr>
                </pic:pic>
              </a:graphicData>
            </a:graphic>
          </wp:anchor>
        </w:drawing>
      </w:r>
    </w:p>
    <w:p>
      <w:pPr>
        <w:widowControl w:val="0"/>
        <w:spacing w:before="9" w:after="0"/>
        <w:rPr>
          <w:rFonts w:ascii="Times New Roman" w:eastAsia="Times New Roman" w:hAnsi="Times New Roman" w:cs="Times New Roman"/>
          <w:sz w:val="13"/>
          <w:szCs w:val="13"/>
        </w:rPr>
      </w:pPr>
    </w:p>
    <w:p>
      <w:pPr>
        <w:widowControl w:val="0"/>
        <w:spacing w:before="0" w:after="0" w:line="601" w:lineRule="atLeast"/>
        <w:ind w:left="4666" w:right="5033"/>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4384" behindDoc="0" locked="0" layoutInCell="1" allowOverlap="1">
            <wp:simplePos x="0" y="0"/>
            <wp:positionH relativeFrom="page">
              <wp:posOffset>935990</wp:posOffset>
            </wp:positionH>
            <wp:positionV relativeFrom="paragraph">
              <wp:posOffset>137287</wp:posOffset>
            </wp:positionV>
            <wp:extent cx="2876550" cy="2295525"/>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1"/>
                    <a:stretch>
                      <a:fillRect/>
                    </a:stretch>
                  </pic:blipFill>
                  <pic:spPr>
                    <a:xfrm>
                      <a:off x="0" y="0"/>
                      <a:ext cx="2876550" cy="22955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3360" behindDoc="0" locked="0" layoutInCell="1" allowOverlap="1">
            <wp:simplePos x="0" y="0"/>
            <wp:positionH relativeFrom="page">
              <wp:posOffset>6351651</wp:posOffset>
            </wp:positionH>
            <wp:positionV relativeFrom="paragraph">
              <wp:posOffset>-2637155</wp:posOffset>
            </wp:positionV>
            <wp:extent cx="3219450" cy="50673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2"/>
                    <a:stretch>
                      <a:fillRect/>
                    </a:stretch>
                  </pic:blipFill>
                  <pic:spPr>
                    <a:xfrm>
                      <a:off x="0" y="0"/>
                      <a:ext cx="3219450" cy="506730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1312" behindDoc="0" locked="0" layoutInCell="1" allowOverlap="1">
            <wp:simplePos x="0" y="0"/>
            <wp:positionH relativeFrom="page">
              <wp:posOffset>4222877</wp:posOffset>
            </wp:positionH>
            <wp:positionV relativeFrom="paragraph">
              <wp:posOffset>423418</wp:posOffset>
            </wp:positionV>
            <wp:extent cx="847725" cy="114300"/>
            <wp:wrapTopAndBottom/>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3"/>
                    <a:stretch>
                      <a:fillRect/>
                    </a:stretch>
                  </pic:blipFill>
                  <pic:spPr>
                    <a:xfrm>
                      <a:off x="0" y="0"/>
                      <a:ext cx="847725" cy="114300"/>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2336" behindDoc="0" locked="0" layoutInCell="1" allowOverlap="1">
            <wp:simplePos x="0" y="0"/>
            <wp:positionH relativeFrom="page">
              <wp:posOffset>5132959</wp:posOffset>
            </wp:positionH>
            <wp:positionV relativeFrom="paragraph">
              <wp:posOffset>424942</wp:posOffset>
            </wp:positionV>
            <wp:extent cx="857250" cy="114300"/>
            <wp:wrapTopAndBottom/>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4"/>
                    <a:stretch>
                      <a:fillRect/>
                    </a:stretch>
                  </pic:blipFill>
                  <pic:spPr>
                    <a:xfrm>
                      <a:off x="0" y="0"/>
                      <a:ext cx="857250" cy="114300"/>
                    </a:xfrm>
                    <a:prstGeom prst="rect">
                      <a:avLst/>
                    </a:prstGeom>
                  </pic:spPr>
                </pic:pic>
              </a:graphicData>
            </a:graphic>
          </wp:anchor>
        </w:drawing>
      </w:r>
      <w:r>
        <w:rPr>
          <w:rFonts w:ascii="宋体" w:eastAsia="宋体" w:hAnsi="宋体" w:cs="宋体"/>
          <w:strike w:val="0"/>
          <w:u w:val="none"/>
        </w:rPr>
        <w:br/>
      </w:r>
      <w:r>
        <w:rPr>
          <w:rFonts w:ascii="宋体" w:eastAsia="宋体" w:hAnsi="宋体" w:cs="宋体"/>
          <w:color w:val="231F20"/>
          <w:sz w:val="44"/>
          <w:szCs w:val="44"/>
        </w:rPr>
        <w:t>折叠线</w:t>
      </w:r>
    </w:p>
    <w:p w:rsidR="00A77B3E"/>
    <w:sectPr>
      <w:footerReference w:type="default" r:id="rId1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
        <w:szCs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footer" Target="footer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