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JF-2017-077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>合同编号：</w:t>
      </w: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天津市建材商品买卖合同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出卖人（甲方）：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买受人（乙方）：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一、建材买卖基本情况</w:t>
      </w: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28"/>
        <w:gridCol w:w="928"/>
        <w:gridCol w:w="928"/>
        <w:gridCol w:w="464"/>
        <w:gridCol w:w="389"/>
        <w:gridCol w:w="778"/>
        <w:gridCol w:w="389"/>
        <w:gridCol w:w="389"/>
        <w:gridCol w:w="778"/>
        <w:gridCol w:w="389"/>
        <w:gridCol w:w="441"/>
        <w:gridCol w:w="882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商品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规格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型号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商品</w:t>
            </w: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材质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颜色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/>
          <w:jc w:val="center"/>
        </w:trPr>
        <w:tc>
          <w:tcPr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货款总额：¥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元，大写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分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送货验</w:t>
            </w:r>
          </w:p>
          <w:p>
            <w:pPr>
              <w:widowControl w:val="0"/>
              <w:spacing w:before="0" w:after="160" w:line="420" w:lineRule="atLeast"/>
              <w:ind w:firstLine="9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收情况</w:t>
            </w: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□验收合格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□货款两清</w:t>
            </w: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□拒收及原因：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</w:t>
            </w:r>
          </w:p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□解决方案：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甲方（签字）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16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交货时间：</w:t>
            </w:r>
          </w:p>
          <w:p>
            <w:pPr>
              <w:widowControl w:val="0"/>
              <w:spacing w:before="0" w:after="160" w:line="420" w:lineRule="atLeast"/>
              <w:ind w:firstLine="1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年 月 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乙方（签字）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16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二、货款支付方式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1、□乙方在签约时一次性支付全部货款。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2、□乙方在签约时支付定金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元(不得超过商品总价的20%)，余款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元应在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时付清。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三、交货及验收</w:t>
      </w:r>
    </w:p>
    <w:p>
      <w:pPr>
        <w:widowControl w:val="0"/>
        <w:spacing w:before="0" w:after="160" w:line="420" w:lineRule="atLeast"/>
        <w:ind w:left="936" w:hanging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1、□乙方自提：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提货。</w:t>
      </w:r>
    </w:p>
    <w:p>
      <w:pPr>
        <w:widowControl w:val="0"/>
        <w:spacing w:before="0" w:after="160" w:line="420" w:lineRule="atLeast"/>
        <w:ind w:left="750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2、□甲方送货：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日前送货至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四、商品非质量问题换货退货</w:t>
      </w:r>
    </w:p>
    <w:p>
      <w:pPr>
        <w:widowControl w:val="0"/>
        <w:spacing w:before="0" w:after="160" w:line="420" w:lineRule="atLeast"/>
        <w:ind w:left="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1、接收商品后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内，在无任何损坏且不影响二次销售的情况下，乙方可以要求换、退货，其费用由乙方承担。</w:t>
      </w:r>
    </w:p>
    <w:p>
      <w:pPr>
        <w:widowControl w:val="0"/>
        <w:spacing w:before="0" w:after="160" w:line="420" w:lineRule="atLeast"/>
        <w:ind w:left="1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2、对装修后剩余材料（所购总数的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%以内）在商品无任何损坏且不影响二次销售的情况下，送货后30天内可以凭销售合同及相关单据按商品买卖合同单价全款退货，其费用由乙方承担。</w:t>
      </w:r>
    </w:p>
    <w:p>
      <w:pPr>
        <w:widowControl w:val="0"/>
        <w:spacing w:before="0" w:after="160" w:line="420" w:lineRule="atLeast"/>
        <w:ind w:left="1"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退货地点：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left="1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其中灯具、胶类、地毯，自售出之日起7日内包装完好无磨损可退货。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五、质量问题“三包”规定</w:t>
      </w:r>
    </w:p>
    <w:p>
      <w:pPr>
        <w:widowControl w:val="0"/>
        <w:spacing w:before="0" w:after="160" w:line="420" w:lineRule="atLeast"/>
        <w:ind w:firstLine="43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甲方对商品实行三包。如出现质量问题，甲方按《中华人民共和国消费者权益保护法》等法律法规规定，承担商品的 “修理、更换、退货”责任。甲方或主办单位做出对乙方更有利的责任承诺的，按照该承诺执行。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六、违约责任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（一）甲方违约责任：　　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1、建材商品经法定质量检验机构检验不符质量要求的，乙方可以依照国家规定、</w:t>
      </w:r>
      <w:r>
        <w:rPr>
          <w:rFonts w:ascii="宋体" w:eastAsia="宋体" w:hAnsi="宋体" w:cs="宋体"/>
          <w:color w:val="000000"/>
          <w:sz w:val="22"/>
          <w:szCs w:val="22"/>
        </w:rPr>
        <w:t>当事人</w:t>
      </w:r>
      <w:r>
        <w:rPr>
          <w:rFonts w:ascii="宋体" w:eastAsia="宋体" w:hAnsi="宋体" w:cs="宋体"/>
          <w:sz w:val="22"/>
          <w:szCs w:val="22"/>
        </w:rPr>
        <w:t>约定退货，或者要求甲方履行更换、修理等义务。没有国家规定和当事人约定的，乙方可以自收到商品之日起七日内退货；七日后符合法定解除合同条件的，乙方可以及时退货，不符合法定解除合同条件的，可以要求甲方履行更换、修理等义务；　　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2、甲方迟延交货的，每日应向乙方支付迟延部分价款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%的违约金；迟延交货超过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  <w:r>
        <w:rPr>
          <w:rFonts w:ascii="宋体" w:eastAsia="宋体" w:hAnsi="宋体" w:cs="宋体"/>
          <w:sz w:val="22"/>
          <w:szCs w:val="22"/>
        </w:rPr>
        <w:t>日的，除支付违约金外，乙方还有权解除合同，甲方已收取的定金、预付款或价款应全额返还，但乙方在不收取违约金的情况下有权要求甲方双倍返还定金。　　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（二）乙方违约责任：　　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1、乙方迟延提货的，每日应向甲方支付迟延部分价款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 xml:space="preserve"> %的违约金；　　</w:t>
      </w:r>
    </w:p>
    <w:p>
      <w:pPr>
        <w:widowControl w:val="0"/>
        <w:spacing w:before="0" w:after="16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2、乙方无正当理由单方解除合同的，应赔偿由此给甲方造成的损失，已支付的定金无权要求返还。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（三）经法定质量检验机构检验，建材商品的有害物质限量不符合国家标准的强制性要求的，乙方有权无条件退货，并要求甲方赔偿相应的检测费、交通费、误工费、损失费等损失，并承担总价款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七、争议解决方式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本合同发生争议，双方应协商解决。协商不成时，可向市场主办单位或消费者协会申请调解。当协商和调解不成，可采取以下第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160" w:line="420" w:lineRule="atLeast"/>
        <w:ind w:left="770" w:hanging="7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如果甲方拒不执行仲裁裁决或法院判决，由市场主办单位向乙方进行先行赔付。</w:t>
      </w:r>
    </w:p>
    <w:p>
      <w:pPr>
        <w:widowControl w:val="0"/>
        <w:spacing w:before="0" w:after="160" w:line="42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八、其他约定事项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九、附则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本合同与合同附件具有同等法律效力。本合同经甲、乙双方盖章、签字之日起生效。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合同如有未尽事宜，须由甲乙双方共同协商，签定补充协议，补充协议与本合同具有同等法律效力。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份，其中甲方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份，市场主办单位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份。均具有同等法律效力。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甲方（章）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乙方（签字或盖章）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主办单位（章）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售后服务电话：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市市场监管委特别提示：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1、本市行政区域内的建材商品买卖适用本合同文本。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2、本合同文本仅供甲乙双方参照约定采用，需签订合同前仔细阅读。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3、签订合同前乙方要验看甲方的证、照、环保指标的质检报告及涉及“3C”产品需提供强制性认证证书。合同应加盖具有法人资格的合同专用章。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4、选择商品时应详细问清商品的品牌、产地、材质、价格、型号、注重甲方诚信度与售后服务口碑。</w:t>
      </w: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5、乙方可以登录市市场监管委官网查询下载该合同示范文本；甲方改动合同示范文本条款，并以制定机关名义及文本编号印制、使用，市场监管部门将依法处理。</w:t>
      </w:r>
    </w:p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\* MERGEFORMAT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Calibri" w:eastAsia="Calibri" w:hAnsi="Calibri" w:cs="Calibri"/>
        <w:sz w:val="18"/>
        <w:szCs w:val="18"/>
      </w:rPr>
      <w:fldChar w:fldCharType="end"/>
    </w:r>
  </w:p>
  <w:p>
    <w:pPr>
      <w:widowControl w:val="0"/>
      <w:spacing w:before="0" w:after="160" w:line="259" w:lineRule="auto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