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JF-2003-010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天津市房产买卖合同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TIANJIN HOUSE SALE CONTRACT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1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81280</wp:posOffset>
            </wp:positionV>
            <wp:extent cx="609600" cy="400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8"/>
          <w:szCs w:val="28"/>
        </w:rPr>
        <w:t>天津市工商行政管理局</w:t>
      </w:r>
    </w:p>
    <w:p>
      <w:pPr>
        <w:widowControl w:val="0"/>
        <w:spacing w:before="0" w:after="0" w:line="360" w:lineRule="auto"/>
        <w:ind w:firstLine="14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20"/>
          <w:sz w:val="28"/>
          <w:szCs w:val="28"/>
        </w:rPr>
        <w:t>天津市房地产管理局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填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写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说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明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1、本合同适用于我市行政区域内存量房买卖。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2、合同当事人订立合同前，须认真协商各项条款。一经双方签字或盖章即生效（当事人另有约定的除外），任何条款的变更须经双方协商一致后，签字或盖章确认。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3、合同一律用钢笔、毛笔填写，空格部分若为空白句，应用 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／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划掉。涂改之处，须经双方当事人签字或盖章确认。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4、本合同不得翻印。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right="630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天津市房产买卖合同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出卖人（甲方）：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买受人（乙方）：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根据《中华人民共和国合同法》、《中华人民共和国城市房地产管理法》等有关法律、法规的规定，甲方双方遵循平等、自愿、公平、诚实信用、守法的原则，经协商一致，达成如下条款：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房产情况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该房屋坐落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。产别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，结构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，建筑面积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平方米。房屋所有权证号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，所有权人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；房屋为共有的，其他共有权人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，共有权证号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，共有方式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，共有权人同意出售证明见附件三。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该房屋土地使用权证号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，土地使用面积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平方米，土地来源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。以出让方式取得土地使用权的，土地使用年限为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经双方实地查勘，房产实物状况及相关设施，符合双方约定。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房屋相关设施及平面图见附件一，房屋抵押、租赁情况见附件二。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房产价款、其他价款及交付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房产价款为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（币种：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），计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（大写），其他价款为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（币种：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），计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（大写）。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乙方付款形式、付款时间为：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房产交付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房产实物状况、权利状况、符合有关规定和双方约定的，方可交付；不符合有关规定和双方约定的，不得交付。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甲方须于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日前，将该房产及相关证明交付乙方。如遇不可抗力，双方约定处理方式：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上述相关证明包括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产权转移登记及其他相关设施登记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合同订立后，甲乙双方应在30日内，到房屋所有权登记机关办理房屋所有权转移登记手续。按照有关规定，其他相关设施应办理登记的，应在规定期限内办理。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如因一方原因造成另一方未能及时办理房屋所有权转移登记、其他相关设施登记造成损失的，应依法承担违约责任。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1、甲方逾期交付房产的，应承担违约责任如下：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2、乙方逾期付款或不符合付款形式的，应承担违约责任如下：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3、其他约定：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产权纠纷和债权债务纠纷的约定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甲方保证在该房产交付时，无产权纠纷和债权债务纠纷。如有在产权纠纷和债权债务纠纷，由甲方承担全部责任。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争议处理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本合同发生争议，甲乙双方协商解决。协商不成时，按下列第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2、向人民法院提起诉讼。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本合同未尽事宜，甲乙双方另行订立补充合同（见附件四）。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附件一至附件四均为本合同不可分割部分，具有同等法律效力。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合同份数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本合同连同附件共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页，一式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页。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合同生效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本合同自甲乙双方签字或盖章之日起生效。当事人另有约定的，按照其约定。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28"/>
          <w:szCs w:val="28"/>
        </w:rPr>
        <w:t>附件一：房屋相关设施及房屋平面图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房屋平面图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 w:type="page"/>
      </w:r>
      <w:r>
        <w:rPr>
          <w:rFonts w:ascii="宋体" w:eastAsia="宋体" w:hAnsi="宋体" w:cs="宋体"/>
          <w:sz w:val="28"/>
          <w:szCs w:val="28"/>
        </w:rPr>
        <w:t>附件二：房屋抵押、租赁情况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附件三：房屋共有权人同意出售证明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附件四：补充合同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