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JF-2008-037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签订地点：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天津市种子买卖合同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买受人：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根据《中华人民共和国合同法》、《中华人民共和国种子法》及有关法律法规规定，经双方协商一致，签订本合同。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>、农作物种子的种类、品种、质量、数量、金额：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84"/>
        <w:gridCol w:w="1084"/>
        <w:gridCol w:w="679"/>
        <w:gridCol w:w="1084"/>
        <w:gridCol w:w="679"/>
        <w:gridCol w:w="679"/>
        <w:gridCol w:w="881"/>
        <w:gridCol w:w="679"/>
        <w:gridCol w:w="881"/>
        <w:gridCol w:w="88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作物种类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品种名称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质量（%）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（元）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总金额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（元）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纯度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净度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发芽率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水分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第二条、种子生产许可证号：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种子经营许可证号：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种子检疫证书号：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第三条、主要栽培技术要求：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第四条、</w:t>
      </w:r>
      <w:r>
        <w:rPr>
          <w:rFonts w:ascii="宋体" w:eastAsia="宋体" w:hAnsi="宋体" w:cs="宋体"/>
          <w:sz w:val="22"/>
          <w:szCs w:val="22"/>
        </w:rPr>
        <w:t>买受人应在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日前向出卖人支付农作物种子款。出卖人应在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日前将农作物种子交付买受人。交货地点为：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交货方式为：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第五条、</w:t>
      </w:r>
      <w:r>
        <w:rPr>
          <w:rFonts w:ascii="宋体" w:eastAsia="宋体" w:hAnsi="宋体" w:cs="宋体"/>
          <w:sz w:val="22"/>
          <w:szCs w:val="22"/>
        </w:rPr>
        <w:t xml:space="preserve">买卖批量种子、当事人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是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否 取样封存，封存期限为：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第六条、违约责任：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买受人应当按照种子主要栽培技术要求种植，因买受人过错或者不可抗力造成损失的，出卖人不承担责任；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因种质量问题造成或者可能造成损失的，买受人应当及时通知出卖人，并到有关部门申报，否则造成无法勘验损失程度或者造成损失扩大的，出卖人不承担责任；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 出卖人保证提供合格种子，因种子质量问题造成损失的，由出卖人具实赔偿并支付违约金；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违反本合同约定的，违约方应每日按照总价款的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%的标准向对方支付违约金；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其他违约约定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第七条、合同争议的解决方式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本合同发生争议，当事人协商解决，也可申请调解；协商或调解不成的，按下列第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仲裁委员会申请仲裁；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第八条、其他约定事项：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第九条、</w:t>
      </w:r>
      <w:r>
        <w:rPr>
          <w:rFonts w:ascii="宋体" w:eastAsia="宋体" w:hAnsi="宋体" w:cs="宋体"/>
          <w:sz w:val="22"/>
          <w:szCs w:val="22"/>
        </w:rPr>
        <w:t>本合同自双方签字之日起生效。本合同一式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份，双方各持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出卖人（签字或盖章）：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买受人（签字或盖章）：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