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46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SF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2014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0113</w:t>
      </w:r>
    </w:p>
    <w:p>
      <w:pPr>
        <w:widowControl w:val="0"/>
        <w:spacing w:before="0" w:after="0" w:line="46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广州市仙草（凉粉草）种植收购合同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3906520</wp:posOffset>
            </wp:positionH>
            <wp:positionV relativeFrom="paragraph">
              <wp:posOffset>262890</wp:posOffset>
            </wp:positionV>
            <wp:extent cx="1790700" cy="9239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甲方（收购方）：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乙方（种植方）：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双方在平等互利、协商致的基础上，经充分协商，就仙草（凉粉草）种植收购事宜订立本合同。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一、种植仙草（凉粉草）的面积、种苗数量和预付款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（一）乙方种植仙草（凉粉草）水田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亩、旱地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亩，共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亩。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（二）甲方于合同签订之日起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天内向乙方提供种苗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株，并应乙方要求派出技术人员对乙方种植进行指导。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（三）甲方向乙方预付生产费用款每亩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元（一亩起），共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元；种植面积达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亩以上的甲方可提供农膜。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二、收购价格及结算方式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（一）收购标准及价格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一级标准为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，收购保护价：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/公斤。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二级标准为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，收购保护价：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/公斤。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三级标准为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，收购保护价：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/公斤。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具体收购价按照收购时市场收购价另行确定，但不得低于保护价。一、二、三级以外部分由双方另议收购方式和价格。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结算时甲方扣除预付款和农膜费用后向乙方支付余款，如不需农膜、预付款的则按实计。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（二）结算方式：双方同意采取以下第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种结算方式：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1、现金结算的，甲方应在收购后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天内付给乙方；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2、采用银行转账方式结算的，所有收购款应在交付后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天内转账完毕。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三、质量和检验标准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（一）质量标准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1、仙草（凉粉草）晒干（枝茎干脆易折断）；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2、农药残留不超标；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3、不含沙石、草根、杂草等杂质；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4、其他要求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（二）检验标准、方法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（三）检验地点及期限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四、交货时间、地点和方式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合同期限自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日止。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乙方种植的仙草（凉粉草）全部由甲方收购，甲方于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时驻点进行收购。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五、违约责任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（一）乙方不按约定全部供货给甲方，则按每亩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元向甲方支付违约金。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（二）甲方不按约定全部收购，则按每亩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元向乙方支付违约金，并承担相对应的预付款和农膜费用。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（三）甲方逾期付款的，每日按应付款的万分之五向乙方支付逾期付款的违约金。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六、争议解决方式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本合同在履行过程中发生争议，由当事人协商解决，也可向有关行政主管部门申请调解。协商或调解不成的，按下述第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种方式解决。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1、提交广州仲裁委员会仲裁。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2、向人民法院起诉。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 xml:space="preserve">七、其他约定事项 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</w:t>
      </w:r>
    </w:p>
    <w:p>
      <w:pPr>
        <w:widowControl w:val="0"/>
        <w:spacing w:before="0" w:after="0" w:line="42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八、</w:t>
      </w:r>
      <w:r>
        <w:rPr>
          <w:rFonts w:ascii="宋体" w:eastAsia="宋体" w:hAnsi="宋体" w:cs="宋体"/>
          <w:sz w:val="22"/>
          <w:szCs w:val="22"/>
        </w:rPr>
        <w:t>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份，乙方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份。未尽事宜，双方另行约定。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甲方：（签章）</w:t>
      </w:r>
      <w:r>
        <w:rPr>
          <w:rFonts w:ascii="宋体" w:eastAsia="宋体" w:hAnsi="宋体" w:cs="宋体"/>
          <w:sz w:val="22"/>
          <w:szCs w:val="22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乙方：（签章）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身份证号码：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身份证号码：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银行账号：</w:t>
      </w:r>
      <w:r>
        <w:rPr>
          <w:rFonts w:ascii="宋体" w:eastAsia="宋体" w:hAnsi="宋体" w:cs="宋体"/>
          <w:sz w:val="22"/>
          <w:szCs w:val="22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银行账号：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SF—2014—0113</dc:title>
  <cp:revision>1</cp:revision>
</cp:coreProperties>
</file>