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2013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0107</w:t>
      </w:r>
    </w:p>
    <w:p>
      <w:pPr>
        <w:spacing w:before="0" w:after="0"/>
        <w:rPr>
          <w:rFonts w:ascii="Times New Roman" w:eastAsia="Times New Roman" w:hAnsi="Times New Roman" w:cs="Times New Roman"/>
        </w:rPr>
      </w:pPr>
    </w:p>
    <w:p>
      <w:pPr>
        <w:spacing w:before="0" w:after="0"/>
        <w:rPr>
          <w:rFonts w:ascii="Times New Roman" w:eastAsia="Times New Roman" w:hAnsi="Times New Roman" w:cs="Times New Roman"/>
        </w:rPr>
      </w:pPr>
    </w:p>
    <w:p>
      <w:pPr>
        <w:spacing w:before="0" w:after="0"/>
        <w:rPr>
          <w:rFonts w:ascii="Times New Roman" w:eastAsia="Times New Roman" w:hAnsi="Times New Roman" w:cs="Times New Roman"/>
        </w:rPr>
      </w:pPr>
    </w:p>
    <w:p>
      <w:pPr>
        <w:spacing w:before="0" w:after="0"/>
        <w:rPr>
          <w:rFonts w:ascii="Times New Roman" w:eastAsia="Times New Roman" w:hAnsi="Times New Roman" w:cs="Times New Roman"/>
        </w:rPr>
      </w:pPr>
    </w:p>
    <w:p>
      <w:pPr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广州市茶叶买卖合同</w:t>
      </w:r>
    </w:p>
    <w:p>
      <w:pPr>
        <w:spacing w:before="0"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ab/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      </w:t>
      </w:r>
    </w:p>
    <w:p>
      <w:pPr>
        <w:spacing w:before="0" w:after="0"/>
        <w:ind w:firstLine="5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64135</wp:posOffset>
            </wp:positionV>
            <wp:extent cx="2162175" cy="10191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甲方（买方）：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乙方（卖方）：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 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根据《中华人民共和国合同法》及有关法律法规的规定，甲乙双方经充分协商，订立本合同。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第一条 </w:t>
      </w:r>
      <w:r>
        <w:rPr>
          <w:rFonts w:ascii="宋体" w:eastAsia="宋体" w:hAnsi="宋体" w:cs="宋体"/>
          <w:sz w:val="22"/>
          <w:szCs w:val="22"/>
        </w:rPr>
        <w:t>品种、数量、价格及交（提）货时间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922"/>
        <w:gridCol w:w="922"/>
        <w:gridCol w:w="922"/>
        <w:gridCol w:w="922"/>
        <w:gridCol w:w="922"/>
        <w:gridCol w:w="922"/>
        <w:gridCol w:w="2153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价格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ind w:firstLine="1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交（提）货时间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 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元）</w:t>
            </w:r>
          </w:p>
        </w:tc>
      </w:tr>
    </w:tbl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质量要求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1、内在质量：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2、外观质量：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3、农药残留指标：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4、其他要求：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第三条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包装要求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1、外包装质量要求：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包装牢固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适宜装卸运输。 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（1）外包装为纸箱的应当标注以下内容：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产品名称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规格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净重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等级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产地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商标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包装日期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（2）外包装为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，应当符合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2、内包装容器为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，规格：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 xml:space="preserve">，包装容器应当清洁、无毒、无异味，对茶叶产品应当具有良好保护作用。 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3、包装物由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方提供，费用由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方承担，乙方按甲方要求进行包装。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交（提）货地点、方式、验收办法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1、交（提）货方式按下列第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项办理：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（1）实行送货的，乙方应送往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（接收地点）。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（2）实行提货的，甲方到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（指定地点）提货。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2、验收地点：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3、验收办法：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结算办法：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货款的支付按下列第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项执行。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1、即时结清。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2、甲方应于茶叶交付之日起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日内结清货款。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3、合同签订后，甲方支付乙方定金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元（不得超过总价款的20%）；乙方交付茶叶后，甲方应于茶叶交付之日起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日内结清货款，定金抵作货款。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spacing w:before="0" w:after="0" w:line="420" w:lineRule="atLeast"/>
        <w:ind w:left="779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1、一方不履行或不完全履行合同，应偿付未履行货款总值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2、乙方延迟交货的，每延迟一日，应向甲方支付该批货款额万分之五的违约金。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3、甲方延迟付款的，每延迟一日，应向乙方支付该批货货款万分之五的违约金。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1、因受气候原因影响交（提）货时，经双方协商，交货日期可适当提前或推迟。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合同变更与解除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任何一方要求变更或解除合，应及时通知对方，并由双方达成书面协议，达成协议以前原合同仍然有效。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合同争议的解决方式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本合同在履行过程中发生争议，双方当事人协商解决，也可向工商行政管理部门申请调解，协商或调解不成的，按下列第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1、提交广州仲裁委员会仲裁。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b/>
          <w:bCs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本合同一式二份，甲乙双方各执一份。自双方签字盖章之日生效。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乙方：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法定代表人（或负责人）：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法定代表人（或负责人）：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账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账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ind w:right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MF—2009—002</dc:title>
  <cp:revision>1</cp:revision>
</cp:coreProperties>
</file>