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pacing w:val="-4"/>
          <w:sz w:val="28"/>
          <w:szCs w:val="28"/>
        </w:rPr>
        <w:t>GF—2015—0212</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tabs>
          <w:tab w:val="left" w:pos="6513"/>
        </w:tabs>
        <w:spacing w:before="188" w:after="0"/>
        <w:ind w:left="4062"/>
        <w:rPr>
          <w:rFonts w:ascii="Times New Roman" w:eastAsia="Times New Roman" w:hAnsi="Times New Roman" w:cs="Times New Roman"/>
          <w:sz w:val="22"/>
          <w:szCs w:val="22"/>
        </w:rPr>
      </w:pPr>
      <w:r>
        <w:rPr>
          <w:rFonts w:ascii="宋体" w:eastAsia="宋体" w:hAnsi="宋体" w:cs="宋体"/>
          <w:color w:val="231F20"/>
          <w:sz w:val="22"/>
          <w:szCs w:val="22"/>
        </w:rPr>
        <w:t>合同编号：</w:t>
      </w:r>
      <w:r>
        <w:rPr>
          <w:rFonts w:ascii="宋体" w:eastAsia="宋体" w:hAnsi="宋体" w:cs="宋体"/>
          <w:color w:val="231F20"/>
          <w:sz w:val="22"/>
          <w:szCs w:val="22"/>
        </w:rPr>
        <w:tab/>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5" w:after="0"/>
        <w:rPr>
          <w:rFonts w:ascii="Times New Roman" w:eastAsia="Times New Roman" w:hAnsi="Times New Roman" w:cs="Times New Roman"/>
          <w:sz w:val="29"/>
          <w:szCs w:val="29"/>
        </w:rPr>
      </w:pPr>
    </w:p>
    <w:p>
      <w:pPr>
        <w:widowControl w:val="0"/>
        <w:spacing w:before="0" w:after="0"/>
        <w:ind w:left="100" w:right="2633"/>
        <w:jc w:val="center"/>
        <w:rPr>
          <w:rFonts w:ascii="Times New Roman" w:eastAsia="Times New Roman" w:hAnsi="Times New Roman" w:cs="Times New Roman"/>
          <w:sz w:val="40"/>
          <w:szCs w:val="40"/>
        </w:rPr>
      </w:pPr>
      <w:r>
        <w:rPr>
          <w:rFonts w:ascii="宋体" w:eastAsia="宋体" w:hAnsi="宋体" w:cs="宋体"/>
          <w:color w:val="231F20"/>
          <w:sz w:val="40"/>
          <w:szCs w:val="40"/>
        </w:rPr>
        <w:t>建设工程造价咨询合同</w:t>
      </w:r>
    </w:p>
    <w:p>
      <w:pPr>
        <w:widowControl w:val="0"/>
        <w:spacing w:before="152" w:after="0"/>
        <w:ind w:left="100" w:right="2633"/>
        <w:jc w:val="center"/>
        <w:rPr>
          <w:rFonts w:ascii="Times New Roman" w:eastAsia="Times New Roman" w:hAnsi="Times New Roman" w:cs="Times New Roman"/>
          <w:sz w:val="28"/>
          <w:szCs w:val="28"/>
        </w:rPr>
        <w:sectPr>
          <w:pgSz w:w="12240" w:h="15840"/>
          <w:pgMar w:top="1440" w:right="1800" w:bottom="1440" w:left="1800" w:header="708" w:footer="708" w:gutter="0"/>
          <w:cols w:space="708"/>
          <w:docGrid w:linePitch="360"/>
        </w:sect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4" w:after="0"/>
        <w:rPr>
          <w:rFonts w:ascii="Times New Roman" w:eastAsia="Times New Roman" w:hAnsi="Times New Roman" w:cs="Times New Roman"/>
          <w:sz w:val="27"/>
          <w:szCs w:val="27"/>
        </w:rPr>
      </w:pPr>
    </w:p>
    <w:p>
      <w:pPr>
        <w:widowControl w:val="0"/>
        <w:spacing w:before="13" w:after="0" w:line="305" w:lineRule="atLeast"/>
        <w:ind w:left="2895"/>
        <w:rPr>
          <w:rFonts w:ascii="Times New Roman" w:eastAsia="Times New Roman" w:hAnsi="Times New Roman" w:cs="Times New Roman"/>
        </w:rPr>
      </w:pPr>
      <w:r>
        <w:rPr>
          <w:rFonts w:ascii="宋体" w:eastAsia="宋体" w:hAnsi="宋体" w:cs="宋体"/>
          <w:color w:val="231F20"/>
          <w:sz w:val="26"/>
          <w:szCs w:val="26"/>
        </w:rPr>
        <w:t>住 房 城 乡 建 设 部</w:t>
      </w:r>
    </w:p>
    <w:p>
      <w:pPr>
        <w:widowControl w:val="0"/>
        <w:spacing w:before="0" w:after="0" w:line="220" w:lineRule="atLeast"/>
        <w:ind w:left="5755"/>
        <w:rPr>
          <w:rFonts w:ascii="Times New Roman" w:eastAsia="Times New Roman" w:hAnsi="Times New Roman" w:cs="Times New Roman"/>
        </w:rPr>
      </w:pPr>
      <w:r>
        <w:rPr>
          <w:rFonts w:ascii="宋体" w:eastAsia="宋体" w:hAnsi="宋体" w:cs="宋体"/>
          <w:color w:val="231F20"/>
          <w:sz w:val="26"/>
          <w:szCs w:val="26"/>
        </w:rPr>
        <w:t>制定</w:t>
      </w:r>
    </w:p>
    <w:p>
      <w:pPr>
        <w:widowControl w:val="0"/>
        <w:spacing w:before="0" w:after="0" w:line="285" w:lineRule="atLeast"/>
        <w:ind w:left="2895"/>
        <w:rPr>
          <w:rFonts w:ascii="Times New Roman" w:eastAsia="Times New Roman" w:hAnsi="Times New Roman" w:cs="Times New Roman"/>
        </w:rPr>
      </w:pPr>
      <w:r>
        <w:rPr>
          <w:rFonts w:ascii="宋体" w:eastAsia="宋体" w:hAnsi="宋体" w:cs="宋体"/>
          <w:color w:val="231F20"/>
          <w:sz w:val="26"/>
          <w:szCs w:val="26"/>
        </w:rPr>
        <w:t>国家工商行政管理总局</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spacing w:before="3" w:after="0"/>
        <w:ind w:left="95" w:right="95"/>
        <w:jc w:val="center"/>
        <w:rPr>
          <w:rFonts w:ascii="Times New Roman" w:eastAsia="Times New Roman" w:hAnsi="Times New Roman" w:cs="Times New Roman"/>
          <w:sz w:val="28"/>
          <w:szCs w:val="28"/>
        </w:rPr>
      </w:pPr>
      <w:r>
        <w:rPr>
          <w:rFonts w:ascii="宋体" w:eastAsia="宋体" w:hAnsi="宋体" w:cs="宋体"/>
          <w:color w:val="231F20"/>
          <w:sz w:val="28"/>
          <w:szCs w:val="28"/>
        </w:rPr>
        <w:t>说明</w:t>
      </w:r>
    </w:p>
    <w:p>
      <w:pPr>
        <w:widowControl w:val="0"/>
        <w:spacing w:before="13" w:after="0"/>
        <w:rPr>
          <w:rFonts w:ascii="Times New Roman" w:eastAsia="Times New Roman" w:hAnsi="Times New Roman" w:cs="Times New Roman"/>
          <w:sz w:val="26"/>
          <w:szCs w:val="26"/>
        </w:rPr>
      </w:pPr>
    </w:p>
    <w:p>
      <w:pPr>
        <w:widowControl w:val="0"/>
        <w:spacing w:before="1" w:after="0" w:line="319" w:lineRule="auto"/>
        <w:ind w:left="217" w:right="107" w:firstLine="440"/>
        <w:jc w:val="both"/>
        <w:rPr>
          <w:rFonts w:ascii="Times New Roman" w:eastAsia="Times New Roman" w:hAnsi="Times New Roman" w:cs="Times New Roman"/>
          <w:sz w:val="22"/>
          <w:szCs w:val="22"/>
        </w:rPr>
      </w:pPr>
      <w:r>
        <w:rPr>
          <w:rFonts w:ascii="宋体" w:eastAsia="宋体" w:hAnsi="宋体" w:cs="宋体"/>
          <w:color w:val="231F20"/>
          <w:spacing w:val="-5"/>
          <w:sz w:val="22"/>
          <w:szCs w:val="22"/>
        </w:rPr>
        <w:t>为了指导建设工程造价咨询合同当事人的签约行为，维护合同当事人的合法权益，依据《中</w:t>
      </w:r>
      <w:r>
        <w:rPr>
          <w:rFonts w:ascii="宋体" w:eastAsia="宋体" w:hAnsi="宋体" w:cs="宋体"/>
          <w:color w:val="231F20"/>
          <w:spacing w:val="-24"/>
          <w:sz w:val="22"/>
          <w:szCs w:val="22"/>
        </w:rPr>
        <w:t>华人民共和国合同法》、《中华人民共和国建筑法》、《中华人民共和国招标投标法》以及相关法</w:t>
      </w:r>
      <w:r>
        <w:rPr>
          <w:rFonts w:ascii="宋体" w:eastAsia="宋体" w:hAnsi="宋体" w:cs="宋体"/>
          <w:color w:val="231F20"/>
          <w:spacing w:val="-8"/>
          <w:sz w:val="22"/>
          <w:szCs w:val="22"/>
        </w:rPr>
        <w:t>律法规，住房和城乡建设部、国家工商行政管理总局对《建设工程造价咨询合同</w:t>
      </w:r>
      <w:r>
        <w:rPr>
          <w:rFonts w:ascii="宋体" w:eastAsia="宋体" w:hAnsi="宋体" w:cs="宋体"/>
          <w:color w:val="231F20"/>
          <w:sz w:val="22"/>
          <w:szCs w:val="22"/>
        </w:rPr>
        <w:t>（示范文本</w:t>
      </w:r>
      <w:r>
        <w:rPr>
          <w:rFonts w:ascii="宋体" w:eastAsia="宋体" w:hAnsi="宋体" w:cs="宋体"/>
          <w:color w:val="231F20"/>
          <w:spacing w:val="-60"/>
          <w:sz w:val="22"/>
          <w:szCs w:val="22"/>
        </w:rPr>
        <w:t>）</w:t>
      </w:r>
      <w:r>
        <w:rPr>
          <w:rFonts w:ascii="宋体" w:eastAsia="宋体" w:hAnsi="宋体" w:cs="宋体"/>
          <w:color w:val="231F20"/>
          <w:sz w:val="22"/>
          <w:szCs w:val="22"/>
        </w:rPr>
        <w:t>》</w:t>
      </w:r>
    </w:p>
    <w:p>
      <w:pPr>
        <w:widowControl w:val="0"/>
        <w:spacing w:before="26" w:after="0"/>
        <w:ind w:left="95" w:right="207"/>
        <w:jc w:val="center"/>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5"/>
          <w:sz w:val="22"/>
          <w:szCs w:val="22"/>
        </w:rPr>
        <w:t>GF-2002-0212）</w:t>
      </w:r>
      <w:r>
        <w:rPr>
          <w:rFonts w:ascii="宋体" w:eastAsia="宋体" w:hAnsi="宋体" w:cs="宋体"/>
          <w:color w:val="231F20"/>
          <w:spacing w:val="-3"/>
          <w:sz w:val="22"/>
          <w:szCs w:val="22"/>
        </w:rPr>
        <w:t>进行了修订，制定了《建设工程造价咨询合同</w:t>
      </w:r>
      <w:r>
        <w:rPr>
          <w:rFonts w:ascii="宋体" w:eastAsia="宋体" w:hAnsi="宋体" w:cs="宋体"/>
          <w:color w:val="231F20"/>
          <w:sz w:val="22"/>
          <w:szCs w:val="22"/>
        </w:rPr>
        <w:t>（示范文本</w:t>
      </w:r>
      <w:r>
        <w:rPr>
          <w:rFonts w:ascii="宋体" w:eastAsia="宋体" w:hAnsi="宋体" w:cs="宋体"/>
          <w:color w:val="231F20"/>
          <w:spacing w:val="-60"/>
          <w:sz w:val="22"/>
          <w:szCs w:val="22"/>
        </w:rPr>
        <w:t>）</w:t>
      </w:r>
      <w:r>
        <w:rPr>
          <w:rFonts w:ascii="宋体" w:eastAsia="宋体" w:hAnsi="宋体" w:cs="宋体"/>
          <w:color w:val="231F20"/>
          <w:spacing w:val="-115"/>
          <w:sz w:val="22"/>
          <w:szCs w:val="22"/>
        </w:rPr>
        <w:t>》</w:t>
      </w:r>
      <w:r>
        <w:rPr>
          <w:rFonts w:ascii="宋体" w:eastAsia="宋体" w:hAnsi="宋体" w:cs="宋体"/>
          <w:color w:val="231F20"/>
          <w:sz w:val="22"/>
          <w:szCs w:val="22"/>
        </w:rPr>
        <w:t xml:space="preserve">（ </w:t>
      </w:r>
      <w:r>
        <w:rPr>
          <w:rFonts w:ascii="宋体" w:eastAsia="宋体" w:hAnsi="宋体" w:cs="宋体"/>
          <w:color w:val="231F20"/>
          <w:spacing w:val="-5"/>
          <w:sz w:val="22"/>
          <w:szCs w:val="22"/>
        </w:rPr>
        <w:t>GF-2015</w:t>
      </w:r>
      <w:r>
        <w:rPr>
          <w:rFonts w:ascii="宋体" w:eastAsia="宋体" w:hAnsi="宋体" w:cs="宋体"/>
          <w:color w:val="231F20"/>
          <w:spacing w:val="-2"/>
          <w:sz w:val="22"/>
          <w:szCs w:val="22"/>
        </w:rPr>
        <w:t xml:space="preserve">- </w:t>
      </w:r>
      <w:r>
        <w:rPr>
          <w:rFonts w:ascii="宋体" w:eastAsia="宋体" w:hAnsi="宋体" w:cs="宋体"/>
          <w:color w:val="231F20"/>
          <w:spacing w:val="-5"/>
          <w:sz w:val="22"/>
          <w:szCs w:val="22"/>
        </w:rPr>
        <w:t>0212</w:t>
      </w:r>
    </w:p>
    <w:p>
      <w:pPr>
        <w:widowControl w:val="0"/>
        <w:spacing w:before="109" w:after="0"/>
        <w:ind w:left="52" w:right="207"/>
        <w:jc w:val="center"/>
        <w:rPr>
          <w:rFonts w:ascii="Times New Roman" w:eastAsia="Times New Roman" w:hAnsi="Times New Roman" w:cs="Times New Roman"/>
          <w:sz w:val="22"/>
          <w:szCs w:val="22"/>
        </w:rPr>
      </w:pPr>
      <w:r>
        <w:rPr>
          <w:rFonts w:ascii="宋体" w:eastAsia="宋体" w:hAnsi="宋体" w:cs="宋体"/>
          <w:color w:val="231F20"/>
          <w:spacing w:val="-115"/>
          <w:sz w:val="22"/>
          <w:szCs w:val="22"/>
        </w:rPr>
        <w:t>）</w:t>
      </w:r>
      <w:r>
        <w:rPr>
          <w:rFonts w:ascii="宋体" w:eastAsia="宋体" w:hAnsi="宋体" w:cs="宋体"/>
          <w:color w:val="231F20"/>
          <w:spacing w:val="-5"/>
          <w:sz w:val="22"/>
          <w:szCs w:val="22"/>
        </w:rPr>
        <w:t>（</w:t>
      </w:r>
      <w:r>
        <w:rPr>
          <w:rFonts w:ascii="宋体" w:eastAsia="宋体" w:hAnsi="宋体" w:cs="宋体"/>
          <w:color w:val="231F20"/>
          <w:spacing w:val="-11"/>
          <w:sz w:val="22"/>
          <w:szCs w:val="22"/>
        </w:rPr>
        <w:t>以下简称《示范文本》</w:t>
      </w:r>
      <w:r>
        <w:rPr>
          <w:rFonts w:ascii="宋体" w:eastAsia="宋体" w:hAnsi="宋体" w:cs="宋体"/>
          <w:color w:val="231F20"/>
          <w:spacing w:val="-87"/>
          <w:sz w:val="22"/>
          <w:szCs w:val="22"/>
        </w:rPr>
        <w:t>）</w:t>
      </w:r>
      <w:r>
        <w:rPr>
          <w:rFonts w:ascii="宋体" w:eastAsia="宋体" w:hAnsi="宋体" w:cs="宋体"/>
          <w:color w:val="231F20"/>
          <w:spacing w:val="-12"/>
          <w:sz w:val="22"/>
          <w:szCs w:val="22"/>
        </w:rPr>
        <w:t>。为了便于合同当事人使用《示范文本》，现就有关问题说明如下：</w:t>
      </w:r>
    </w:p>
    <w:p>
      <w:pPr>
        <w:widowControl w:val="0"/>
        <w:spacing w:before="103" w:after="0"/>
        <w:ind w:left="657"/>
        <w:rPr>
          <w:rFonts w:ascii="Times New Roman" w:eastAsia="Times New Roman" w:hAnsi="Times New Roman" w:cs="Times New Roman"/>
          <w:sz w:val="22"/>
          <w:szCs w:val="22"/>
        </w:rPr>
      </w:pPr>
      <w:r>
        <w:rPr>
          <w:rFonts w:ascii="宋体" w:eastAsia="宋体" w:hAnsi="宋体" w:cs="宋体"/>
          <w:color w:val="231F20"/>
          <w:sz w:val="22"/>
          <w:szCs w:val="22"/>
        </w:rPr>
        <w:t>一、《示范文本》的组成</w:t>
      </w:r>
    </w:p>
    <w:p>
      <w:pPr>
        <w:widowControl w:val="0"/>
        <w:spacing w:before="122" w:after="0"/>
        <w:ind w:left="547"/>
        <w:rPr>
          <w:rFonts w:ascii="Times New Roman" w:eastAsia="Times New Roman" w:hAnsi="Times New Roman" w:cs="Times New Roman"/>
          <w:sz w:val="22"/>
          <w:szCs w:val="22"/>
        </w:rPr>
      </w:pPr>
      <w:r>
        <w:rPr>
          <w:rFonts w:ascii="宋体" w:eastAsia="宋体" w:hAnsi="宋体" w:cs="宋体"/>
          <w:color w:val="231F20"/>
          <w:sz w:val="22"/>
          <w:szCs w:val="22"/>
        </w:rPr>
        <w:t>《示范文本》由协议书、通用条件和专用条件三部分组成。</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（一）协议书</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《示范文本》协议书集中约定了合同当事人基本的合同权利义务。</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（二）通用条件</w:t>
      </w:r>
    </w:p>
    <w:p>
      <w:pPr>
        <w:widowControl w:val="0"/>
        <w:spacing w:before="109" w:after="0" w:line="319" w:lineRule="auto"/>
        <w:ind w:left="217" w:right="210" w:firstLine="440"/>
        <w:jc w:val="both"/>
        <w:rPr>
          <w:rFonts w:ascii="Times New Roman" w:eastAsia="Times New Roman" w:hAnsi="Times New Roman" w:cs="Times New Roman"/>
          <w:sz w:val="22"/>
          <w:szCs w:val="22"/>
        </w:rPr>
      </w:pPr>
      <w:r>
        <w:rPr>
          <w:rFonts w:ascii="宋体" w:eastAsia="宋体" w:hAnsi="宋体" w:cs="宋体"/>
          <w:color w:val="231F20"/>
          <w:spacing w:val="-10"/>
          <w:sz w:val="22"/>
          <w:szCs w:val="22"/>
        </w:rPr>
        <w:t>通用条件是合同当事人根据《中华人民共和国合同法》、《中华人民共和国建筑法》等法律</w:t>
      </w:r>
      <w:r>
        <w:rPr>
          <w:rFonts w:ascii="宋体" w:eastAsia="宋体" w:hAnsi="宋体" w:cs="宋体"/>
          <w:color w:val="231F20"/>
          <w:spacing w:val="2"/>
          <w:sz w:val="22"/>
          <w:szCs w:val="22"/>
        </w:rPr>
        <w:t>法规的规定，就工程造价咨询的实施及相关事项，对合同当事人的权利义务作出的原则性约</w:t>
      </w:r>
      <w:r>
        <w:rPr>
          <w:rFonts w:ascii="宋体" w:eastAsia="宋体" w:hAnsi="宋体" w:cs="宋体"/>
          <w:color w:val="231F20"/>
          <w:sz w:val="22"/>
          <w:szCs w:val="22"/>
        </w:rPr>
        <w:t>定。</w:t>
      </w:r>
    </w:p>
    <w:p>
      <w:pPr>
        <w:widowControl w:val="0"/>
        <w:spacing w:before="25" w:after="0" w:line="319" w:lineRule="auto"/>
        <w:ind w:left="2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通用条件既考虑了现行法律法规对工程发承包计价的有关要求，也考虑了工程造价咨询管理的特殊需要。</w:t>
      </w:r>
    </w:p>
    <w:p>
      <w:pPr>
        <w:widowControl w:val="0"/>
        <w:spacing w:before="25" w:after="0"/>
        <w:ind w:left="547"/>
        <w:rPr>
          <w:rFonts w:ascii="Times New Roman" w:eastAsia="Times New Roman" w:hAnsi="Times New Roman" w:cs="Times New Roman"/>
          <w:sz w:val="22"/>
          <w:szCs w:val="22"/>
        </w:rPr>
      </w:pPr>
      <w:r>
        <w:rPr>
          <w:rFonts w:ascii="宋体" w:eastAsia="宋体" w:hAnsi="宋体" w:cs="宋体"/>
          <w:color w:val="231F20"/>
          <w:sz w:val="22"/>
          <w:szCs w:val="22"/>
        </w:rPr>
        <w:t>（三）专用条件</w:t>
      </w:r>
    </w:p>
    <w:p>
      <w:pPr>
        <w:widowControl w:val="0"/>
        <w:spacing w:before="109" w:after="0" w:line="319" w:lineRule="auto"/>
        <w:ind w:left="2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专用条件是对通用条件原则性约定的细化、完善、补充、修改或另行约定的条件。合同当事人可以根据不同建设工程的特点及发承包计价的具体情况，通过双方的谈判、协商对相应的专用条件进行修改补充。在使用专用条件时，应注意以下事项：</w:t>
      </w:r>
    </w:p>
    <w:p>
      <w:pPr>
        <w:widowControl w:val="0"/>
        <w:numPr>
          <w:ilvl w:val="0"/>
          <w:numId w:val="1"/>
        </w:numPr>
        <w:tabs>
          <w:tab w:val="left" w:pos="967"/>
        </w:tabs>
        <w:spacing w:before="26"/>
        <w:ind w:left="2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专用条件的编号应与相应的通用条件的编号一致；</w:t>
      </w:r>
    </w:p>
    <w:p>
      <w:pPr>
        <w:widowControl w:val="0"/>
        <w:numPr>
          <w:ilvl w:val="0"/>
          <w:numId w:val="1"/>
        </w:numPr>
        <w:tabs>
          <w:tab w:val="left" w:pos="967"/>
        </w:tabs>
        <w:spacing w:before="109" w:line="319" w:lineRule="auto"/>
        <w:ind w:left="217" w:right="212"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合同当事人可以通过对专用条件的修改，满足具体工程的特殊要求，避免直接修改通用条件；</w:t>
      </w:r>
    </w:p>
    <w:p>
      <w:pPr>
        <w:widowControl w:val="0"/>
        <w:numPr>
          <w:ilvl w:val="0"/>
          <w:numId w:val="1"/>
        </w:numPr>
        <w:tabs>
          <w:tab w:val="left" w:pos="967"/>
        </w:tabs>
        <w:spacing w:before="25" w:after="0" w:line="319" w:lineRule="auto"/>
        <w:ind w:left="217" w:right="213"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在专用条件中有横道线的地方，合同当事人可针对相应的通用条件进行细化、完善、补</w:t>
      </w:r>
      <w:r>
        <w:rPr>
          <w:rFonts w:ascii="宋体" w:eastAsia="宋体" w:hAnsi="宋体" w:cs="宋体"/>
          <w:color w:val="231F20"/>
          <w:spacing w:val="-7"/>
          <w:sz w:val="22"/>
          <w:szCs w:val="22"/>
        </w:rPr>
        <w:t xml:space="preserve">充、修改或另行约定；如无细化、完善、补充、修改或另行约定，则填写“无”或划“ </w:t>
      </w:r>
      <w:r>
        <w:rPr>
          <w:rFonts w:ascii="宋体" w:eastAsia="宋体" w:hAnsi="宋体" w:cs="宋体"/>
          <w:color w:val="231F20"/>
          <w:spacing w:val="-42"/>
          <w:sz w:val="22"/>
          <w:szCs w:val="22"/>
        </w:rPr>
        <w:t>/</w:t>
      </w:r>
      <w:r>
        <w:rPr>
          <w:rFonts w:ascii="宋体" w:eastAsia="宋体" w:hAnsi="宋体" w:cs="宋体"/>
          <w:color w:val="231F20"/>
          <w:spacing w:val="-21"/>
          <w:sz w:val="22"/>
          <w:szCs w:val="22"/>
        </w:rPr>
        <w:t>”。</w:t>
      </w:r>
    </w:p>
    <w:p>
      <w:pPr>
        <w:widowControl w:val="0"/>
        <w:spacing w:before="19" w:after="0"/>
        <w:ind w:left="657"/>
        <w:rPr>
          <w:rFonts w:ascii="Times New Roman" w:eastAsia="Times New Roman" w:hAnsi="Times New Roman" w:cs="Times New Roman"/>
          <w:sz w:val="22"/>
          <w:szCs w:val="22"/>
        </w:rPr>
      </w:pPr>
      <w:r>
        <w:rPr>
          <w:rFonts w:ascii="宋体" w:eastAsia="宋体" w:hAnsi="宋体" w:cs="宋体"/>
          <w:color w:val="231F20"/>
          <w:sz w:val="22"/>
          <w:szCs w:val="22"/>
        </w:rPr>
        <w:t>二、《示范文本》的性质和适用范围</w:t>
      </w:r>
    </w:p>
    <w:p>
      <w:pPr>
        <w:widowControl w:val="0"/>
        <w:spacing w:before="122" w:after="0" w:line="319" w:lineRule="auto"/>
        <w:ind w:left="217" w:right="208"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示范文本》供合同双方当事人参照使用，可适用于各类建设工程全过程造价咨询服务以及阶段性造价咨询服务的合同订立。合同当事人可结合建设工程具体情况，按照法律法规规定，根据《示范文本》的内容，约定双方具体的权利义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559"/>
        </w:tabs>
        <w:spacing w:before="174" w:after="0"/>
        <w:ind w:right="378"/>
        <w:jc w:val="center"/>
        <w:rPr>
          <w:rFonts w:ascii="Times New Roman" w:eastAsia="Times New Roman" w:hAnsi="Times New Roman" w:cs="Times New Roman"/>
          <w:sz w:val="28"/>
          <w:szCs w:val="28"/>
        </w:rPr>
      </w:pPr>
      <w:r>
        <w:rPr>
          <w:rFonts w:ascii="宋体" w:eastAsia="宋体" w:hAnsi="宋体" w:cs="宋体"/>
          <w:color w:val="231F20"/>
          <w:sz w:val="28"/>
          <w:szCs w:val="28"/>
        </w:rPr>
        <w:t>目</w:t>
      </w:r>
      <w:r>
        <w:rPr>
          <w:rFonts w:ascii="宋体" w:eastAsia="宋体" w:hAnsi="宋体" w:cs="宋体"/>
          <w:color w:val="231F20"/>
          <w:sz w:val="28"/>
          <w:szCs w:val="28"/>
        </w:rPr>
        <w:tab/>
      </w:r>
      <w:r>
        <w:rPr>
          <w:rFonts w:ascii="宋体" w:eastAsia="宋体" w:hAnsi="宋体" w:cs="宋体"/>
          <w:color w:val="231F20"/>
          <w:sz w:val="28"/>
          <w:szCs w:val="28"/>
        </w:rPr>
        <w:t>录</w:t>
      </w:r>
    </w:p>
    <w:p>
      <w:pPr>
        <w:widowControl w:val="0"/>
        <w:spacing w:before="8" w:after="0"/>
        <w:rPr>
          <w:rFonts w:ascii="Times New Roman" w:eastAsia="Times New Roman" w:hAnsi="Times New Roman" w:cs="Times New Roman"/>
          <w:sz w:val="26"/>
          <w:szCs w:val="26"/>
        </w:rPr>
      </w:pPr>
    </w:p>
    <w:p>
      <w:pPr>
        <w:widowControl w:val="0"/>
        <w:tabs>
          <w:tab w:val="left" w:pos="1277"/>
        </w:tabs>
        <w:spacing w:before="0" w:after="0"/>
        <w:ind w:left="177"/>
        <w:rPr>
          <w:rFonts w:ascii="Times New Roman" w:eastAsia="Times New Roman" w:hAnsi="Times New Roman" w:cs="Times New Roman"/>
          <w:sz w:val="22"/>
          <w:szCs w:val="22"/>
        </w:rPr>
      </w:pPr>
      <w:r>
        <w:rPr>
          <w:rFonts w:ascii="宋体" w:eastAsia="宋体" w:hAnsi="宋体" w:cs="宋体"/>
          <w:color w:val="231F20"/>
          <w:sz w:val="22"/>
          <w:szCs w:val="22"/>
        </w:rPr>
        <w:t>第一部分</w:t>
      </w:r>
      <w:r>
        <w:rPr>
          <w:rFonts w:ascii="宋体" w:eastAsia="宋体" w:hAnsi="宋体" w:cs="宋体"/>
          <w:color w:val="231F20"/>
          <w:sz w:val="22"/>
          <w:szCs w:val="22"/>
        </w:rPr>
        <w:tab/>
      </w:r>
      <w:r>
        <w:rPr>
          <w:rFonts w:ascii="宋体" w:eastAsia="宋体" w:hAnsi="宋体" w:cs="宋体"/>
          <w:color w:val="231F20"/>
          <w:sz w:val="22"/>
          <w:szCs w:val="22"/>
        </w:rPr>
        <w:t>协议书</w:t>
      </w:r>
    </w:p>
    <w:p>
      <w:pPr>
        <w:widowControl w:val="0"/>
        <w:spacing w:before="121" w:after="0"/>
        <w:ind w:left="177"/>
        <w:rPr>
          <w:rFonts w:ascii="Times New Roman" w:eastAsia="Times New Roman" w:hAnsi="Times New Roman" w:cs="Times New Roman"/>
          <w:sz w:val="22"/>
          <w:szCs w:val="22"/>
        </w:rPr>
      </w:pPr>
      <w:r>
        <w:rPr>
          <w:rFonts w:ascii="宋体" w:eastAsia="宋体" w:hAnsi="宋体" w:cs="宋体"/>
          <w:color w:val="231F20"/>
          <w:sz w:val="22"/>
          <w:szCs w:val="22"/>
        </w:rPr>
        <w:t>一、工程概况</w:t>
      </w:r>
    </w:p>
    <w:p>
      <w:pPr>
        <w:widowControl w:val="0"/>
        <w:spacing w:before="108" w:after="0" w:line="319" w:lineRule="auto"/>
        <w:ind w:left="177" w:right="6313"/>
        <w:rPr>
          <w:rFonts w:ascii="Times New Roman" w:eastAsia="Times New Roman" w:hAnsi="Times New Roman" w:cs="Times New Roman"/>
          <w:sz w:val="22"/>
          <w:szCs w:val="22"/>
        </w:rPr>
      </w:pPr>
      <w:r>
        <w:rPr>
          <w:rFonts w:ascii="宋体" w:eastAsia="宋体" w:hAnsi="宋体" w:cs="宋体"/>
          <w:color w:val="231F20"/>
          <w:sz w:val="22"/>
          <w:szCs w:val="22"/>
        </w:rPr>
        <w:t>二、服务范围及工作内容三、服务期限</w:t>
      </w:r>
    </w:p>
    <w:p>
      <w:pPr>
        <w:widowControl w:val="0"/>
        <w:spacing w:before="25" w:after="0"/>
        <w:ind w:left="177"/>
        <w:rPr>
          <w:rFonts w:ascii="Times New Roman" w:eastAsia="Times New Roman" w:hAnsi="Times New Roman" w:cs="Times New Roman"/>
          <w:sz w:val="22"/>
          <w:szCs w:val="22"/>
        </w:rPr>
      </w:pPr>
      <w:r>
        <w:rPr>
          <w:rFonts w:ascii="宋体" w:eastAsia="宋体" w:hAnsi="宋体" w:cs="宋体"/>
          <w:color w:val="231F20"/>
          <w:sz w:val="22"/>
          <w:szCs w:val="22"/>
        </w:rPr>
        <w:t>四、质量标准</w:t>
      </w:r>
    </w:p>
    <w:p>
      <w:pPr>
        <w:widowControl w:val="0"/>
        <w:spacing w:before="109" w:after="0" w:line="319" w:lineRule="auto"/>
        <w:ind w:left="177" w:right="6766"/>
        <w:jc w:val="both"/>
        <w:rPr>
          <w:rFonts w:ascii="Times New Roman" w:eastAsia="Times New Roman" w:hAnsi="Times New Roman" w:cs="Times New Roman"/>
          <w:sz w:val="22"/>
          <w:szCs w:val="22"/>
        </w:rPr>
      </w:pPr>
      <w:r>
        <w:rPr>
          <w:rFonts w:ascii="宋体" w:eastAsia="宋体" w:hAnsi="宋体" w:cs="宋体"/>
          <w:color w:val="231F20"/>
          <w:sz w:val="22"/>
          <w:szCs w:val="22"/>
        </w:rPr>
        <w:t>五、酬金或计取方式六、合同文件的构成七、词语定义</w:t>
      </w:r>
    </w:p>
    <w:p>
      <w:pPr>
        <w:widowControl w:val="0"/>
        <w:spacing w:before="26" w:after="0" w:line="319" w:lineRule="auto"/>
        <w:ind w:left="177" w:right="7426"/>
        <w:jc w:val="both"/>
        <w:rPr>
          <w:rFonts w:ascii="Times New Roman" w:eastAsia="Times New Roman" w:hAnsi="Times New Roman" w:cs="Times New Roman"/>
          <w:sz w:val="22"/>
          <w:szCs w:val="22"/>
        </w:rPr>
      </w:pPr>
      <w:r>
        <w:rPr>
          <w:rFonts w:ascii="宋体" w:eastAsia="宋体" w:hAnsi="宋体" w:cs="宋体"/>
          <w:color w:val="231F20"/>
          <w:sz w:val="22"/>
          <w:szCs w:val="22"/>
        </w:rPr>
        <w:t>八、合同订立九、合同生效十、合同份数</w:t>
      </w:r>
    </w:p>
    <w:p>
      <w:pPr>
        <w:widowControl w:val="0"/>
        <w:spacing w:before="20" w:after="0"/>
        <w:ind w:left="177"/>
        <w:jc w:val="both"/>
        <w:rPr>
          <w:rFonts w:ascii="Times New Roman" w:eastAsia="Times New Roman" w:hAnsi="Times New Roman" w:cs="Times New Roman"/>
          <w:sz w:val="22"/>
          <w:szCs w:val="22"/>
        </w:rPr>
      </w:pPr>
      <w:r>
        <w:rPr>
          <w:rFonts w:ascii="宋体" w:eastAsia="宋体" w:hAnsi="宋体" w:cs="宋体"/>
          <w:color w:val="231F20"/>
          <w:sz w:val="22"/>
          <w:szCs w:val="22"/>
        </w:rPr>
        <w:t>第二部分</w:t>
      </w:r>
      <w:r>
        <w:rPr>
          <w:rFonts w:ascii="宋体" w:eastAsia="宋体" w:hAnsi="宋体" w:cs="宋体"/>
          <w:color w:val="231F20"/>
          <w:sz w:val="22"/>
          <w:szCs w:val="22"/>
        </w:rPr>
        <w:t xml:space="preserve">   </w:t>
      </w:r>
      <w:r>
        <w:rPr>
          <w:rFonts w:ascii="宋体" w:eastAsia="宋体" w:hAnsi="宋体" w:cs="宋体"/>
          <w:color w:val="231F20"/>
          <w:sz w:val="22"/>
          <w:szCs w:val="22"/>
        </w:rPr>
        <w:t>通用条件</w:t>
      </w:r>
    </w:p>
    <w:p>
      <w:pPr>
        <w:widowControl w:val="0"/>
        <w:numPr>
          <w:ilvl w:val="0"/>
          <w:numId w:val="2"/>
        </w:numPr>
        <w:spacing w:before="122"/>
        <w:ind w:left="39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词语定义、语言、解释顺序与适用法律</w:t>
      </w:r>
    </w:p>
    <w:p>
      <w:pPr>
        <w:widowControl w:val="0"/>
        <w:numPr>
          <w:ilvl w:val="1"/>
          <w:numId w:val="2"/>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词语定义</w:t>
      </w:r>
    </w:p>
    <w:p>
      <w:pPr>
        <w:widowControl w:val="0"/>
        <w:numPr>
          <w:ilvl w:val="1"/>
          <w:numId w:val="2"/>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语言</w:t>
      </w:r>
    </w:p>
    <w:p>
      <w:pPr>
        <w:widowControl w:val="0"/>
        <w:numPr>
          <w:ilvl w:val="1"/>
          <w:numId w:val="2"/>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合同文件的优先顺序</w:t>
      </w:r>
    </w:p>
    <w:p>
      <w:pPr>
        <w:widowControl w:val="0"/>
        <w:numPr>
          <w:ilvl w:val="1"/>
          <w:numId w:val="2"/>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适用法律</w:t>
      </w:r>
    </w:p>
    <w:p>
      <w:pPr>
        <w:widowControl w:val="0"/>
        <w:numPr>
          <w:ilvl w:val="0"/>
          <w:numId w:val="2"/>
        </w:numPr>
        <w:spacing w:before="109"/>
        <w:ind w:left="39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委托人的义务</w:t>
      </w:r>
    </w:p>
    <w:p>
      <w:pPr>
        <w:widowControl w:val="0"/>
        <w:numPr>
          <w:ilvl w:val="1"/>
          <w:numId w:val="2"/>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提供资料</w:t>
      </w:r>
    </w:p>
    <w:p>
      <w:pPr>
        <w:widowControl w:val="0"/>
        <w:numPr>
          <w:ilvl w:val="1"/>
          <w:numId w:val="2"/>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提供工作条件</w:t>
      </w:r>
    </w:p>
    <w:p>
      <w:pPr>
        <w:widowControl w:val="0"/>
        <w:numPr>
          <w:ilvl w:val="1"/>
          <w:numId w:val="2"/>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合理工作时限</w:t>
      </w:r>
    </w:p>
    <w:p>
      <w:pPr>
        <w:widowControl w:val="0"/>
        <w:numPr>
          <w:ilvl w:val="1"/>
          <w:numId w:val="2"/>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委托人代表</w:t>
      </w:r>
    </w:p>
    <w:p>
      <w:pPr>
        <w:widowControl w:val="0"/>
        <w:numPr>
          <w:ilvl w:val="1"/>
          <w:numId w:val="2"/>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答复</w:t>
      </w:r>
    </w:p>
    <w:p>
      <w:pPr>
        <w:widowControl w:val="0"/>
        <w:numPr>
          <w:ilvl w:val="1"/>
          <w:numId w:val="2"/>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w:t>
      </w:r>
    </w:p>
    <w:p>
      <w:pPr>
        <w:widowControl w:val="0"/>
        <w:numPr>
          <w:ilvl w:val="0"/>
          <w:numId w:val="2"/>
        </w:numPr>
        <w:spacing w:before="109"/>
        <w:ind w:left="39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咨询人的义务</w:t>
      </w:r>
    </w:p>
    <w:p>
      <w:pPr>
        <w:widowControl w:val="0"/>
        <w:numPr>
          <w:ilvl w:val="1"/>
          <w:numId w:val="2"/>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项目咨询团队及人员</w:t>
      </w:r>
    </w:p>
    <w:p>
      <w:pPr>
        <w:widowControl w:val="0"/>
        <w:numPr>
          <w:ilvl w:val="1"/>
          <w:numId w:val="2"/>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咨询人的工作要求</w:t>
      </w:r>
    </w:p>
    <w:p>
      <w:pPr>
        <w:widowControl w:val="0"/>
        <w:numPr>
          <w:ilvl w:val="1"/>
          <w:numId w:val="2"/>
        </w:numPr>
        <w:spacing w:before="109" w:after="0"/>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咨询人的工作依据</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0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使用委托人房屋及设备的返还</w:t>
      </w:r>
    </w:p>
    <w:p>
      <w:pPr>
        <w:widowControl w:val="0"/>
        <w:numPr>
          <w:ilvl w:val="0"/>
          <w:numId w:val="3"/>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违约责任</w:t>
      </w:r>
    </w:p>
    <w:p>
      <w:pPr>
        <w:widowControl w:val="0"/>
        <w:numPr>
          <w:ilvl w:val="1"/>
          <w:numId w:val="3"/>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委托人的违约责任</w:t>
      </w:r>
    </w:p>
    <w:p>
      <w:pPr>
        <w:widowControl w:val="0"/>
        <w:numPr>
          <w:ilvl w:val="1"/>
          <w:numId w:val="3"/>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咨询人的违约责任</w:t>
      </w:r>
    </w:p>
    <w:p>
      <w:pPr>
        <w:widowControl w:val="0"/>
        <w:numPr>
          <w:ilvl w:val="0"/>
          <w:numId w:val="3"/>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w:t>
      </w:r>
    </w:p>
    <w:p>
      <w:pPr>
        <w:widowControl w:val="0"/>
        <w:numPr>
          <w:ilvl w:val="1"/>
          <w:numId w:val="3"/>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支付货币</w:t>
      </w:r>
    </w:p>
    <w:p>
      <w:pPr>
        <w:widowControl w:val="0"/>
        <w:numPr>
          <w:ilvl w:val="1"/>
          <w:numId w:val="3"/>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支付申请</w:t>
      </w:r>
    </w:p>
    <w:p>
      <w:pPr>
        <w:widowControl w:val="0"/>
        <w:numPr>
          <w:ilvl w:val="1"/>
          <w:numId w:val="3"/>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支付酬金</w:t>
      </w:r>
    </w:p>
    <w:p>
      <w:pPr>
        <w:widowControl w:val="0"/>
        <w:numPr>
          <w:ilvl w:val="1"/>
          <w:numId w:val="3"/>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有异议部分的支付</w:t>
      </w:r>
    </w:p>
    <w:p>
      <w:pPr>
        <w:widowControl w:val="0"/>
        <w:numPr>
          <w:ilvl w:val="0"/>
          <w:numId w:val="3"/>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合同变更、解除与终止</w:t>
      </w:r>
    </w:p>
    <w:p>
      <w:pPr>
        <w:widowControl w:val="0"/>
        <w:numPr>
          <w:ilvl w:val="1"/>
          <w:numId w:val="3"/>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合同变更</w:t>
      </w:r>
    </w:p>
    <w:p>
      <w:pPr>
        <w:widowControl w:val="0"/>
        <w:numPr>
          <w:ilvl w:val="1"/>
          <w:numId w:val="3"/>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合同解除</w:t>
      </w:r>
    </w:p>
    <w:p>
      <w:pPr>
        <w:widowControl w:val="0"/>
        <w:numPr>
          <w:ilvl w:val="1"/>
          <w:numId w:val="3"/>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合同终止</w:t>
      </w:r>
    </w:p>
    <w:p>
      <w:pPr>
        <w:widowControl w:val="0"/>
        <w:numPr>
          <w:ilvl w:val="0"/>
          <w:numId w:val="3"/>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争议解决</w:t>
      </w:r>
    </w:p>
    <w:p>
      <w:pPr>
        <w:widowControl w:val="0"/>
        <w:numPr>
          <w:ilvl w:val="1"/>
          <w:numId w:val="3"/>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协商</w:t>
      </w:r>
    </w:p>
    <w:p>
      <w:pPr>
        <w:widowControl w:val="0"/>
        <w:numPr>
          <w:ilvl w:val="1"/>
          <w:numId w:val="3"/>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调解</w:t>
      </w:r>
    </w:p>
    <w:p>
      <w:pPr>
        <w:widowControl w:val="0"/>
        <w:numPr>
          <w:ilvl w:val="1"/>
          <w:numId w:val="3"/>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仲裁或诉讼</w:t>
      </w:r>
    </w:p>
    <w:p>
      <w:pPr>
        <w:widowControl w:val="0"/>
        <w:numPr>
          <w:ilvl w:val="0"/>
          <w:numId w:val="3"/>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其他</w:t>
      </w:r>
    </w:p>
    <w:p>
      <w:pPr>
        <w:widowControl w:val="0"/>
        <w:numPr>
          <w:ilvl w:val="1"/>
          <w:numId w:val="3"/>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考察及相关费用</w:t>
      </w:r>
    </w:p>
    <w:p>
      <w:pPr>
        <w:widowControl w:val="0"/>
        <w:numPr>
          <w:ilvl w:val="1"/>
          <w:numId w:val="3"/>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奖励</w:t>
      </w:r>
    </w:p>
    <w:p>
      <w:pPr>
        <w:widowControl w:val="0"/>
        <w:numPr>
          <w:ilvl w:val="1"/>
          <w:numId w:val="3"/>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保密</w:t>
      </w:r>
    </w:p>
    <w:p>
      <w:pPr>
        <w:widowControl w:val="0"/>
        <w:numPr>
          <w:ilvl w:val="1"/>
          <w:numId w:val="3"/>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联络</w:t>
      </w:r>
    </w:p>
    <w:p>
      <w:pPr>
        <w:widowControl w:val="0"/>
        <w:numPr>
          <w:ilvl w:val="1"/>
          <w:numId w:val="3"/>
        </w:numPr>
        <w:spacing w:before="109" w:after="0"/>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知识产权</w:t>
      </w:r>
    </w:p>
    <w:p>
      <w:pPr>
        <w:widowControl w:val="0"/>
        <w:tabs>
          <w:tab w:val="left" w:pos="165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第三部分</w:t>
      </w:r>
      <w:r>
        <w:rPr>
          <w:rFonts w:ascii="宋体" w:eastAsia="宋体" w:hAnsi="宋体" w:cs="宋体"/>
          <w:color w:val="231F20"/>
          <w:sz w:val="22"/>
          <w:szCs w:val="22"/>
        </w:rPr>
        <w:tab/>
      </w:r>
      <w:r>
        <w:rPr>
          <w:rFonts w:ascii="宋体" w:eastAsia="宋体" w:hAnsi="宋体" w:cs="宋体"/>
          <w:color w:val="231F20"/>
          <w:sz w:val="22"/>
          <w:szCs w:val="22"/>
        </w:rPr>
        <w:t>专用条件</w:t>
      </w:r>
    </w:p>
    <w:p>
      <w:pPr>
        <w:widowControl w:val="0"/>
        <w:numPr>
          <w:ilvl w:val="0"/>
          <w:numId w:val="4"/>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词语定义、语言、解释顺序与适用法律</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语言</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合同文件的优先顺序</w:t>
      </w:r>
    </w:p>
    <w:p>
      <w:pPr>
        <w:widowControl w:val="0"/>
        <w:numPr>
          <w:ilvl w:val="1"/>
          <w:numId w:val="4"/>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适用法律</w:t>
      </w:r>
    </w:p>
    <w:p>
      <w:pPr>
        <w:widowControl w:val="0"/>
        <w:numPr>
          <w:ilvl w:val="0"/>
          <w:numId w:val="4"/>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委托人的义务</w:t>
      </w:r>
    </w:p>
    <w:p>
      <w:pPr>
        <w:widowControl w:val="0"/>
        <w:numPr>
          <w:ilvl w:val="1"/>
          <w:numId w:val="5"/>
        </w:numPr>
        <w:spacing w:before="109"/>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提供资料</w:t>
      </w:r>
    </w:p>
    <w:p>
      <w:pPr>
        <w:widowControl w:val="0"/>
        <w:numPr>
          <w:ilvl w:val="1"/>
          <w:numId w:val="5"/>
        </w:numPr>
        <w:spacing w:before="109" w:after="0"/>
        <w:ind w:left="112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提供工作条件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72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委托人代表</w:t>
      </w:r>
    </w:p>
    <w:p>
      <w:pPr>
        <w:widowControl w:val="0"/>
        <w:spacing w:before="109" w:after="0"/>
        <w:ind w:left="72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答复</w:t>
      </w:r>
    </w:p>
    <w:p>
      <w:pPr>
        <w:widowControl w:val="0"/>
        <w:numPr>
          <w:ilvl w:val="0"/>
          <w:numId w:val="6"/>
        </w:numPr>
        <w:spacing w:before="109"/>
        <w:ind w:left="39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咨询人的义务</w:t>
      </w:r>
    </w:p>
    <w:p>
      <w:pPr>
        <w:widowControl w:val="0"/>
        <w:numPr>
          <w:ilvl w:val="1"/>
          <w:numId w:val="6"/>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项目咨询团队及人员</w:t>
      </w:r>
    </w:p>
    <w:p>
      <w:pPr>
        <w:widowControl w:val="0"/>
        <w:numPr>
          <w:ilvl w:val="1"/>
          <w:numId w:val="6"/>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咨询人的工作要求</w:t>
      </w:r>
    </w:p>
    <w:p>
      <w:pPr>
        <w:widowControl w:val="0"/>
        <w:numPr>
          <w:ilvl w:val="1"/>
          <w:numId w:val="6"/>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咨询人的工作依据</w:t>
      </w:r>
    </w:p>
    <w:p>
      <w:pPr>
        <w:widowControl w:val="0"/>
        <w:numPr>
          <w:ilvl w:val="1"/>
          <w:numId w:val="6"/>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使用委托人房屋及设备的返还</w:t>
      </w:r>
    </w:p>
    <w:p>
      <w:pPr>
        <w:widowControl w:val="0"/>
        <w:numPr>
          <w:ilvl w:val="0"/>
          <w:numId w:val="6"/>
        </w:numPr>
        <w:spacing w:before="109"/>
        <w:ind w:left="39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违约责任</w:t>
      </w:r>
    </w:p>
    <w:p>
      <w:pPr>
        <w:widowControl w:val="0"/>
        <w:numPr>
          <w:ilvl w:val="1"/>
          <w:numId w:val="6"/>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委托人的违约责任</w:t>
      </w:r>
    </w:p>
    <w:p>
      <w:pPr>
        <w:widowControl w:val="0"/>
        <w:numPr>
          <w:ilvl w:val="1"/>
          <w:numId w:val="6"/>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咨询人的违约责任</w:t>
      </w:r>
    </w:p>
    <w:p>
      <w:pPr>
        <w:widowControl w:val="0"/>
        <w:numPr>
          <w:ilvl w:val="0"/>
          <w:numId w:val="6"/>
        </w:numPr>
        <w:spacing w:before="109"/>
        <w:ind w:left="39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w:t>
      </w:r>
    </w:p>
    <w:p>
      <w:pPr>
        <w:widowControl w:val="0"/>
        <w:numPr>
          <w:ilvl w:val="1"/>
          <w:numId w:val="6"/>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支付货币</w:t>
      </w:r>
    </w:p>
    <w:p>
      <w:pPr>
        <w:widowControl w:val="0"/>
        <w:numPr>
          <w:ilvl w:val="1"/>
          <w:numId w:val="6"/>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支付申请</w:t>
      </w:r>
    </w:p>
    <w:p>
      <w:pPr>
        <w:widowControl w:val="0"/>
        <w:numPr>
          <w:ilvl w:val="1"/>
          <w:numId w:val="6"/>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支付酬金</w:t>
      </w:r>
    </w:p>
    <w:p>
      <w:pPr>
        <w:widowControl w:val="0"/>
        <w:numPr>
          <w:ilvl w:val="0"/>
          <w:numId w:val="6"/>
        </w:numPr>
        <w:spacing w:before="109"/>
        <w:ind w:left="39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合同变更、解除与终止</w:t>
      </w:r>
    </w:p>
    <w:p>
      <w:pPr>
        <w:widowControl w:val="0"/>
        <w:numPr>
          <w:ilvl w:val="1"/>
          <w:numId w:val="6"/>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合同变更</w:t>
      </w:r>
    </w:p>
    <w:p>
      <w:pPr>
        <w:widowControl w:val="0"/>
        <w:numPr>
          <w:ilvl w:val="1"/>
          <w:numId w:val="6"/>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合同解除</w:t>
      </w:r>
    </w:p>
    <w:p>
      <w:pPr>
        <w:widowControl w:val="0"/>
        <w:numPr>
          <w:ilvl w:val="0"/>
          <w:numId w:val="6"/>
        </w:numPr>
        <w:spacing w:before="109"/>
        <w:ind w:left="39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争议解决</w:t>
      </w:r>
    </w:p>
    <w:p>
      <w:pPr>
        <w:widowControl w:val="0"/>
        <w:numPr>
          <w:ilvl w:val="1"/>
          <w:numId w:val="7"/>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调解</w:t>
      </w:r>
    </w:p>
    <w:p>
      <w:pPr>
        <w:widowControl w:val="0"/>
        <w:numPr>
          <w:ilvl w:val="1"/>
          <w:numId w:val="7"/>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仲裁或诉讼</w:t>
      </w:r>
    </w:p>
    <w:p>
      <w:pPr>
        <w:widowControl w:val="0"/>
        <w:numPr>
          <w:ilvl w:val="0"/>
          <w:numId w:val="6"/>
        </w:numPr>
        <w:spacing w:before="109"/>
        <w:ind w:left="39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其他</w:t>
      </w:r>
    </w:p>
    <w:p>
      <w:pPr>
        <w:widowControl w:val="0"/>
        <w:numPr>
          <w:ilvl w:val="1"/>
          <w:numId w:val="6"/>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考察及相关费用</w:t>
      </w:r>
    </w:p>
    <w:p>
      <w:pPr>
        <w:widowControl w:val="0"/>
        <w:numPr>
          <w:ilvl w:val="1"/>
          <w:numId w:val="6"/>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奖励</w:t>
      </w:r>
    </w:p>
    <w:p>
      <w:pPr>
        <w:widowControl w:val="0"/>
        <w:numPr>
          <w:ilvl w:val="1"/>
          <w:numId w:val="6"/>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保密</w:t>
      </w:r>
    </w:p>
    <w:p>
      <w:pPr>
        <w:widowControl w:val="0"/>
        <w:numPr>
          <w:ilvl w:val="1"/>
          <w:numId w:val="6"/>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联络</w:t>
      </w:r>
    </w:p>
    <w:p>
      <w:pPr>
        <w:widowControl w:val="0"/>
        <w:numPr>
          <w:ilvl w:val="1"/>
          <w:numId w:val="6"/>
        </w:numPr>
        <w:spacing w:before="109"/>
        <w:ind w:left="74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知识产权</w:t>
      </w:r>
    </w:p>
    <w:p>
      <w:pPr>
        <w:widowControl w:val="0"/>
        <w:numPr>
          <w:ilvl w:val="0"/>
          <w:numId w:val="6"/>
        </w:numPr>
        <w:spacing w:before="109" w:after="0"/>
        <w:ind w:left="39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补充条款</w:t>
      </w:r>
    </w:p>
    <w:p>
      <w:pPr>
        <w:widowControl w:val="0"/>
        <w:spacing w:before="103" w:after="0" w:line="326" w:lineRule="auto"/>
        <w:ind w:left="177" w:right="4724"/>
        <w:rPr>
          <w:rFonts w:ascii="Times New Roman" w:eastAsia="Times New Roman" w:hAnsi="Times New Roman" w:cs="Times New Roman"/>
          <w:sz w:val="22"/>
          <w:szCs w:val="22"/>
        </w:rPr>
      </w:pPr>
      <w:r>
        <w:rPr>
          <w:rFonts w:ascii="宋体" w:eastAsia="宋体" w:hAnsi="宋体" w:cs="宋体"/>
          <w:color w:val="231F20"/>
          <w:sz w:val="22"/>
          <w:szCs w:val="22"/>
        </w:rPr>
        <w:t>附录 A 服务范围及工作内容、酬金一览表附录 B 咨询人提交成果文件一览表</w:t>
      </w:r>
    </w:p>
    <w:p>
      <w:pPr>
        <w:widowControl w:val="0"/>
        <w:spacing w:before="27" w:after="0"/>
        <w:ind w:left="177"/>
        <w:rPr>
          <w:rFonts w:ascii="Times New Roman" w:eastAsia="Times New Roman" w:hAnsi="Times New Roman" w:cs="Times New Roman"/>
          <w:sz w:val="22"/>
          <w:szCs w:val="22"/>
        </w:rPr>
      </w:pPr>
      <w:r>
        <w:rPr>
          <w:rFonts w:ascii="宋体" w:eastAsia="宋体" w:hAnsi="宋体" w:cs="宋体"/>
          <w:color w:val="231F20"/>
          <w:sz w:val="22"/>
          <w:szCs w:val="22"/>
        </w:rPr>
        <w:t>附录 C 委托人提供资料一览表</w:t>
      </w:r>
    </w:p>
    <w:p>
      <w:pPr>
        <w:widowControl w:val="0"/>
        <w:spacing w:before="116" w:after="0"/>
        <w:ind w:left="177"/>
        <w:rPr>
          <w:rFonts w:ascii="Times New Roman" w:eastAsia="Times New Roman" w:hAnsi="Times New Roman" w:cs="Times New Roman"/>
          <w:sz w:val="22"/>
          <w:szCs w:val="22"/>
        </w:rPr>
      </w:pPr>
      <w:r>
        <w:rPr>
          <w:rFonts w:ascii="宋体" w:eastAsia="宋体" w:hAnsi="宋体" w:cs="宋体"/>
          <w:color w:val="231F20"/>
          <w:sz w:val="22"/>
          <w:szCs w:val="22"/>
        </w:rPr>
        <w:t>附录 D 委托人提供房屋及设备一览表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6" w:after="0"/>
        <w:rPr>
          <w:rFonts w:ascii="Times New Roman" w:eastAsia="Times New Roman" w:hAnsi="Times New Roman" w:cs="Times New Roman"/>
          <w:sz w:val="12"/>
          <w:szCs w:val="12"/>
        </w:rPr>
      </w:pPr>
    </w:p>
    <w:p>
      <w:pPr>
        <w:widowControl w:val="0"/>
        <w:tabs>
          <w:tab w:val="left" w:pos="4932"/>
        </w:tabs>
        <w:spacing w:before="3" w:after="0"/>
        <w:ind w:left="3532"/>
        <w:rPr>
          <w:rFonts w:ascii="Times New Roman" w:eastAsia="Times New Roman" w:hAnsi="Times New Roman" w:cs="Times New Roman"/>
          <w:sz w:val="28"/>
          <w:szCs w:val="28"/>
        </w:rPr>
      </w:pPr>
      <w:r>
        <w:rPr>
          <w:rFonts w:ascii="宋体" w:eastAsia="宋体" w:hAnsi="宋体" w:cs="宋体"/>
          <w:color w:val="231F20"/>
          <w:sz w:val="28"/>
          <w:szCs w:val="28"/>
        </w:rPr>
        <w:t>第一部分</w:t>
      </w:r>
      <w:r>
        <w:rPr>
          <w:rFonts w:ascii="宋体" w:eastAsia="宋体" w:hAnsi="宋体" w:cs="宋体"/>
          <w:color w:val="231F20"/>
          <w:sz w:val="28"/>
          <w:szCs w:val="28"/>
        </w:rPr>
        <w:tab/>
      </w:r>
      <w:r>
        <w:rPr>
          <w:rFonts w:ascii="宋体" w:eastAsia="宋体" w:hAnsi="宋体" w:cs="宋体"/>
          <w:color w:val="231F20"/>
          <w:sz w:val="28"/>
          <w:szCs w:val="28"/>
        </w:rPr>
        <w:t>协议书</w:t>
      </w:r>
    </w:p>
    <w:p>
      <w:pPr>
        <w:widowControl w:val="0"/>
        <w:spacing w:before="14" w:after="0"/>
        <w:rPr>
          <w:rFonts w:ascii="Times New Roman" w:eastAsia="Times New Roman" w:hAnsi="Times New Roman" w:cs="Times New Roman"/>
          <w:sz w:val="26"/>
          <w:szCs w:val="26"/>
        </w:rPr>
      </w:pPr>
    </w:p>
    <w:p>
      <w:pPr>
        <w:widowControl w:val="0"/>
        <w:tabs>
          <w:tab w:val="left" w:pos="9188"/>
        </w:tabs>
        <w:spacing w:before="0" w:after="0" w:line="319" w:lineRule="auto"/>
        <w:ind w:left="557" w:right="215"/>
        <w:jc w:val="both"/>
        <w:rPr>
          <w:rFonts w:ascii="Times New Roman" w:eastAsia="Times New Roman" w:hAnsi="Times New Roman" w:cs="Times New Roman"/>
          <w:sz w:val="22"/>
          <w:szCs w:val="22"/>
        </w:rPr>
      </w:pPr>
      <w:r>
        <w:rPr>
          <w:rFonts w:ascii="宋体" w:eastAsia="宋体" w:hAnsi="宋体" w:cs="宋体"/>
          <w:color w:val="231F20"/>
          <w:sz w:val="22"/>
          <w:szCs w:val="22"/>
        </w:rPr>
        <w:t>委托人（全称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咨询人（全称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z w:val="22"/>
          <w:szCs w:val="22"/>
        </w:rPr>
        <w:t>根据《中华人民共和国合同法》及其他有关法律、法规，遵循平等、自</w:t>
      </w:r>
    </w:p>
    <w:p>
      <w:pPr>
        <w:widowControl w:val="0"/>
        <w:spacing w:before="26"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愿、公平和诚实信用的原则，双方就下述建设工程委托造价咨询与其他服务事项协商一致，订立本合同。</w:t>
      </w:r>
    </w:p>
    <w:p>
      <w:pPr>
        <w:widowControl w:val="0"/>
        <w:spacing w:before="20"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一、工程概况</w:t>
      </w:r>
    </w:p>
    <w:p>
      <w:pPr>
        <w:widowControl w:val="0"/>
        <w:numPr>
          <w:ilvl w:val="0"/>
          <w:numId w:val="8"/>
        </w:numPr>
        <w:tabs>
          <w:tab w:val="left" w:pos="9078"/>
        </w:tabs>
        <w:spacing w:before="122"/>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工程名称</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8"/>
        </w:numPr>
        <w:tabs>
          <w:tab w:val="left" w:pos="9078"/>
        </w:tabs>
        <w:spacing w:before="109"/>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工程地点</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8"/>
        </w:numPr>
        <w:tabs>
          <w:tab w:val="left" w:pos="9078"/>
        </w:tabs>
        <w:spacing w:before="109"/>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工程规模</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8"/>
        </w:numPr>
        <w:tabs>
          <w:tab w:val="left" w:pos="9078"/>
        </w:tabs>
        <w:spacing w:before="109"/>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投资金额</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8"/>
        </w:numPr>
        <w:tabs>
          <w:tab w:val="left" w:pos="9078"/>
        </w:tabs>
        <w:spacing w:before="109"/>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资金来源</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8"/>
        </w:numPr>
        <w:tabs>
          <w:tab w:val="left" w:pos="9078"/>
        </w:tabs>
        <w:spacing w:before="109"/>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建设工期或周期</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8"/>
        </w:numPr>
        <w:tabs>
          <w:tab w:val="left" w:pos="9078"/>
        </w:tabs>
        <w:spacing w:before="109" w:after="0"/>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03"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二、服务范围及工作内容</w:t>
      </w:r>
    </w:p>
    <w:p>
      <w:pPr>
        <w:widowControl w:val="0"/>
        <w:tabs>
          <w:tab w:val="left" w:pos="9078"/>
        </w:tabs>
        <w:spacing w:before="122"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双方约定的服务范围及工作内容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。服务范围及工作内容详见附录</w:t>
      </w:r>
      <w:r>
        <w:rPr>
          <w:rFonts w:ascii="宋体" w:eastAsia="宋体" w:hAnsi="宋体" w:cs="宋体"/>
          <w:color w:val="231F20"/>
          <w:spacing w:val="-2"/>
          <w:sz w:val="22"/>
          <w:szCs w:val="22"/>
        </w:rPr>
        <w:t xml:space="preserve"> </w:t>
      </w:r>
      <w:r>
        <w:rPr>
          <w:rFonts w:ascii="宋体" w:eastAsia="宋体" w:hAnsi="宋体" w:cs="宋体"/>
          <w:color w:val="231F20"/>
          <w:sz w:val="22"/>
          <w:szCs w:val="22"/>
        </w:rPr>
        <w:t>A。</w:t>
      </w:r>
    </w:p>
    <w:p>
      <w:pPr>
        <w:widowControl w:val="0"/>
        <w:spacing w:before="1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三、服务期限</w:t>
      </w:r>
    </w:p>
    <w:p>
      <w:pPr>
        <w:widowControl w:val="0"/>
        <w:tabs>
          <w:tab w:val="left" w:pos="5209"/>
          <w:tab w:val="left" w:pos="8966"/>
        </w:tabs>
        <w:spacing w:before="122"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本合同约定的建设工程造价咨询服务自</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16"/>
          <w:sz w:val="22"/>
          <w:szCs w:val="22"/>
          <w:u w:val="single" w:color="231F20"/>
        </w:rPr>
        <w:t xml:space="preserve"> </w:t>
      </w:r>
      <w:r>
        <w:rPr>
          <w:rFonts w:ascii="宋体" w:eastAsia="宋体" w:hAnsi="宋体" w:cs="宋体"/>
          <w:color w:val="231F20"/>
          <w:sz w:val="22"/>
          <w:szCs w:val="22"/>
        </w:rPr>
        <w:t>日 开 始 实 施 ，至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p>
    <w:p>
      <w:pPr>
        <w:widowControl w:val="0"/>
        <w:tabs>
          <w:tab w:val="left" w:pos="557"/>
          <w:tab w:val="left" w:pos="1217"/>
        </w:tabs>
        <w:spacing w:before="109"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日终结。</w:t>
      </w:r>
    </w:p>
    <w:p>
      <w:pPr>
        <w:widowControl w:val="0"/>
        <w:spacing w:before="10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四、质量标准</w:t>
      </w:r>
    </w:p>
    <w:p>
      <w:pPr>
        <w:widowControl w:val="0"/>
        <w:spacing w:before="121"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工程造价咨询成果文件应符合：</w:t>
      </w:r>
    </w:p>
    <w:p>
      <w:pPr>
        <w:widowControl w:val="0"/>
        <w:tabs>
          <w:tab w:val="left" w:pos="9078"/>
        </w:tabs>
        <w:spacing w:before="108" w:after="0"/>
        <w:ind w:left="597"/>
        <w:jc w:val="both"/>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五、酬金或计取方式</w:t>
      </w:r>
    </w:p>
    <w:p>
      <w:pPr>
        <w:widowControl w:val="0"/>
        <w:tabs>
          <w:tab w:val="left" w:pos="4130"/>
          <w:tab w:val="left" w:pos="7306"/>
        </w:tabs>
        <w:spacing w:before="122" w:after="0"/>
        <w:ind w:left="557"/>
        <w:jc w:val="both"/>
        <w:rPr>
          <w:rFonts w:ascii="Times New Roman" w:eastAsia="Times New Roman" w:hAnsi="Times New Roman" w:cs="Times New Roman"/>
          <w:sz w:val="20"/>
          <w:szCs w:val="20"/>
          <w:u w:val="single"/>
        </w:rPr>
      </w:pPr>
      <w:r>
        <w:rPr>
          <w:rFonts w:ascii="宋体" w:eastAsia="宋体" w:hAnsi="宋体" w:cs="宋体"/>
          <w:color w:val="231F20"/>
          <w:spacing w:val="-1"/>
          <w:sz w:val="22"/>
          <w:szCs w:val="22"/>
        </w:rPr>
        <w:t>1</w:t>
      </w:r>
      <w:r>
        <w:rPr>
          <w:rFonts w:ascii="宋体" w:eastAsia="宋体" w:hAnsi="宋体" w:cs="宋体"/>
          <w:color w:val="231F20"/>
          <w:sz w:val="22"/>
          <w:szCs w:val="22"/>
        </w:rPr>
        <w:t>. 酬金</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大写</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83"/>
          <w:sz w:val="22"/>
          <w:szCs w:val="22"/>
        </w:rPr>
        <w:t>）。</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2.</w:t>
      </w:r>
      <w:r>
        <w:rPr>
          <w:rFonts w:ascii="宋体" w:eastAsia="宋体" w:hAnsi="宋体" w:cs="宋体"/>
          <w:color w:val="231F20"/>
          <w:spacing w:val="-1"/>
          <w:sz w:val="22"/>
          <w:szCs w:val="22"/>
        </w:rPr>
        <w:t xml:space="preserve"> </w:t>
      </w:r>
      <w:r>
        <w:rPr>
          <w:rFonts w:ascii="宋体" w:eastAsia="宋体" w:hAnsi="宋体" w:cs="宋体"/>
          <w:color w:val="231F20"/>
          <w:sz w:val="22"/>
          <w:szCs w:val="22"/>
        </w:rPr>
        <w:t>计取方式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。酬金或计取方式详见附录</w:t>
      </w:r>
      <w:r>
        <w:rPr>
          <w:rFonts w:ascii="宋体" w:eastAsia="宋体" w:hAnsi="宋体" w:cs="宋体"/>
          <w:color w:val="231F20"/>
          <w:spacing w:val="-2"/>
          <w:sz w:val="22"/>
          <w:szCs w:val="22"/>
        </w:rPr>
        <w:t xml:space="preserve"> </w:t>
      </w:r>
      <w:r>
        <w:rPr>
          <w:rFonts w:ascii="宋体" w:eastAsia="宋体" w:hAnsi="宋体" w:cs="宋体"/>
          <w:color w:val="231F20"/>
          <w:sz w:val="22"/>
          <w:szCs w:val="22"/>
        </w:rPr>
        <w:t>A。</w:t>
      </w:r>
    </w:p>
    <w:p>
      <w:pPr>
        <w:widowControl w:val="0"/>
        <w:spacing w:before="1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六、合同文件的构成</w:t>
      </w:r>
    </w:p>
    <w:p>
      <w:pPr>
        <w:widowControl w:val="0"/>
        <w:spacing w:before="12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本协议书与下列文件一起构成合同文件：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9"/>
        </w:numPr>
        <w:spacing w:before="24"/>
        <w:ind w:left="775" w:right="0" w:hanging="310"/>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中标通知书或委托书（如果有</w:t>
      </w:r>
      <w:r>
        <w:rPr>
          <w:rFonts w:ascii="宋体" w:eastAsia="宋体" w:hAnsi="宋体" w:cs="宋体"/>
          <w:color w:val="231F20"/>
          <w:spacing w:val="-28"/>
          <w:sz w:val="22"/>
          <w:szCs w:val="22"/>
        </w:rPr>
        <w:t>）；</w:t>
      </w:r>
    </w:p>
    <w:p>
      <w:pPr>
        <w:widowControl w:val="0"/>
        <w:numPr>
          <w:ilvl w:val="0"/>
          <w:numId w:val="9"/>
        </w:numPr>
        <w:spacing w:before="109"/>
        <w:ind w:left="775" w:right="0" w:hanging="310"/>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投标函及投标函附录或造价咨询服务建议书（如果有</w:t>
      </w:r>
      <w:r>
        <w:rPr>
          <w:rFonts w:ascii="宋体" w:eastAsia="宋体" w:hAnsi="宋体" w:cs="宋体"/>
          <w:color w:val="231F20"/>
          <w:spacing w:val="-28"/>
          <w:sz w:val="22"/>
          <w:szCs w:val="22"/>
        </w:rPr>
        <w:t>）；</w:t>
      </w:r>
    </w:p>
    <w:p>
      <w:pPr>
        <w:widowControl w:val="0"/>
        <w:numPr>
          <w:ilvl w:val="0"/>
          <w:numId w:val="9"/>
        </w:numPr>
        <w:spacing w:before="109"/>
        <w:ind w:left="775" w:right="0" w:hanging="310"/>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专用条件及附录；</w:t>
      </w:r>
    </w:p>
    <w:p>
      <w:pPr>
        <w:widowControl w:val="0"/>
        <w:numPr>
          <w:ilvl w:val="0"/>
          <w:numId w:val="9"/>
        </w:numPr>
        <w:spacing w:before="109"/>
        <w:ind w:left="775" w:right="0" w:hanging="310"/>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通用条件；</w:t>
      </w:r>
    </w:p>
    <w:p>
      <w:pPr>
        <w:widowControl w:val="0"/>
        <w:numPr>
          <w:ilvl w:val="0"/>
          <w:numId w:val="9"/>
        </w:numPr>
        <w:spacing w:before="109" w:after="0"/>
        <w:ind w:left="775" w:right="0" w:hanging="310"/>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其他合同文件。</w:t>
      </w:r>
    </w:p>
    <w:p>
      <w:pPr>
        <w:widowControl w:val="0"/>
        <w:spacing w:before="109"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上述各项合同文件包括合同当事人就该项合同文件所作出的补充和修改，属于同一类内容的文件，应以最新签署的为准。</w:t>
      </w:r>
    </w:p>
    <w:p>
      <w:pPr>
        <w:widowControl w:val="0"/>
        <w:spacing w:before="25" w:after="0" w:line="319" w:lineRule="auto"/>
        <w:ind w:left="557" w:right="1793"/>
        <w:rPr>
          <w:rFonts w:ascii="Times New Roman" w:eastAsia="Times New Roman" w:hAnsi="Times New Roman" w:cs="Times New Roman"/>
          <w:sz w:val="22"/>
          <w:szCs w:val="22"/>
        </w:rPr>
      </w:pPr>
      <w:r>
        <w:rPr>
          <w:rFonts w:ascii="宋体" w:eastAsia="宋体" w:hAnsi="宋体" w:cs="宋体"/>
          <w:color w:val="231F20"/>
          <w:sz w:val="22"/>
          <w:szCs w:val="22"/>
        </w:rPr>
        <w:t>在合同订立及履行过程中形成的与合同有关的文件（包括补充协议）均构成合同文件的组成部分。</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七、词语定义</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协议书中相关词语的含义与通用条件中的定义与解释相同。</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八、合同订立</w:t>
      </w:r>
    </w:p>
    <w:p>
      <w:pPr>
        <w:widowControl w:val="0"/>
        <w:numPr>
          <w:ilvl w:val="0"/>
          <w:numId w:val="10"/>
        </w:numPr>
        <w:tabs>
          <w:tab w:val="left" w:pos="2700"/>
          <w:tab w:val="left" w:pos="3360"/>
          <w:tab w:val="left" w:pos="4020"/>
        </w:tabs>
        <w:spacing w:before="122"/>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订立时间</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w:t>
      </w:r>
    </w:p>
    <w:p>
      <w:pPr>
        <w:widowControl w:val="0"/>
        <w:numPr>
          <w:ilvl w:val="0"/>
          <w:numId w:val="10"/>
        </w:numPr>
        <w:tabs>
          <w:tab w:val="left" w:pos="9078"/>
        </w:tabs>
        <w:spacing w:before="109"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订立地点</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九、合同生效</w:t>
      </w:r>
    </w:p>
    <w:p>
      <w:pPr>
        <w:widowControl w:val="0"/>
        <w:tabs>
          <w:tab w:val="left" w:pos="8638"/>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本合同自</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生效。</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十、合同份数</w:t>
      </w:r>
    </w:p>
    <w:p>
      <w:pPr>
        <w:widowControl w:val="0"/>
        <w:tabs>
          <w:tab w:val="left" w:pos="2317"/>
          <w:tab w:val="left" w:pos="6717"/>
          <w:tab w:val="left" w:pos="8697"/>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本合同一式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份，具有同等法律效力，其中委托人执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份，咨询人执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w:t>
      </w:r>
    </w:p>
    <w:p>
      <w:pPr>
        <w:widowControl w:val="0"/>
        <w:spacing w:before="8" w:after="0"/>
        <w:rPr>
          <w:rFonts w:ascii="Times New Roman" w:eastAsia="Times New Roman" w:hAnsi="Times New Roman" w:cs="Times New Roman"/>
          <w:sz w:val="36"/>
          <w:szCs w:val="36"/>
        </w:rPr>
      </w:pPr>
    </w:p>
    <w:p>
      <w:pPr>
        <w:widowControl w:val="0"/>
        <w:tabs>
          <w:tab w:val="left" w:pos="2700"/>
          <w:tab w:val="left" w:pos="4437"/>
          <w:tab w:val="left" w:pos="6472"/>
        </w:tabs>
        <w:spacing w:before="0" w:after="0" w:line="319" w:lineRule="auto"/>
        <w:ind w:left="557" w:right="2051"/>
        <w:rPr>
          <w:rFonts w:ascii="方正书宋_GBK" w:eastAsia="方正书宋_GBK" w:hAnsi="方正书宋_GBK" w:cs="方正书宋_GBK"/>
          <w:sz w:val="22"/>
          <w:szCs w:val="22"/>
          <w:u w:val="single"/>
        </w:rPr>
      </w:pPr>
      <w:r>
        <w:rPr>
          <w:rFonts w:ascii="宋体" w:eastAsia="宋体" w:hAnsi="宋体" w:cs="宋体"/>
          <w:color w:val="231F20"/>
          <w:spacing w:val="52"/>
          <w:sz w:val="22"/>
          <w:szCs w:val="22"/>
        </w:rPr>
        <w:t>委托</w:t>
      </w:r>
      <w:r>
        <w:rPr>
          <w:rFonts w:ascii="宋体" w:eastAsia="宋体" w:hAnsi="宋体" w:cs="宋体"/>
          <w:color w:val="231F20"/>
          <w:sz w:val="22"/>
          <w:szCs w:val="22"/>
        </w:rPr>
        <w:t>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盖章）</w:t>
      </w:r>
      <w:r>
        <w:rPr>
          <w:rFonts w:ascii="宋体" w:eastAsia="宋体" w:hAnsi="宋体" w:cs="宋体"/>
          <w:color w:val="231F20"/>
          <w:sz w:val="22"/>
          <w:szCs w:val="22"/>
        </w:rPr>
        <w:tab/>
      </w:r>
      <w:r>
        <w:rPr>
          <w:rFonts w:ascii="宋体" w:eastAsia="宋体" w:hAnsi="宋体" w:cs="宋体"/>
          <w:color w:val="231F20"/>
          <w:sz w:val="22"/>
          <w:szCs w:val="22"/>
        </w:rPr>
        <w:t>咨询人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盖章）法定代表人或其授权的</w:t>
      </w:r>
      <w:r>
        <w:rPr>
          <w:rFonts w:ascii="宋体" w:eastAsia="宋体" w:hAnsi="宋体" w:cs="宋体"/>
          <w:color w:val="231F20"/>
          <w:sz w:val="22"/>
          <w:szCs w:val="22"/>
        </w:rPr>
        <w:tab/>
      </w:r>
      <w:r>
        <w:rPr>
          <w:rFonts w:ascii="宋体" w:eastAsia="宋体" w:hAnsi="宋体" w:cs="宋体"/>
          <w:color w:val="231F20"/>
          <w:sz w:val="22"/>
          <w:szCs w:val="22"/>
        </w:rPr>
        <w:t>法定代表人或其授权的</w:t>
      </w:r>
    </w:p>
    <w:p>
      <w:pPr>
        <w:widowControl w:val="0"/>
        <w:tabs>
          <w:tab w:val="left" w:pos="2592"/>
          <w:tab w:val="left" w:pos="4437"/>
          <w:tab w:val="left" w:pos="6472"/>
        </w:tabs>
        <w:spacing w:before="26" w:after="0" w:line="319" w:lineRule="auto"/>
        <w:ind w:left="557" w:right="2051"/>
        <w:rPr>
          <w:rFonts w:ascii="方正书宋_GBK" w:eastAsia="方正书宋_GBK" w:hAnsi="方正书宋_GBK" w:cs="方正书宋_GBK"/>
          <w:sz w:val="22"/>
          <w:szCs w:val="22"/>
          <w:u w:val="single"/>
        </w:rPr>
      </w:pPr>
      <w:r>
        <w:rPr>
          <w:rFonts w:ascii="宋体" w:eastAsia="宋体" w:hAnsi="宋体" w:cs="宋体"/>
          <w:color w:val="231F20"/>
          <w:sz w:val="22"/>
          <w:szCs w:val="22"/>
        </w:rPr>
        <w:t>代理人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签字）</w:t>
      </w:r>
      <w:r>
        <w:rPr>
          <w:rFonts w:ascii="宋体" w:eastAsia="宋体" w:hAnsi="宋体" w:cs="宋体"/>
          <w:color w:val="231F20"/>
          <w:sz w:val="22"/>
          <w:szCs w:val="22"/>
        </w:rPr>
        <w:tab/>
      </w:r>
      <w:r>
        <w:rPr>
          <w:rFonts w:ascii="宋体" w:eastAsia="宋体" w:hAnsi="宋体" w:cs="宋体"/>
          <w:color w:val="231F20"/>
          <w:sz w:val="22"/>
          <w:szCs w:val="22"/>
        </w:rPr>
        <w:t>代理人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签字）组织机构代码：</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组织机构代码：</w:t>
      </w:r>
    </w:p>
    <w:p>
      <w:pPr>
        <w:widowControl w:val="0"/>
        <w:tabs>
          <w:tab w:val="left" w:pos="4437"/>
        </w:tabs>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纳税人识别码：</w:t>
      </w:r>
      <w:r>
        <w:rPr>
          <w:rFonts w:ascii="宋体" w:eastAsia="宋体" w:hAnsi="宋体" w:cs="宋体"/>
          <w:color w:val="231F20"/>
          <w:sz w:val="22"/>
          <w:szCs w:val="22"/>
        </w:rPr>
        <w:tab/>
      </w:r>
      <w:r>
        <w:rPr>
          <w:rFonts w:ascii="宋体" w:eastAsia="宋体" w:hAnsi="宋体" w:cs="宋体"/>
          <w:color w:val="231F20"/>
          <w:sz w:val="22"/>
          <w:szCs w:val="22"/>
        </w:rPr>
        <w:t>纳税人识别码：</w:t>
      </w:r>
    </w:p>
    <w:p>
      <w:pPr>
        <w:widowControl w:val="0"/>
        <w:tabs>
          <w:tab w:val="left" w:pos="1217"/>
          <w:tab w:val="left" w:pos="4437"/>
          <w:tab w:val="left" w:pos="509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住</w:t>
      </w:r>
      <w:r>
        <w:rPr>
          <w:rFonts w:ascii="宋体" w:eastAsia="宋体" w:hAnsi="宋体" w:cs="宋体"/>
          <w:color w:val="231F20"/>
          <w:sz w:val="22"/>
          <w:szCs w:val="22"/>
        </w:rPr>
        <w:tab/>
      </w:r>
      <w:r>
        <w:rPr>
          <w:rFonts w:ascii="宋体" w:eastAsia="宋体" w:hAnsi="宋体" w:cs="宋体"/>
          <w:color w:val="231F20"/>
          <w:sz w:val="22"/>
          <w:szCs w:val="22"/>
        </w:rPr>
        <w:t>所：</w:t>
      </w:r>
      <w:r>
        <w:rPr>
          <w:rFonts w:ascii="宋体" w:eastAsia="宋体" w:hAnsi="宋体" w:cs="宋体"/>
          <w:color w:val="231F20"/>
          <w:sz w:val="22"/>
          <w:szCs w:val="22"/>
        </w:rPr>
        <w:tab/>
      </w:r>
      <w:r>
        <w:rPr>
          <w:rFonts w:ascii="宋体" w:eastAsia="宋体" w:hAnsi="宋体" w:cs="宋体"/>
          <w:color w:val="231F20"/>
          <w:sz w:val="22"/>
          <w:szCs w:val="22"/>
        </w:rPr>
        <w:t>住</w:t>
      </w:r>
      <w:r>
        <w:rPr>
          <w:rFonts w:ascii="宋体" w:eastAsia="宋体" w:hAnsi="宋体" w:cs="宋体"/>
          <w:color w:val="231F20"/>
          <w:sz w:val="22"/>
          <w:szCs w:val="22"/>
        </w:rPr>
        <w:tab/>
      </w:r>
      <w:r>
        <w:rPr>
          <w:rFonts w:ascii="宋体" w:eastAsia="宋体" w:hAnsi="宋体" w:cs="宋体"/>
          <w:color w:val="231F20"/>
          <w:sz w:val="22"/>
          <w:szCs w:val="22"/>
        </w:rPr>
        <w:t>所：</w:t>
      </w:r>
    </w:p>
    <w:p>
      <w:pPr>
        <w:widowControl w:val="0"/>
        <w:tabs>
          <w:tab w:val="left" w:pos="1217"/>
          <w:tab w:val="left" w:pos="4437"/>
          <w:tab w:val="left" w:pos="509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账</w:t>
      </w:r>
      <w:r>
        <w:rPr>
          <w:rFonts w:ascii="宋体" w:eastAsia="宋体" w:hAnsi="宋体" w:cs="宋体"/>
          <w:color w:val="231F20"/>
          <w:sz w:val="22"/>
          <w:szCs w:val="22"/>
        </w:rPr>
        <w:tab/>
      </w:r>
      <w:r>
        <w:rPr>
          <w:rFonts w:ascii="宋体" w:eastAsia="宋体" w:hAnsi="宋体" w:cs="宋体"/>
          <w:color w:val="231F20"/>
          <w:sz w:val="22"/>
          <w:szCs w:val="22"/>
        </w:rPr>
        <w:t>号：</w:t>
      </w:r>
      <w:r>
        <w:rPr>
          <w:rFonts w:ascii="宋体" w:eastAsia="宋体" w:hAnsi="宋体" w:cs="宋体"/>
          <w:color w:val="231F20"/>
          <w:sz w:val="22"/>
          <w:szCs w:val="22"/>
        </w:rPr>
        <w:tab/>
      </w:r>
      <w:r>
        <w:rPr>
          <w:rFonts w:ascii="宋体" w:eastAsia="宋体" w:hAnsi="宋体" w:cs="宋体"/>
          <w:color w:val="231F20"/>
          <w:sz w:val="22"/>
          <w:szCs w:val="22"/>
        </w:rPr>
        <w:t>账</w:t>
      </w:r>
      <w:r>
        <w:rPr>
          <w:rFonts w:ascii="宋体" w:eastAsia="宋体" w:hAnsi="宋体" w:cs="宋体"/>
          <w:color w:val="231F20"/>
          <w:sz w:val="22"/>
          <w:szCs w:val="22"/>
        </w:rPr>
        <w:tab/>
      </w:r>
      <w:r>
        <w:rPr>
          <w:rFonts w:ascii="宋体" w:eastAsia="宋体" w:hAnsi="宋体" w:cs="宋体"/>
          <w:color w:val="231F20"/>
          <w:sz w:val="22"/>
          <w:szCs w:val="22"/>
        </w:rPr>
        <w:t>号：</w:t>
      </w:r>
    </w:p>
    <w:p>
      <w:pPr>
        <w:widowControl w:val="0"/>
        <w:tabs>
          <w:tab w:val="left" w:pos="443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开户银行：</w:t>
      </w:r>
      <w:r>
        <w:rPr>
          <w:rFonts w:ascii="宋体" w:eastAsia="宋体" w:hAnsi="宋体" w:cs="宋体"/>
          <w:color w:val="231F20"/>
          <w:sz w:val="22"/>
          <w:szCs w:val="22"/>
        </w:rPr>
        <w:tab/>
      </w:r>
      <w:r>
        <w:rPr>
          <w:rFonts w:ascii="宋体" w:eastAsia="宋体" w:hAnsi="宋体" w:cs="宋体"/>
          <w:color w:val="231F20"/>
          <w:sz w:val="22"/>
          <w:szCs w:val="22"/>
        </w:rPr>
        <w:t>开户银行：</w:t>
      </w:r>
    </w:p>
    <w:p>
      <w:pPr>
        <w:widowControl w:val="0"/>
        <w:tabs>
          <w:tab w:val="left" w:pos="443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邮政编码：</w:t>
      </w:r>
      <w:r>
        <w:rPr>
          <w:rFonts w:ascii="宋体" w:eastAsia="宋体" w:hAnsi="宋体" w:cs="宋体"/>
          <w:color w:val="231F20"/>
          <w:sz w:val="22"/>
          <w:szCs w:val="22"/>
        </w:rPr>
        <w:tab/>
      </w:r>
      <w:r>
        <w:rPr>
          <w:rFonts w:ascii="宋体" w:eastAsia="宋体" w:hAnsi="宋体" w:cs="宋体"/>
          <w:color w:val="231F20"/>
          <w:sz w:val="22"/>
          <w:szCs w:val="22"/>
        </w:rPr>
        <w:t>邮政编码：</w:t>
      </w:r>
    </w:p>
    <w:p>
      <w:pPr>
        <w:widowControl w:val="0"/>
        <w:tabs>
          <w:tab w:val="left" w:pos="1217"/>
          <w:tab w:val="left" w:pos="4437"/>
          <w:tab w:val="left" w:pos="509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电</w:t>
      </w:r>
      <w:r>
        <w:rPr>
          <w:rFonts w:ascii="宋体" w:eastAsia="宋体" w:hAnsi="宋体" w:cs="宋体"/>
          <w:color w:val="231F20"/>
          <w:sz w:val="22"/>
          <w:szCs w:val="22"/>
        </w:rPr>
        <w:tab/>
      </w:r>
      <w:r>
        <w:rPr>
          <w:rFonts w:ascii="宋体" w:eastAsia="宋体" w:hAnsi="宋体" w:cs="宋体"/>
          <w:color w:val="231F20"/>
          <w:sz w:val="22"/>
          <w:szCs w:val="22"/>
        </w:rPr>
        <w:t>话：</w:t>
      </w:r>
      <w:r>
        <w:rPr>
          <w:rFonts w:ascii="宋体" w:eastAsia="宋体" w:hAnsi="宋体" w:cs="宋体"/>
          <w:color w:val="231F20"/>
          <w:sz w:val="22"/>
          <w:szCs w:val="22"/>
        </w:rPr>
        <w:tab/>
      </w:r>
      <w:r>
        <w:rPr>
          <w:rFonts w:ascii="宋体" w:eastAsia="宋体" w:hAnsi="宋体" w:cs="宋体"/>
          <w:color w:val="231F20"/>
          <w:sz w:val="22"/>
          <w:szCs w:val="22"/>
        </w:rPr>
        <w:t>电</w:t>
      </w:r>
      <w:r>
        <w:rPr>
          <w:rFonts w:ascii="宋体" w:eastAsia="宋体" w:hAnsi="宋体" w:cs="宋体"/>
          <w:color w:val="231F20"/>
          <w:sz w:val="22"/>
          <w:szCs w:val="22"/>
        </w:rPr>
        <w:tab/>
      </w:r>
      <w:r>
        <w:rPr>
          <w:rFonts w:ascii="宋体" w:eastAsia="宋体" w:hAnsi="宋体" w:cs="宋体"/>
          <w:color w:val="231F20"/>
          <w:sz w:val="22"/>
          <w:szCs w:val="22"/>
        </w:rPr>
        <w:t>话：</w:t>
      </w:r>
    </w:p>
    <w:p>
      <w:pPr>
        <w:widowControl w:val="0"/>
        <w:tabs>
          <w:tab w:val="left" w:pos="1217"/>
          <w:tab w:val="left" w:pos="4437"/>
          <w:tab w:val="left" w:pos="509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传</w:t>
      </w:r>
      <w:r>
        <w:rPr>
          <w:rFonts w:ascii="宋体" w:eastAsia="宋体" w:hAnsi="宋体" w:cs="宋体"/>
          <w:color w:val="231F20"/>
          <w:sz w:val="22"/>
          <w:szCs w:val="22"/>
        </w:rPr>
        <w:tab/>
      </w:r>
      <w:r>
        <w:rPr>
          <w:rFonts w:ascii="宋体" w:eastAsia="宋体" w:hAnsi="宋体" w:cs="宋体"/>
          <w:color w:val="231F20"/>
          <w:sz w:val="22"/>
          <w:szCs w:val="22"/>
        </w:rPr>
        <w:t>真：</w:t>
      </w:r>
      <w:r>
        <w:rPr>
          <w:rFonts w:ascii="宋体" w:eastAsia="宋体" w:hAnsi="宋体" w:cs="宋体"/>
          <w:color w:val="231F20"/>
          <w:sz w:val="22"/>
          <w:szCs w:val="22"/>
        </w:rPr>
        <w:tab/>
      </w:r>
      <w:r>
        <w:rPr>
          <w:rFonts w:ascii="宋体" w:eastAsia="宋体" w:hAnsi="宋体" w:cs="宋体"/>
          <w:color w:val="231F20"/>
          <w:sz w:val="22"/>
          <w:szCs w:val="22"/>
        </w:rPr>
        <w:t>传</w:t>
      </w:r>
      <w:r>
        <w:rPr>
          <w:rFonts w:ascii="宋体" w:eastAsia="宋体" w:hAnsi="宋体" w:cs="宋体"/>
          <w:color w:val="231F20"/>
          <w:sz w:val="22"/>
          <w:szCs w:val="22"/>
        </w:rPr>
        <w:tab/>
      </w:r>
      <w:r>
        <w:rPr>
          <w:rFonts w:ascii="宋体" w:eastAsia="宋体" w:hAnsi="宋体" w:cs="宋体"/>
          <w:color w:val="231F20"/>
          <w:sz w:val="22"/>
          <w:szCs w:val="22"/>
        </w:rPr>
        <w:t>真：</w:t>
      </w:r>
    </w:p>
    <w:p>
      <w:pPr>
        <w:widowControl w:val="0"/>
        <w:tabs>
          <w:tab w:val="left" w:pos="443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电子信箱：</w:t>
      </w:r>
      <w:r>
        <w:rPr>
          <w:rFonts w:ascii="宋体" w:eastAsia="宋体" w:hAnsi="宋体" w:cs="宋体"/>
          <w:color w:val="231F20"/>
          <w:sz w:val="22"/>
          <w:szCs w:val="22"/>
        </w:rPr>
        <w:tab/>
      </w:r>
      <w:r>
        <w:rPr>
          <w:rFonts w:ascii="宋体" w:eastAsia="宋体" w:hAnsi="宋体" w:cs="宋体"/>
          <w:color w:val="231F20"/>
          <w:sz w:val="22"/>
          <w:szCs w:val="22"/>
        </w:rPr>
        <w:t>电子信箱：</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1399"/>
        </w:tabs>
        <w:spacing w:before="174" w:after="0"/>
        <w:ind w:right="98"/>
        <w:jc w:val="center"/>
        <w:rPr>
          <w:rFonts w:ascii="Times New Roman" w:eastAsia="Times New Roman" w:hAnsi="Times New Roman" w:cs="Times New Roman"/>
          <w:sz w:val="28"/>
          <w:szCs w:val="28"/>
        </w:rPr>
      </w:pPr>
      <w:r>
        <w:rPr>
          <w:rFonts w:ascii="宋体" w:eastAsia="宋体" w:hAnsi="宋体" w:cs="宋体"/>
          <w:color w:val="231F20"/>
          <w:sz w:val="28"/>
          <w:szCs w:val="28"/>
        </w:rPr>
        <w:t>第二部分</w:t>
      </w:r>
      <w:r>
        <w:rPr>
          <w:rFonts w:ascii="宋体" w:eastAsia="宋体" w:hAnsi="宋体" w:cs="宋体"/>
          <w:color w:val="231F20"/>
          <w:sz w:val="28"/>
          <w:szCs w:val="28"/>
        </w:rPr>
        <w:tab/>
      </w:r>
      <w:r>
        <w:rPr>
          <w:rFonts w:ascii="宋体" w:eastAsia="宋体" w:hAnsi="宋体" w:cs="宋体"/>
          <w:color w:val="231F20"/>
          <w:sz w:val="28"/>
          <w:szCs w:val="28"/>
        </w:rPr>
        <w:t>通用条件</w:t>
      </w:r>
    </w:p>
    <w:p>
      <w:pPr>
        <w:widowControl w:val="0"/>
        <w:spacing w:before="8" w:after="0"/>
        <w:rPr>
          <w:rFonts w:ascii="Times New Roman" w:eastAsia="Times New Roman" w:hAnsi="Times New Roman" w:cs="Times New Roman"/>
          <w:sz w:val="26"/>
          <w:szCs w:val="2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1. 词语定义、语言、解释顺序与适用法律</w:t>
      </w:r>
    </w:p>
    <w:p>
      <w:pPr>
        <w:widowControl w:val="0"/>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1.1 词语定义</w:t>
      </w:r>
    </w:p>
    <w:p>
      <w:pPr>
        <w:widowControl w:val="0"/>
        <w:spacing w:before="108" w:after="0" w:line="319" w:lineRule="auto"/>
        <w:ind w:left="557" w:right="1797"/>
        <w:rPr>
          <w:rFonts w:ascii="Times New Roman" w:eastAsia="Times New Roman" w:hAnsi="Times New Roman" w:cs="Times New Roman"/>
          <w:sz w:val="22"/>
          <w:szCs w:val="22"/>
        </w:rPr>
      </w:pPr>
      <w:r>
        <w:rPr>
          <w:rFonts w:ascii="宋体" w:eastAsia="宋体" w:hAnsi="宋体" w:cs="宋体"/>
          <w:color w:val="231F20"/>
          <w:sz w:val="22"/>
          <w:szCs w:val="22"/>
        </w:rPr>
        <w:t>组成本合同的全部文件中的下列名词和用语应具有本款所赋予的含义： 1.1.1“工程”是指按照本合同约定实施造价咨询与其他服务的建设工程。</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1.1.2“工程造价”是指工程项目建设过程中预计或实际支出的全部费用。</w:t>
      </w:r>
    </w:p>
    <w:p>
      <w:pPr>
        <w:widowControl w:val="0"/>
        <w:spacing w:before="109"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1.1.3“委托人”是指本合同中委托造价咨询与其他服务的一方，及其合法的继承人或受让人。</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1.1.4“咨询人”是指本合同中提供造价咨询与其他服务的一方，及其合法的继承人。</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1.1.5“第三人”是指除委托人、咨询人以外与本咨询业务有关的当事人。</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1.1.6“正常工作”是指本合同订立时通用条件和专用条件中约定的咨询人的工作。</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1.1.7“附加工作”是指咨询人根据合同条件完成的正常工作以外的工作。</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0"/>
          <w:szCs w:val="20"/>
        </w:rPr>
        <w:t>1.1.8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“项目咨询团队”是指咨询人指派负责履行本合同的团队，其团队成员为本合同的项目咨询人员。</w:t>
      </w:r>
    </w:p>
    <w:p>
      <w:pPr>
        <w:widowControl w:val="0"/>
        <w:spacing w:before="26"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1"/>
          <w:sz w:val="20"/>
          <w:szCs w:val="20"/>
        </w:rPr>
        <w:t>1.1.9</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4"/>
          <w:sz w:val="22"/>
          <w:szCs w:val="22"/>
        </w:rPr>
        <w:t>“项目负责人”是指由咨询人的法定代表人书面授权，在授权范围内负责履行本合同、主持项目咨询团队工作的负责人。</w:t>
      </w:r>
    </w:p>
    <w:p>
      <w:pPr>
        <w:widowControl w:val="0"/>
        <w:spacing w:before="26" w:after="0" w:line="319" w:lineRule="auto"/>
        <w:ind w:left="117" w:right="211" w:firstLine="440"/>
        <w:rPr>
          <w:rFonts w:ascii="Times New Roman" w:eastAsia="Times New Roman" w:hAnsi="Times New Roman" w:cs="Times New Roman"/>
          <w:sz w:val="22"/>
          <w:szCs w:val="22"/>
        </w:rPr>
      </w:pPr>
      <w:r>
        <w:rPr>
          <w:rFonts w:ascii="宋体" w:eastAsia="宋体" w:hAnsi="宋体" w:cs="宋体"/>
          <w:color w:val="231F20"/>
          <w:spacing w:val="-1"/>
          <w:sz w:val="20"/>
          <w:szCs w:val="20"/>
        </w:rPr>
        <w:t>1.1.10</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“委托人代表”是指由委托人的法定代表人书面授权，在授权范围内行使委托人权</w:t>
      </w:r>
      <w:r>
        <w:rPr>
          <w:rFonts w:ascii="宋体" w:eastAsia="宋体" w:hAnsi="宋体" w:cs="宋体"/>
          <w:color w:val="231F20"/>
          <w:sz w:val="22"/>
          <w:szCs w:val="22"/>
        </w:rPr>
        <w:t>利的人。</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1.1.11“酬金”是指咨询人履行本合同义务，委托人按照本合同约定给付咨询人的金额。</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1.1.12“正常工作酬金”是指在协议书中载明的，咨询人完成正常工作，委托人应给付咨询人的酬金。</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1.1.13“附加工作酬金”是指咨询人完成附加工作，委托人应给付咨询人的酬金。</w:t>
      </w:r>
    </w:p>
    <w:p>
      <w:pPr>
        <w:widowControl w:val="0"/>
        <w:spacing w:before="108"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54"/>
          <w:sz w:val="20"/>
          <w:szCs w:val="20"/>
        </w:rPr>
        <w:t>1.1.14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“书面形式”是指合同书、信件和数据电文（包括电报、电传、传真、电子数据交换和电子邮件）等可以有形地表现所载内容的形式。</w:t>
      </w:r>
    </w:p>
    <w:p>
      <w:pPr>
        <w:widowControl w:val="0"/>
        <w:spacing w:before="25"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pacing w:val="-54"/>
          <w:sz w:val="20"/>
          <w:szCs w:val="20"/>
        </w:rPr>
        <w:t>1.1.15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“不可抗力”是指委托人和咨询人在订立本合同时不可预见，在合同履行过程中不可避免并不能克服的自然灾害和社会性突发事件，如地震、海啸、瘟疫、水灾、骚乱、暴动、战争等情形。</w:t>
      </w:r>
    </w:p>
    <w:p>
      <w:pPr>
        <w:widowControl w:val="0"/>
        <w:spacing w:before="25"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语言</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本合同使用中文书写、解释和说明。如专用条件约定使用两种及以上语言文字时，应以中</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文为准。</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合同文件的优先顺序</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组成本合同的下列文件彼此应能相互解释、互为说明。除专用条件另有约定外，本合同文件的解释顺序如下：</w:t>
      </w:r>
    </w:p>
    <w:p>
      <w:pPr>
        <w:widowControl w:val="0"/>
        <w:numPr>
          <w:ilvl w:val="0"/>
          <w:numId w:val="11"/>
        </w:numPr>
        <w:spacing w:before="26"/>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协议书</w:t>
      </w:r>
    </w:p>
    <w:p>
      <w:pPr>
        <w:widowControl w:val="0"/>
        <w:numPr>
          <w:ilvl w:val="0"/>
          <w:numId w:val="11"/>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中标通知书或委托书（如果有</w:t>
      </w:r>
      <w:r>
        <w:rPr>
          <w:rFonts w:ascii="宋体" w:eastAsia="宋体" w:hAnsi="宋体" w:cs="宋体"/>
          <w:color w:val="231F20"/>
          <w:spacing w:val="-28"/>
          <w:sz w:val="22"/>
          <w:szCs w:val="22"/>
        </w:rPr>
        <w:t>）；</w:t>
      </w:r>
    </w:p>
    <w:p>
      <w:pPr>
        <w:widowControl w:val="0"/>
        <w:numPr>
          <w:ilvl w:val="0"/>
          <w:numId w:val="11"/>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专用条件及附录；</w:t>
      </w:r>
    </w:p>
    <w:p>
      <w:pPr>
        <w:widowControl w:val="0"/>
        <w:numPr>
          <w:ilvl w:val="0"/>
          <w:numId w:val="11"/>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通用条件；</w:t>
      </w:r>
    </w:p>
    <w:p>
      <w:pPr>
        <w:widowControl w:val="0"/>
        <w:numPr>
          <w:ilvl w:val="0"/>
          <w:numId w:val="11"/>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投标函及投标函附录或造价咨询服务建议书（如果有</w:t>
      </w:r>
      <w:r>
        <w:rPr>
          <w:rFonts w:ascii="宋体" w:eastAsia="宋体" w:hAnsi="宋体" w:cs="宋体"/>
          <w:color w:val="231F20"/>
          <w:spacing w:val="-28"/>
          <w:sz w:val="22"/>
          <w:szCs w:val="22"/>
        </w:rPr>
        <w:t>）；</w:t>
      </w:r>
    </w:p>
    <w:p>
      <w:pPr>
        <w:widowControl w:val="0"/>
        <w:numPr>
          <w:ilvl w:val="0"/>
          <w:numId w:val="11"/>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其他合同文件。</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上述各项合同文件包括合同当事人就该项合同文件所作出的补充和修改，属于同一类内容的文件，应以最新签署的为准。</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在合同订立及履行过程中形成的与合同有关的文件均构成合同文件的组成部分。</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适用法律</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本合同适用中华人民共和国法律、行政法规、部门规章以及工程所在地的地方性法规、自治条例、单行条例和地方政府规章等。</w:t>
      </w:r>
    </w:p>
    <w:p>
      <w:pPr>
        <w:widowControl w:val="0"/>
        <w:spacing w:before="26"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合同当事人可以在专用条件中约定本合同适用的其他规范、规程、定额、技术标准等规范性文件。</w:t>
      </w:r>
    </w:p>
    <w:p>
      <w:pPr>
        <w:widowControl w:val="0"/>
        <w:numPr>
          <w:ilvl w:val="0"/>
          <w:numId w:val="12"/>
        </w:numPr>
        <w:spacing w:before="20"/>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委托人的义务</w:t>
      </w:r>
    </w:p>
    <w:p>
      <w:pPr>
        <w:widowControl w:val="0"/>
        <w:numPr>
          <w:ilvl w:val="1"/>
          <w:numId w:val="12"/>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提供资料</w:t>
      </w:r>
    </w:p>
    <w:p>
      <w:pPr>
        <w:widowControl w:val="0"/>
        <w:spacing w:before="109"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委托人应当在专用条件约定的时间内，按照附录 C 的约定无偿向咨询人提供与本合同咨询业务有关的资料。在本合同履行过程中，委托人应及时向咨询人提供最新的与本合同咨询业务有关的资料。委托人应对所提供资料的真实性、准确性、合法性与完整性负责。</w:t>
      </w:r>
    </w:p>
    <w:p>
      <w:pPr>
        <w:widowControl w:val="0"/>
        <w:spacing w:before="26"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提供工作条件</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委托人应为咨询人完成造价咨询提供必要的条件。</w:t>
      </w:r>
    </w:p>
    <w:p>
      <w:pPr>
        <w:widowControl w:val="0"/>
        <w:spacing w:before="109"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委托人需要咨询人派驻项目现场咨询人员的，除专用条件另有约定外，项目咨询人员有权无偿使用附录 D 中由委托人提供的房屋及设备。</w:t>
      </w:r>
    </w:p>
    <w:p>
      <w:pPr>
        <w:widowControl w:val="0"/>
        <w:spacing w:before="26"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委托人应负责与本工程造价咨询业务有关的所有外部关系的协调，为咨询人履行本合同提供必要的外部条件。</w:t>
      </w:r>
    </w:p>
    <w:p>
      <w:pPr>
        <w:widowControl w:val="0"/>
        <w:spacing w:before="26"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合理工作时限</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委托人应当为咨询人完成其咨询工作，设定合理的工作时限。</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委托人代表</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pacing w:val="-5"/>
          <w:sz w:val="22"/>
          <w:szCs w:val="22"/>
        </w:rPr>
        <w:t xml:space="preserve">委托人应授权一名代表负责本合同的履行。委托人应在双方签订本合同 </w:t>
      </w:r>
      <w:r>
        <w:rPr>
          <w:rFonts w:ascii="宋体" w:eastAsia="宋体" w:hAnsi="宋体" w:cs="宋体"/>
          <w:color w:val="231F20"/>
          <w:sz w:val="22"/>
          <w:szCs w:val="22"/>
        </w:rPr>
        <w:t>7</w:t>
      </w:r>
      <w:r>
        <w:rPr>
          <w:rFonts w:ascii="宋体" w:eastAsia="宋体" w:hAnsi="宋体" w:cs="宋体"/>
          <w:color w:val="231F20"/>
          <w:spacing w:val="-5"/>
          <w:sz w:val="22"/>
          <w:szCs w:val="22"/>
        </w:rPr>
        <w:t xml:space="preserve"> 日内，将委托人代</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pacing w:val="-5"/>
          <w:sz w:val="22"/>
          <w:szCs w:val="22"/>
        </w:rPr>
        <w:t xml:space="preserve">表的姓名和权限范围书面告知咨询人。委托人更换委托人代表时，应提前 </w:t>
      </w:r>
      <w:r>
        <w:rPr>
          <w:rFonts w:ascii="宋体" w:eastAsia="宋体" w:hAnsi="宋体" w:cs="宋体"/>
          <w:color w:val="231F20"/>
          <w:sz w:val="22"/>
          <w:szCs w:val="22"/>
        </w:rPr>
        <w:t>7</w:t>
      </w:r>
      <w:r>
        <w:rPr>
          <w:rFonts w:ascii="宋体" w:eastAsia="宋体" w:hAnsi="宋体" w:cs="宋体"/>
          <w:color w:val="231F20"/>
          <w:spacing w:val="-5"/>
          <w:sz w:val="22"/>
          <w:szCs w:val="22"/>
        </w:rPr>
        <w:t xml:space="preserve"> 日书面通知咨询人。</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答复</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委托人应当在专用条件约定的时间内就咨询人以书面形式提交并要求做出答复的事宜给予书面答复。逾期未答复的，由此造成的工作延误和损失由委托人承担。</w:t>
      </w:r>
    </w:p>
    <w:p>
      <w:pPr>
        <w:widowControl w:val="0"/>
        <w:spacing w:before="26"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2.6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支付</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委托人应当按照合同的约定，向咨询人支付酬金。</w:t>
      </w:r>
    </w:p>
    <w:p>
      <w:pPr>
        <w:widowControl w:val="0"/>
        <w:numPr>
          <w:ilvl w:val="0"/>
          <w:numId w:val="13"/>
        </w:numPr>
        <w:spacing w:before="102"/>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咨询人的义务</w:t>
      </w:r>
    </w:p>
    <w:p>
      <w:pPr>
        <w:widowControl w:val="0"/>
        <w:numPr>
          <w:ilvl w:val="1"/>
          <w:numId w:val="13"/>
        </w:numPr>
        <w:spacing w:before="121"/>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项目咨询团队及人员</w:t>
      </w:r>
    </w:p>
    <w:p>
      <w:pPr>
        <w:widowControl w:val="0"/>
        <w:numPr>
          <w:ilvl w:val="2"/>
          <w:numId w:val="13"/>
        </w:numPr>
        <w:tabs>
          <w:tab w:val="left" w:pos="1117"/>
        </w:tabs>
        <w:spacing w:before="109" w:line="319" w:lineRule="auto"/>
        <w:ind w:left="117" w:right="11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项目咨询团队的主要人员应具有专用条件约定的资格条件，团队人员的数量应符合专用条件的约定。</w:t>
      </w:r>
    </w:p>
    <w:p>
      <w:pPr>
        <w:widowControl w:val="0"/>
        <w:numPr>
          <w:ilvl w:val="2"/>
          <w:numId w:val="13"/>
        </w:numPr>
        <w:tabs>
          <w:tab w:val="left" w:pos="1117"/>
        </w:tabs>
        <w:spacing w:before="26"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项目负责人</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咨询人应以书面形式授权一名项目负责人负责履行本合同、主持项目咨询团队工作。采用招标程序签署本合同的，项目负责人应当与投标文件载明的一致。</w:t>
      </w:r>
    </w:p>
    <w:p>
      <w:pPr>
        <w:widowControl w:val="0"/>
        <w:spacing w:before="26"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在本合同履行过程中，咨询人员应保持相对稳定，以保证咨询工作正常进行。</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咨询人可根据工程进展和工作需要等情形调整项目咨询团队人员。咨询人更换项目负责人时，应提前 7 日向委托人书面报告，经委托人同意后方可更换。除专用条件另有约定外，咨询</w:t>
      </w:r>
    </w:p>
    <w:p>
      <w:pPr>
        <w:widowControl w:val="0"/>
        <w:spacing w:before="25" w:after="0" w:line="319" w:lineRule="auto"/>
        <w:ind w:left="117"/>
        <w:rPr>
          <w:rFonts w:ascii="Times New Roman" w:eastAsia="Times New Roman" w:hAnsi="Times New Roman" w:cs="Times New Roman"/>
          <w:sz w:val="22"/>
          <w:szCs w:val="22"/>
        </w:rPr>
      </w:pPr>
      <w:r>
        <w:rPr>
          <w:rFonts w:ascii="宋体" w:eastAsia="宋体" w:hAnsi="宋体" w:cs="宋体"/>
          <w:color w:val="231F20"/>
          <w:sz w:val="22"/>
          <w:szCs w:val="22"/>
        </w:rPr>
        <w:t>人更换项目咨询团队其他咨询人员，应提前 3 日向委托人书面报告，经委托人同意后以相当资格与能力的人员替换。</w:t>
      </w:r>
    </w:p>
    <w:p>
      <w:pPr>
        <w:widowControl w:val="0"/>
        <w:spacing w:before="25"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咨询人员有下列情形之一，委托人要求咨询人更换的，咨询人应当更换：</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1）存在严重过失行为的；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2）存在违法行为不能履行职责的；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3）涉嫌犯罪的；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4）不能胜任岗位职责的；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5）严重违反职业道德的；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6）专用条件约定的其他情形。</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咨询人的工作要求</w:t>
      </w:r>
    </w:p>
    <w:p>
      <w:pPr>
        <w:widowControl w:val="0"/>
        <w:spacing w:before="109"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咨询人应当按照专用条件约定的时间等要求向委托人提供与工程造价咨询业务有关的资料，包括工程造价咨询企业的资质证书及承担本合同业务的团队人员名单及执业（从业）资格证书、咨询工作大纲等，并按合同约定的服务范围和工作内容实施咨询业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咨询人应当在专用条件约定的时间内，按照专用条件约定的份数、组成向委托人提交咨询成果文件。</w:t>
      </w:r>
    </w:p>
    <w:p>
      <w:pPr>
        <w:widowControl w:val="0"/>
        <w:spacing w:before="26"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咨询人提供造价咨询服务以及出具工程造价咨询成果文件应符合现行国家或行业有关规定、标准、规范的要求。委托人要求的工程造价咨询成果文件质量标准高于现行国家或行业标准的，应在专用条件中约定具体的质量标准，并相应增加服务酬金。</w:t>
      </w:r>
    </w:p>
    <w:p>
      <w:pPr>
        <w:widowControl w:val="0"/>
        <w:spacing w:before="26"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咨询人提交的工程造价咨询成果文件，除加盖咨询人单位公章、工程造价咨询企业执业印章外，还必须按要求加盖参加咨询工作人员的执业（从业）资格印章。</w:t>
      </w:r>
    </w:p>
    <w:p>
      <w:pPr>
        <w:widowControl w:val="0"/>
        <w:spacing w:before="26"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咨询人应在专用条件约定的时间内，对委托人以书面形式提出的建议或者异议给予书面答复。</w:t>
      </w:r>
    </w:p>
    <w:p>
      <w:pPr>
        <w:widowControl w:val="0"/>
        <w:spacing w:before="26"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咨询人从事工程造价咨询活动，应当遵循独立、客观、公正、诚实信用的原则，不得损害社会公共利益和他人的合法权益。</w:t>
      </w:r>
    </w:p>
    <w:p>
      <w:pPr>
        <w:widowControl w:val="0"/>
        <w:spacing w:before="26"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3.2.6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咨询人承诺按照法律规定及合同约定，完成合同范围内的建设工程造价咨询服务，不转包承接的造价咨询服务业务。</w:t>
      </w:r>
    </w:p>
    <w:p>
      <w:pPr>
        <w:widowControl w:val="0"/>
        <w:spacing w:before="26"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咨询人的工作依据</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咨询人应在专用条件内与委托人协商明确履行本合同约定的咨询服务需要适用的技术标准、规范、定额等工作依据，但不得违反国家及工程所在地的强制性标准、规范。</w:t>
      </w:r>
    </w:p>
    <w:p>
      <w:pPr>
        <w:widowControl w:val="0"/>
        <w:spacing w:before="25"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咨询人应自行配备本条所述的技术标准、规范、定额等相关资料。必须由委托人提供的资料，应在附录 C 中载明。需要委托人协助才能获得的资料，委托人应予以协助。</w:t>
      </w:r>
    </w:p>
    <w:p>
      <w:pPr>
        <w:widowControl w:val="0"/>
        <w:spacing w:before="25"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使用委托人房屋及设备的返还</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项目咨询人员使用委托人提供的房屋及设备的，咨询人应妥善使用和保管，在本合同终止时将上述房屋及设备按专用条件约定的时间和方式返还委托人。</w:t>
      </w:r>
    </w:p>
    <w:p>
      <w:pPr>
        <w:widowControl w:val="0"/>
        <w:numPr>
          <w:ilvl w:val="0"/>
          <w:numId w:val="14"/>
        </w:numPr>
        <w:spacing w:before="19"/>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违约责任</w:t>
      </w:r>
    </w:p>
    <w:p>
      <w:pPr>
        <w:widowControl w:val="0"/>
        <w:numPr>
          <w:ilvl w:val="1"/>
          <w:numId w:val="14"/>
        </w:numPr>
        <w:spacing w:before="121"/>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委托人的违约责任</w:t>
      </w:r>
    </w:p>
    <w:p>
      <w:pPr>
        <w:widowControl w:val="0"/>
        <w:numPr>
          <w:ilvl w:val="2"/>
          <w:numId w:val="14"/>
        </w:numPr>
        <w:tabs>
          <w:tab w:val="left" w:pos="1117"/>
        </w:tabs>
        <w:spacing w:before="109" w:line="319" w:lineRule="auto"/>
        <w:ind w:left="117" w:right="11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委托人不履行本合同义务或者履行义务不符合本合同约定的，应承担违约责任。双方可在专用条件中约定违约金的计算及支付方法。</w:t>
      </w:r>
    </w:p>
    <w:p>
      <w:pPr>
        <w:widowControl w:val="0"/>
        <w:numPr>
          <w:ilvl w:val="2"/>
          <w:numId w:val="14"/>
        </w:numPr>
        <w:tabs>
          <w:tab w:val="left" w:pos="1117"/>
        </w:tabs>
        <w:spacing w:before="26" w:line="319" w:lineRule="auto"/>
        <w:ind w:left="117" w:right="11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委托人违反本合同约定造成咨询人损失的，委托人应予以赔偿。双方可在专用条件中约定赔偿金额的确定及支付方法。</w:t>
      </w:r>
    </w:p>
    <w:p>
      <w:pPr>
        <w:widowControl w:val="0"/>
        <w:numPr>
          <w:ilvl w:val="2"/>
          <w:numId w:val="14"/>
        </w:numPr>
        <w:tabs>
          <w:tab w:val="left" w:pos="1117"/>
        </w:tabs>
        <w:spacing w:before="26" w:line="319" w:lineRule="auto"/>
        <w:ind w:left="117" w:right="111"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1"/>
          <w:sz w:val="22"/>
          <w:szCs w:val="22"/>
        </w:rPr>
        <w:t xml:space="preserve">委托人未能按期支付酬金超过 </w:t>
      </w:r>
      <w:r>
        <w:rPr>
          <w:rFonts w:ascii="宋体" w:eastAsia="宋体" w:hAnsi="宋体" w:cs="宋体"/>
          <w:color w:val="231F20"/>
          <w:spacing w:val="0"/>
          <w:sz w:val="22"/>
          <w:szCs w:val="22"/>
        </w:rPr>
        <w:t>14 天，应按下列方法计算并支付逾期付款利息。逾期付款利息 = 当期应付款总额 × 中国人民银行发布的同期贷款基准利率 × 逾期支付天数（自逾期之日起计算</w:t>
      </w:r>
      <w:r>
        <w:rPr>
          <w:rFonts w:ascii="宋体" w:eastAsia="宋体" w:hAnsi="宋体" w:cs="宋体"/>
          <w:color w:val="231F20"/>
          <w:spacing w:val="-83"/>
          <w:sz w:val="22"/>
          <w:szCs w:val="22"/>
        </w:rPr>
        <w:t>）</w:t>
      </w:r>
      <w:r>
        <w:rPr>
          <w:rFonts w:ascii="宋体" w:eastAsia="宋体" w:hAnsi="宋体" w:cs="宋体"/>
          <w:color w:val="231F20"/>
          <w:spacing w:val="0"/>
          <w:sz w:val="22"/>
          <w:szCs w:val="22"/>
        </w:rPr>
        <w:t>。双方也可在专用条件中另行约定逾期付款利息的计算及支付方法。</w:t>
      </w:r>
    </w:p>
    <w:p>
      <w:pPr>
        <w:widowControl w:val="0"/>
        <w:numPr>
          <w:ilvl w:val="1"/>
          <w:numId w:val="14"/>
        </w:numPr>
        <w:spacing w:before="26"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咨询人的违约责任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4.2.1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咨询人不履行本合同义务或者履行义务不符合本合同约定的，应承担违约责任。双方可在专用条件中约定违约金的计算及支付方法。</w:t>
      </w:r>
    </w:p>
    <w:p>
      <w:pPr>
        <w:widowControl w:val="0"/>
        <w:spacing w:before="26"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4.2.2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因咨询人违反本合同约定给委托人造成损失的，咨询人应当赔偿委托人损失。双方可在专用条件中约定赔偿金额的确定及支付方法。</w:t>
      </w:r>
    </w:p>
    <w:p>
      <w:pPr>
        <w:widowControl w:val="0"/>
        <w:numPr>
          <w:ilvl w:val="0"/>
          <w:numId w:val="15"/>
        </w:numPr>
        <w:spacing w:before="20"/>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支付</w:t>
      </w:r>
    </w:p>
    <w:p>
      <w:pPr>
        <w:widowControl w:val="0"/>
        <w:numPr>
          <w:ilvl w:val="1"/>
          <w:numId w:val="15"/>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支付货币</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除专用条件另有约定外，酬金均以人民币支付。涉及外币支付的，所采用的货币种类和汇率等在专用条件中约定。</w:t>
      </w:r>
    </w:p>
    <w:p>
      <w:pPr>
        <w:widowControl w:val="0"/>
        <w:spacing w:before="26"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支付申请</w:t>
      </w:r>
    </w:p>
    <w:p>
      <w:pPr>
        <w:widowControl w:val="0"/>
        <w:spacing w:before="109"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咨询人应在本合同约定的每次应付款日期前，向委托人提交支付申请书，支付申请书的提交日期由双方在专用条件中约定。支付申请书应当说明当期应付款总额，并列出当期应支付的款项及其金额。</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支付酬金</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支付酬金包括正常工作酬金、附加工作酬金、合理化建议奖励金额及费用。</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有异议部分的支付</w:t>
      </w:r>
    </w:p>
    <w:p>
      <w:pPr>
        <w:widowControl w:val="0"/>
        <w:spacing w:before="109" w:after="0" w:line="319"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委托人对咨询人提交的支付申请书有异议时，应当在收到咨询人提交的支付申请书后 7 日内，以书面形式向咨询人发出异议通知。无异议部分的款项应按期支付，有异议部分的款项按第 7 条约定办理。</w:t>
      </w:r>
    </w:p>
    <w:p>
      <w:pPr>
        <w:widowControl w:val="0"/>
        <w:numPr>
          <w:ilvl w:val="0"/>
          <w:numId w:val="16"/>
        </w:numPr>
        <w:spacing w:before="20"/>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合同变更、解除与终止</w:t>
      </w:r>
    </w:p>
    <w:p>
      <w:pPr>
        <w:widowControl w:val="0"/>
        <w:numPr>
          <w:ilvl w:val="1"/>
          <w:numId w:val="16"/>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合同变更</w:t>
      </w:r>
    </w:p>
    <w:p>
      <w:pPr>
        <w:widowControl w:val="0"/>
        <w:numPr>
          <w:ilvl w:val="2"/>
          <w:numId w:val="16"/>
        </w:numPr>
        <w:tabs>
          <w:tab w:val="left" w:pos="111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任何一方以书面形式提出变更请求时，双方经协商一致后可进行变更。</w:t>
      </w:r>
    </w:p>
    <w:p>
      <w:pPr>
        <w:widowControl w:val="0"/>
        <w:numPr>
          <w:ilvl w:val="2"/>
          <w:numId w:val="16"/>
        </w:numPr>
        <w:tabs>
          <w:tab w:val="left" w:pos="1117"/>
        </w:tabs>
        <w:spacing w:before="109" w:line="319" w:lineRule="auto"/>
        <w:ind w:left="117" w:right="108"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1"/>
          <w:sz w:val="22"/>
          <w:szCs w:val="22"/>
        </w:rPr>
        <w:t>除不可抗力外，因非咨询人原因导致咨询人履行合同期限延长、内容增加时，咨询</w:t>
      </w:r>
      <w:r>
        <w:rPr>
          <w:rFonts w:ascii="宋体" w:eastAsia="宋体" w:hAnsi="宋体" w:cs="宋体"/>
          <w:color w:val="231F20"/>
          <w:spacing w:val="0"/>
          <w:sz w:val="22"/>
          <w:szCs w:val="22"/>
        </w:rPr>
        <w:t>人应当将此情况与可能产生的影响及时通知委托人。增加的工作时间或工作内容应视为附加工作。附加工作酬金的确定方法由双方根据委托的服务范围及工作内容在专用条件中约定。</w:t>
      </w:r>
    </w:p>
    <w:p>
      <w:pPr>
        <w:widowControl w:val="0"/>
        <w:numPr>
          <w:ilvl w:val="2"/>
          <w:numId w:val="16"/>
        </w:numPr>
        <w:tabs>
          <w:tab w:val="left" w:pos="1117"/>
        </w:tabs>
        <w:spacing w:before="25" w:line="319" w:lineRule="auto"/>
        <w:ind w:left="117" w:right="110"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履行过程中，遇有与工程相关的法律法规、强制性标准颁布或修订的，双方应遵照执行。非强制性标准、规范、定额等发生变化的，双方协商确定执行依据。由此引起造价咨询的服务范围及内容、服务期限、酬金变化的，双方应通过协商确定。</w:t>
      </w:r>
    </w:p>
    <w:p>
      <w:pPr>
        <w:widowControl w:val="0"/>
        <w:numPr>
          <w:ilvl w:val="2"/>
          <w:numId w:val="16"/>
        </w:numPr>
        <w:tabs>
          <w:tab w:val="left" w:pos="1117"/>
        </w:tabs>
        <w:spacing w:before="25" w:line="319" w:lineRule="auto"/>
        <w:ind w:left="117" w:right="11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因工程规模、服务范围及工作内容的变化等导致咨询人的工作量增减时，服务酬金应作相应调整，调整方法由双方在专用条件中约定。</w:t>
      </w:r>
    </w:p>
    <w:p>
      <w:pPr>
        <w:widowControl w:val="0"/>
        <w:numPr>
          <w:ilvl w:val="1"/>
          <w:numId w:val="16"/>
        </w:numPr>
        <w:spacing w:before="25"/>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合同解除</w:t>
      </w:r>
    </w:p>
    <w:p>
      <w:pPr>
        <w:widowControl w:val="0"/>
        <w:numPr>
          <w:ilvl w:val="2"/>
          <w:numId w:val="16"/>
        </w:numPr>
        <w:spacing w:before="108" w:after="0"/>
        <w:ind w:left="1117" w:right="0" w:hanging="56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委托人与咨询人协商一致，可以解除合同。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有下列情形之一的，合同当事人一方或双方可以解除合同：</w:t>
      </w:r>
    </w:p>
    <w:p>
      <w:pPr>
        <w:widowControl w:val="0"/>
        <w:spacing w:before="109"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1）咨询人将本合同约定的工程造价咨询服务工作全部或部分转包给他人，委托人可以解除合同；</w:t>
      </w:r>
    </w:p>
    <w:p>
      <w:pPr>
        <w:widowControl w:val="0"/>
        <w:spacing w:before="25"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2）咨询人提供的造价咨询服务不符合合同约定的要求，经委托人催告仍不能达到合同约定要求的，委托人可以解除合同；</w:t>
      </w:r>
    </w:p>
    <w:p>
      <w:pPr>
        <w:widowControl w:val="0"/>
        <w:spacing w:before="25"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3）委托人未按合同约定支付服务酬金，经咨询人催告后，在 28 天内仍未支付的，咨询人可以解除合同；</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4）因不可抗力致使合同无法履行；</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5）因一方违约致使合同无法实际履行或实际履行已无必要。</w:t>
      </w:r>
    </w:p>
    <w:p>
      <w:pPr>
        <w:widowControl w:val="0"/>
        <w:spacing w:before="108"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除上述情形外，双方可以根据委托的服务范围及工作内容，在专用条件中约定解除合同的其他条件。</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6.2.3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任何一方提出解除合同的，应提前 </w:t>
      </w:r>
      <w:r>
        <w:rPr>
          <w:rFonts w:ascii="宋体" w:eastAsia="宋体" w:hAnsi="宋体" w:cs="宋体"/>
          <w:color w:val="231F20"/>
          <w:sz w:val="22"/>
          <w:szCs w:val="22"/>
        </w:rPr>
        <w:t>30</w:t>
      </w:r>
      <w:r>
        <w:rPr>
          <w:rFonts w:ascii="宋体" w:eastAsia="宋体" w:hAnsi="宋体" w:cs="宋体"/>
          <w:color w:val="231F20"/>
          <w:spacing w:val="-1"/>
          <w:sz w:val="22"/>
          <w:szCs w:val="22"/>
        </w:rPr>
        <w:t xml:space="preserve"> 天书面通知对方。</w:t>
      </w:r>
    </w:p>
    <w:p>
      <w:pPr>
        <w:widowControl w:val="0"/>
        <w:spacing w:before="109" w:after="0"/>
        <w:ind w:left="10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6.2.4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合同解除后，委托人应按照合同约定向咨询人支付已完成部分的咨询服务酬金。</w:t>
      </w:r>
    </w:p>
    <w:p>
      <w:pPr>
        <w:widowControl w:val="0"/>
        <w:spacing w:before="109"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不可抗力导致的合同解除，其损失的分担按照合理分担的原则由合同当事人在专用条件中自行约定。除不可抗力外因非咨询人原因导致的合同解除，其损失由委托人承担。因咨询人自身原因导致的合同解除，按照违约责任处理。</w:t>
      </w:r>
    </w:p>
    <w:p>
      <w:pPr>
        <w:widowControl w:val="0"/>
        <w:spacing w:before="25" w:after="0"/>
        <w:ind w:left="10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6.2.5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本合同解除后，本合同约定的有关结算、争议解决方式的条款仍然有效。</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6.3 合同终止</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除合同解除外，以下条件全部满足时，本合同终止：</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1）咨询人完成本合同约定的全部工作；</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2）委托人与咨询人结清并支付酬金；</w:t>
      </w:r>
    </w:p>
    <w:p>
      <w:pPr>
        <w:widowControl w:val="0"/>
        <w:spacing w:before="108" w:after="0"/>
        <w:ind w:left="501"/>
        <w:rPr>
          <w:rFonts w:ascii="Times New Roman" w:eastAsia="Times New Roman" w:hAnsi="Times New Roman" w:cs="Times New Roman"/>
          <w:sz w:val="22"/>
          <w:szCs w:val="22"/>
        </w:rPr>
      </w:pPr>
      <w:r>
        <w:rPr>
          <w:rFonts w:ascii="宋体" w:eastAsia="宋体" w:hAnsi="宋体" w:cs="宋体"/>
          <w:color w:val="231F20"/>
          <w:sz w:val="22"/>
          <w:szCs w:val="22"/>
        </w:rPr>
        <w:t>（ 3）咨询人将委托人提供的资料交还。</w:t>
      </w:r>
    </w:p>
    <w:p>
      <w:pPr>
        <w:widowControl w:val="0"/>
        <w:numPr>
          <w:ilvl w:val="0"/>
          <w:numId w:val="17"/>
        </w:numPr>
        <w:spacing w:before="102"/>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争议解决</w:t>
      </w:r>
    </w:p>
    <w:p>
      <w:pPr>
        <w:widowControl w:val="0"/>
        <w:numPr>
          <w:ilvl w:val="1"/>
          <w:numId w:val="17"/>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协商</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双方应本着诚实信用的原则协商解决本合同履行过程中发生的争议。</w:t>
      </w:r>
    </w:p>
    <w:p>
      <w:pPr>
        <w:widowControl w:val="0"/>
        <w:spacing w:before="108"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调解</w:t>
      </w:r>
    </w:p>
    <w:p>
      <w:pPr>
        <w:widowControl w:val="0"/>
        <w:spacing w:before="108" w:after="0" w:line="319" w:lineRule="auto"/>
        <w:ind w:left="117" w:right="99" w:firstLine="440"/>
        <w:rPr>
          <w:rFonts w:ascii="Times New Roman" w:eastAsia="Times New Roman" w:hAnsi="Times New Roman" w:cs="Times New Roman"/>
          <w:sz w:val="22"/>
          <w:szCs w:val="22"/>
        </w:rPr>
      </w:pPr>
      <w:r>
        <w:rPr>
          <w:rFonts w:ascii="宋体" w:eastAsia="宋体" w:hAnsi="宋体" w:cs="宋体"/>
          <w:color w:val="231F20"/>
          <w:sz w:val="22"/>
          <w:szCs w:val="22"/>
        </w:rPr>
        <w:t>如果双方不能在 14 日内或双方商定的其他时间内解决本合同争议，可以将其提交给专用条件约定的或事后达成协议的调解人进行调解。</w:t>
      </w:r>
    </w:p>
    <w:p>
      <w:pPr>
        <w:widowControl w:val="0"/>
        <w:spacing w:before="25"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仲裁或诉讼</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双方均有权不经调解直接向专用条件约定的仲裁机构申请仲裁或向有管辖权的人民法院提起诉讼。</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18"/>
        </w:numPr>
        <w:spacing w:before="18"/>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其他</w:t>
      </w:r>
    </w:p>
    <w:p>
      <w:pPr>
        <w:widowControl w:val="0"/>
        <w:numPr>
          <w:ilvl w:val="1"/>
          <w:numId w:val="18"/>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考察及相关费用</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除专用条件另有约定外，咨询人经委托人同意进行考察发生的费用由委托人审核后另行支付。差旅费及相关费用的承担由双方在专用条件中约定。</w:t>
      </w:r>
    </w:p>
    <w:p>
      <w:pPr>
        <w:widowControl w:val="0"/>
        <w:spacing w:before="26"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奖励</w:t>
      </w:r>
    </w:p>
    <w:p>
      <w:pPr>
        <w:widowControl w:val="0"/>
        <w:spacing w:before="109"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对于咨询人在服务过程中提出合理化建议，使委托人获得效益的，双方在专用条件中约定奖励金额的确定方法。奖励金额在合理化建议被采纳后，与最近一期的正常工作酬金同期支付。</w:t>
      </w:r>
    </w:p>
    <w:p>
      <w:pPr>
        <w:widowControl w:val="0"/>
        <w:spacing w:before="25"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保密</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在本合同履行期间或专用条件约定的期限内，双方不得泄露对方申明的保密资料，亦不得泄露与实施工程有关的第三人所提供的保密资料。保密事项在专用条件中约定。</w:t>
      </w:r>
    </w:p>
    <w:p>
      <w:pPr>
        <w:widowControl w:val="0"/>
        <w:spacing w:before="26" w:after="0"/>
        <w:ind w:left="938"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联络</w:t>
      </w:r>
    </w:p>
    <w:p>
      <w:pPr>
        <w:widowControl w:val="0"/>
        <w:spacing w:before="109"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与合同有关的通知、指示、要求、决定等，均应采用书面形式，并应在专用条件约定的期限内送达接收人和送达地点。</w:t>
      </w:r>
    </w:p>
    <w:p>
      <w:pPr>
        <w:widowControl w:val="0"/>
        <w:spacing w:before="25"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8.4.2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委托人和咨询人应在专用条件中约定各自的送达接收人、送达地点、电子邮箱。任何一方指定的接收人或送达地点或电子邮箱发生变动的，应提前 3 天以书面形式通知对方，否则视为未发生变动。</w:t>
      </w:r>
    </w:p>
    <w:p>
      <w:pPr>
        <w:widowControl w:val="0"/>
        <w:spacing w:before="25"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委托人和咨询人应当及时签收另一方送达至送达地点和指定接收人的往来函件，如确有充分证据证明一方无正当理由拒不签收的，视为认可往来函件的内容。</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8.5 知识产权</w:t>
      </w:r>
    </w:p>
    <w:p>
      <w:pPr>
        <w:widowControl w:val="0"/>
        <w:spacing w:before="108" w:after="0" w:line="319" w:lineRule="auto"/>
        <w:ind w:left="117" w:right="1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条件另有约定外，委托人提供给咨询人的图纸、委托人为实施工程自行编制或委托编制的技术规范以及反映委托人要求的或其他类似性质文件的著作权属于委托人，咨询人可以为实现本合同目的而复制或者以其他方式使用此类文件，但不能用于与本合同无关的其他事项。未经委托人书面同意，咨询人不得为了本合同以外的目的而复制或者以其他方式使用上述文件或将之提供给任何第三方。</w:t>
      </w:r>
    </w:p>
    <w:p>
      <w:pPr>
        <w:widowControl w:val="0"/>
        <w:spacing w:before="25"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条件另有约定外，咨询人为履行本合同约定而编制的成果文件，其著作权属于咨询人。委托人可以为实现合同目的而复制、使用此类文件，但不能擅自修改或用于与本合同无关的其他事项。未经咨询人书面同意，委托人不得为了本合同以外的目的而复制或者以其他方式使用上述文件或将之提供给任何第三方。</w:t>
      </w:r>
    </w:p>
    <w:p>
      <w:pPr>
        <w:widowControl w:val="0"/>
        <w:spacing w:before="25"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双方保证在履行本合同过程中不侵犯对方及第三方的知识产权。因咨询人侵犯他人知识产权所引起的责任，由咨询人承担；因委托人提供的基础资料导致侵权的，由委托人承担责任。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33" w:firstLine="440"/>
        <w:rPr>
          <w:rFonts w:ascii="Times New Roman" w:eastAsia="Times New Roman" w:hAnsi="Times New Roman" w:cs="Times New Roman"/>
          <w:sz w:val="22"/>
          <w:szCs w:val="22"/>
        </w:rPr>
      </w:pPr>
      <w:r>
        <w:rPr>
          <w:rFonts w:ascii="宋体" w:eastAsia="宋体" w:hAnsi="宋体" w:cs="宋体"/>
          <w:color w:val="231F20"/>
          <w:sz w:val="22"/>
          <w:szCs w:val="22"/>
        </w:rPr>
        <w:t>除专用条件另有约定外，双方均有权在履行本合同保密义务并且不损害对方利益的情况下， 将履行本合同形成的有关成果文件用于企业宣传、申报奖项以及接受上级主管部门的检查。</w:t>
      </w:r>
    </w:p>
    <w:p>
      <w:pPr>
        <w:widowControl w:val="0"/>
        <w:spacing w:before="6" w:after="0"/>
        <w:rPr>
          <w:rFonts w:ascii="Times New Roman" w:eastAsia="Times New Roman" w:hAnsi="Times New Roman" w:cs="Times New Roman"/>
          <w:sz w:val="22"/>
          <w:szCs w:val="22"/>
        </w:rPr>
      </w:pPr>
    </w:p>
    <w:p>
      <w:pPr>
        <w:widowControl w:val="0"/>
        <w:tabs>
          <w:tab w:val="left" w:pos="1399"/>
        </w:tabs>
        <w:spacing w:before="0" w:after="0"/>
        <w:ind w:right="98"/>
        <w:jc w:val="center"/>
        <w:rPr>
          <w:rFonts w:ascii="Times New Roman" w:eastAsia="Times New Roman" w:hAnsi="Times New Roman" w:cs="Times New Roman"/>
          <w:sz w:val="28"/>
          <w:szCs w:val="28"/>
        </w:rPr>
      </w:pPr>
      <w:r>
        <w:rPr>
          <w:rFonts w:ascii="宋体" w:eastAsia="宋体" w:hAnsi="宋体" w:cs="宋体"/>
          <w:color w:val="231F20"/>
          <w:sz w:val="28"/>
          <w:szCs w:val="28"/>
        </w:rPr>
        <w:t>第三部分</w:t>
      </w:r>
      <w:r>
        <w:rPr>
          <w:rFonts w:ascii="宋体" w:eastAsia="宋体" w:hAnsi="宋体" w:cs="宋体"/>
          <w:color w:val="231F20"/>
          <w:sz w:val="28"/>
          <w:szCs w:val="28"/>
        </w:rPr>
        <w:tab/>
      </w:r>
      <w:r>
        <w:rPr>
          <w:rFonts w:ascii="宋体" w:eastAsia="宋体" w:hAnsi="宋体" w:cs="宋体"/>
          <w:color w:val="231F20"/>
          <w:sz w:val="28"/>
          <w:szCs w:val="28"/>
        </w:rPr>
        <w:t>专用条件</w:t>
      </w:r>
    </w:p>
    <w:p>
      <w:pPr>
        <w:widowControl w:val="0"/>
        <w:spacing w:before="8" w:after="0"/>
        <w:rPr>
          <w:rFonts w:ascii="Times New Roman" w:eastAsia="Times New Roman" w:hAnsi="Times New Roman" w:cs="Times New Roman"/>
          <w:sz w:val="26"/>
          <w:szCs w:val="26"/>
        </w:rPr>
      </w:pPr>
    </w:p>
    <w:p>
      <w:pPr>
        <w:widowControl w:val="0"/>
        <w:numPr>
          <w:ilvl w:val="0"/>
          <w:numId w:val="19"/>
        </w:numPr>
        <w:spacing w:before="0"/>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词语定义、语言、解释顺序与适用法律</w:t>
      </w:r>
    </w:p>
    <w:p>
      <w:pPr>
        <w:widowControl w:val="0"/>
        <w:numPr>
          <w:ilvl w:val="1"/>
          <w:numId w:val="19"/>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语言</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本合同文件除使用中文外，还可用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合同文件的优先顺序</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本合同文件的解释顺序为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适用法律</w:t>
      </w:r>
    </w:p>
    <w:p>
      <w:pPr>
        <w:widowControl w:val="0"/>
        <w:tabs>
          <w:tab w:val="left" w:pos="918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本合同适用的其他规范性文件包括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20"/>
        </w:numPr>
        <w:spacing w:before="103"/>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委托人的义务</w:t>
      </w:r>
    </w:p>
    <w:p>
      <w:pPr>
        <w:widowControl w:val="0"/>
        <w:numPr>
          <w:ilvl w:val="1"/>
          <w:numId w:val="20"/>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提供资料</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委托人按照附录 C 约定无偿向咨询人提供与本合同咨询业务有关资料的时间为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4437"/>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提供工作条件</w:t>
      </w:r>
    </w:p>
    <w:p>
      <w:pPr>
        <w:widowControl w:val="0"/>
        <w:tabs>
          <w:tab w:val="left" w:pos="9188"/>
        </w:tabs>
        <w:spacing w:before="109" w:after="0"/>
        <w:ind w:left="1048" w:hanging="49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2.2.1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项目咨询人员使用附录 D 中由委托人提供的房屋及设备，支付使用费的标准为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3094"/>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委托人代表</w:t>
      </w:r>
    </w:p>
    <w:p>
      <w:pPr>
        <w:widowControl w:val="0"/>
        <w:tabs>
          <w:tab w:val="left" w:pos="4437"/>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委托人代表为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，其权限范围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6597"/>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答复</w:t>
      </w:r>
    </w:p>
    <w:p>
      <w:pPr>
        <w:widowControl w:val="0"/>
        <w:tabs>
          <w:tab w:val="left" w:pos="2765"/>
        </w:tabs>
        <w:spacing w:before="109" w:after="0" w:line="319"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委托人同意在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日内，对咨询人书面提交并要求做出决定的事宜给予书面答复。逾 期未答复的，视为委托人认可。</w:t>
      </w:r>
    </w:p>
    <w:p>
      <w:pPr>
        <w:widowControl w:val="0"/>
        <w:numPr>
          <w:ilvl w:val="0"/>
          <w:numId w:val="21"/>
        </w:numPr>
        <w:spacing w:before="20"/>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咨询人的义务</w:t>
      </w:r>
    </w:p>
    <w:p>
      <w:pPr>
        <w:widowControl w:val="0"/>
        <w:numPr>
          <w:ilvl w:val="1"/>
          <w:numId w:val="21"/>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项目咨询团队及人员</w:t>
      </w:r>
    </w:p>
    <w:p>
      <w:pPr>
        <w:widowControl w:val="0"/>
        <w:numPr>
          <w:ilvl w:val="2"/>
          <w:numId w:val="21"/>
        </w:numPr>
        <w:tabs>
          <w:tab w:val="left" w:pos="1117"/>
          <w:tab w:val="left" w:pos="6548"/>
        </w:tabs>
        <w:spacing w:before="109" w:line="319" w:lineRule="auto"/>
        <w:ind w:left="117" w:right="21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项目咨询团队的主要人员应具有</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资格条件，团队人员的数量为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人。</w:t>
      </w:r>
    </w:p>
    <w:p>
      <w:pPr>
        <w:widowControl w:val="0"/>
        <w:numPr>
          <w:ilvl w:val="2"/>
          <w:numId w:val="21"/>
        </w:numPr>
        <w:tabs>
          <w:tab w:val="left" w:pos="1117"/>
          <w:tab w:val="left" w:pos="4292"/>
          <w:tab w:val="left" w:pos="9188"/>
        </w:tabs>
        <w:spacing w:before="26" w:after="0"/>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项目负责人为</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，项目负责人为履行本合同的权限为</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188"/>
        </w:tabs>
        <w:spacing w:before="24" w:after="0"/>
        <w:ind w:left="117" w:firstLine="440"/>
        <w:rPr>
          <w:rFonts w:ascii="Times New Roman" w:eastAsia="Times New Roman" w:hAnsi="Times New Roman" w:cs="Times New Roman"/>
          <w:sz w:val="22"/>
          <w:szCs w:val="22"/>
          <w:u w:val="single"/>
        </w:rPr>
      </w:pPr>
      <w:r>
        <w:rPr>
          <w:rFonts w:ascii="宋体" w:eastAsia="宋体" w:hAnsi="宋体" w:cs="宋体"/>
          <w:color w:val="231F20"/>
          <w:spacing w:val="-1"/>
          <w:sz w:val="22"/>
          <w:szCs w:val="22"/>
        </w:rPr>
        <w:t>3.1.3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咨</w:t>
      </w:r>
      <w:r>
        <w:rPr>
          <w:rFonts w:ascii="宋体" w:eastAsia="宋体" w:hAnsi="宋体" w:cs="宋体"/>
          <w:color w:val="231F20"/>
          <w:sz w:val="22"/>
          <w:szCs w:val="22"/>
        </w:rPr>
        <w:t>询人更换项目咨询团队其他咨询人员的约定</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ind w:left="117"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委托人要求更换咨询人员的情形还包括</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咨询人的工作要求</w:t>
      </w:r>
    </w:p>
    <w:p>
      <w:pPr>
        <w:widowControl w:val="0"/>
        <w:tabs>
          <w:tab w:val="left" w:pos="7854"/>
        </w:tabs>
        <w:spacing w:before="109" w:after="0" w:line="319" w:lineRule="auto"/>
        <w:ind w:left="117" w:right="213" w:firstLine="440"/>
        <w:rPr>
          <w:rFonts w:ascii="Times New Roman" w:eastAsia="Times New Roman" w:hAnsi="Times New Roman" w:cs="Times New Roman"/>
          <w:sz w:val="22"/>
          <w:szCs w:val="22"/>
        </w:rPr>
      </w:pPr>
      <w:r>
        <w:rPr>
          <w:rFonts w:ascii="宋体" w:eastAsia="宋体" w:hAnsi="宋体" w:cs="宋体"/>
          <w:color w:val="231F20"/>
          <w:sz w:val="22"/>
          <w:szCs w:val="22"/>
        </w:rPr>
        <w:t>3.2.1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咨询人向委托人提供有关资料的时间：</w:t>
      </w:r>
      <w:r>
        <w:rPr>
          <w:rFonts w:ascii="宋体" w:eastAsia="宋体" w:hAnsi="宋体" w:cs="宋体"/>
          <w:color w:val="231F20"/>
          <w:sz w:val="22"/>
          <w:szCs w:val="22"/>
        </w:rPr>
        <w:tab/>
      </w:r>
      <w:r>
        <w:rPr>
          <w:rFonts w:ascii="宋体" w:eastAsia="宋体" w:hAnsi="宋体" w:cs="宋体"/>
          <w:color w:val="231F20"/>
          <w:sz w:val="22"/>
          <w:szCs w:val="22"/>
        </w:rPr>
        <w:t>。咨询人向委 托人提供的资料还包括</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188"/>
        </w:tabs>
        <w:spacing w:before="26" w:after="0"/>
        <w:ind w:left="1048" w:hanging="491"/>
        <w:rPr>
          <w:rFonts w:ascii="方正书宋_GBK" w:eastAsia="方正书宋_GBK" w:hAnsi="方正书宋_GBK" w:cs="方正书宋_GBK"/>
          <w:sz w:val="22"/>
          <w:szCs w:val="22"/>
          <w:u w:val="single"/>
        </w:rPr>
      </w:pPr>
      <w:r>
        <w:rPr>
          <w:rFonts w:ascii="宋体" w:eastAsia="宋体" w:hAnsi="宋体" w:cs="宋体"/>
          <w:color w:val="231F20"/>
          <w:sz w:val="22"/>
          <w:szCs w:val="22"/>
        </w:rPr>
        <w:t>3.2.2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咨询人向委托人提供咨询成果文件的名称、组成、时间、份数及质量标准</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4437"/>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
          <w:sz w:val="22"/>
          <w:szCs w:val="22"/>
        </w:rPr>
        <w:t xml:space="preserve">。详见附录 </w:t>
      </w:r>
      <w:r>
        <w:rPr>
          <w:rFonts w:ascii="宋体" w:eastAsia="宋体" w:hAnsi="宋体" w:cs="宋体"/>
          <w:color w:val="231F20"/>
          <w:sz w:val="22"/>
          <w:szCs w:val="22"/>
        </w:rPr>
        <w:t>B。</w:t>
      </w:r>
    </w:p>
    <w:p>
      <w:pPr>
        <w:widowControl w:val="0"/>
        <w:tabs>
          <w:tab w:val="left" w:pos="7207"/>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3.2.4</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咨询人应在收到委托人以书面形式提出的建议或者异议后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日内给予书面答复。</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咨询人的工作依据</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经双方协商，本合同约定的造价咨询服务适用的技术标准、规范、定额等工作依据为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使用委托人房屋及设备的返还</w:t>
      </w:r>
    </w:p>
    <w:p>
      <w:pPr>
        <w:widowControl w:val="0"/>
        <w:tabs>
          <w:tab w:val="left" w:pos="3857"/>
          <w:tab w:val="left" w:pos="918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咨询人应在本合同终止后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日内移交委托人提供的房屋及设备，移交的方式为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22"/>
        </w:numPr>
        <w:spacing w:before="103"/>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违约责任</w:t>
      </w:r>
    </w:p>
    <w:p>
      <w:pPr>
        <w:widowControl w:val="0"/>
        <w:numPr>
          <w:ilvl w:val="1"/>
          <w:numId w:val="22"/>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委托人的违约责任</w:t>
      </w:r>
    </w:p>
    <w:p>
      <w:pPr>
        <w:widowControl w:val="0"/>
        <w:numPr>
          <w:ilvl w:val="2"/>
          <w:numId w:val="22"/>
        </w:numPr>
        <w:tabs>
          <w:tab w:val="left" w:pos="9078"/>
        </w:tabs>
        <w:spacing w:before="109"/>
        <w:ind w:left="1117" w:right="0" w:hanging="56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委托人违约金的计算及支付方法</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2"/>
          <w:numId w:val="22"/>
        </w:numPr>
        <w:tabs>
          <w:tab w:val="left" w:pos="9078"/>
        </w:tabs>
        <w:spacing w:before="109"/>
        <w:ind w:left="1117" w:right="0" w:hanging="56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委托人赔偿金额按下列方法确定并支付</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2"/>
          <w:numId w:val="22"/>
        </w:numPr>
        <w:tabs>
          <w:tab w:val="left" w:pos="9078"/>
        </w:tabs>
        <w:spacing w:before="109"/>
        <w:ind w:left="1117" w:right="0" w:hanging="56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委托人逾期付款利息按下列方法计算并支付</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1"/>
          <w:numId w:val="22"/>
        </w:numPr>
        <w:spacing w:before="109"/>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咨询人的违约责任</w:t>
      </w:r>
    </w:p>
    <w:p>
      <w:pPr>
        <w:widowControl w:val="0"/>
        <w:numPr>
          <w:ilvl w:val="2"/>
          <w:numId w:val="22"/>
        </w:numPr>
        <w:tabs>
          <w:tab w:val="left" w:pos="9078"/>
        </w:tabs>
        <w:spacing w:before="109"/>
        <w:ind w:left="1117" w:right="0" w:hanging="56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咨询人违约金的计算及支付方法</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2"/>
          <w:numId w:val="22"/>
        </w:numPr>
        <w:tabs>
          <w:tab w:val="left" w:pos="9078"/>
        </w:tabs>
        <w:spacing w:before="109"/>
        <w:ind w:left="1117" w:right="0" w:hanging="56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咨询人赔偿金额按下列方法确定并支付</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22"/>
        </w:numPr>
        <w:spacing w:before="103"/>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支付</w:t>
      </w:r>
    </w:p>
    <w:p>
      <w:pPr>
        <w:widowControl w:val="0"/>
        <w:numPr>
          <w:ilvl w:val="1"/>
          <w:numId w:val="22"/>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支付货币</w:t>
      </w:r>
    </w:p>
    <w:p>
      <w:pPr>
        <w:widowControl w:val="0"/>
        <w:tabs>
          <w:tab w:val="left" w:pos="2702"/>
          <w:tab w:val="left" w:pos="5067"/>
          <w:tab w:val="left" w:pos="7652"/>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币种为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，汇率为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，其他约定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支付申请</w:t>
      </w:r>
    </w:p>
    <w:p>
      <w:pPr>
        <w:widowControl w:val="0"/>
        <w:tabs>
          <w:tab w:val="left" w:pos="4957"/>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咨询人应在本合同约定的每次应付款日期</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日前，向委托人提交支付申请书。</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支付酬金</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正常工作酬金的支付：</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2" w:after="1"/>
        <w:rPr>
          <w:rFonts w:ascii="Times New Roman" w:eastAsia="Times New Roman" w:hAnsi="Times New Roman" w:cs="Times New Roman"/>
          <w:sz w:val="6"/>
          <w:szCs w:val="6"/>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1686"/>
        <w:gridCol w:w="1601"/>
        <w:gridCol w:w="3033"/>
        <w:gridCol w:w="2290"/>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66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支付次数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60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支付时间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791" w:right="78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支付比例</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44" w:after="0"/>
              <w:ind w:left="64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支付金额（万元）</w:t>
            </w: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widowControl w:val="0"/>
        <w:numPr>
          <w:ilvl w:val="0"/>
          <w:numId w:val="23"/>
        </w:numPr>
        <w:spacing w:before="85"/>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合同变更、解除与终止</w:t>
      </w:r>
    </w:p>
    <w:p>
      <w:pPr>
        <w:widowControl w:val="0"/>
        <w:numPr>
          <w:ilvl w:val="1"/>
          <w:numId w:val="23"/>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合同变更</w:t>
      </w:r>
    </w:p>
    <w:p>
      <w:pPr>
        <w:widowControl w:val="0"/>
        <w:tabs>
          <w:tab w:val="left" w:pos="8968"/>
        </w:tabs>
        <w:spacing w:before="109" w:after="0" w:line="319"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6.1.2</w:t>
      </w:r>
      <w:r>
        <w:rPr>
          <w:rFonts w:ascii="宋体" w:eastAsia="宋体" w:hAnsi="宋体" w:cs="宋体"/>
          <w:color w:val="231F20"/>
          <w:spacing w:val="-3"/>
          <w:sz w:val="22"/>
          <w:szCs w:val="22"/>
        </w:rPr>
        <w:t xml:space="preserve"> </w:t>
      </w:r>
      <w:r>
        <w:rPr>
          <w:rFonts w:ascii="宋体" w:eastAsia="宋体" w:hAnsi="宋体" w:cs="宋体"/>
          <w:color w:val="231F20"/>
          <w:sz w:val="22"/>
          <w:szCs w:val="22"/>
        </w:rPr>
        <w:t>除不可抗力外，因非咨询人原因导致本合同履行期限延长、内容增加时，附加工作酬金按下列方法确定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25" w:after="0" w:line="319" w:lineRule="auto"/>
        <w:ind w:left="117" w:right="10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6.1.4</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因工程规模、服务范围及内容的变化等导致咨询人的工作量增减时，服务酬金的调整方法</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6.2 合同解除</w:t>
      </w:r>
    </w:p>
    <w:p>
      <w:pPr>
        <w:widowControl w:val="0"/>
        <w:tabs>
          <w:tab w:val="left" w:pos="896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6.2.2</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双方约定解除合同的条件还包括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6.2.4</w:t>
      </w:r>
      <w:r>
        <w:rPr>
          <w:rFonts w:ascii="宋体" w:eastAsia="宋体" w:hAnsi="宋体" w:cs="宋体"/>
          <w:color w:val="231F20"/>
          <w:spacing w:val="-4"/>
          <w:sz w:val="22"/>
          <w:szCs w:val="22"/>
        </w:rPr>
        <w:t xml:space="preserve"> </w:t>
      </w:r>
      <w:r>
        <w:rPr>
          <w:rFonts w:ascii="宋体" w:eastAsia="宋体" w:hAnsi="宋体" w:cs="宋体"/>
          <w:color w:val="231F20"/>
          <w:sz w:val="22"/>
          <w:szCs w:val="22"/>
        </w:rPr>
        <w:t>因不可抗力导致的合同解除，双方约定损失的分担如下</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896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24"/>
        </w:numPr>
        <w:spacing w:before="103"/>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争议解决</w:t>
      </w:r>
    </w:p>
    <w:p>
      <w:pPr>
        <w:widowControl w:val="0"/>
        <w:numPr>
          <w:ilvl w:val="1"/>
          <w:numId w:val="24"/>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调解</w:t>
      </w:r>
    </w:p>
    <w:p>
      <w:pPr>
        <w:widowControl w:val="0"/>
        <w:tabs>
          <w:tab w:val="left" w:pos="2537"/>
          <w:tab w:val="left" w:pos="918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如果双方不能在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日内解决本合同争议，可以将其提交</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819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进行调解。</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仲裁或诉讼</w:t>
      </w:r>
    </w:p>
    <w:p>
      <w:pPr>
        <w:widowControl w:val="0"/>
        <w:tabs>
          <w:tab w:val="left" w:pos="4297"/>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合同争议的最终解决方式为下列第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w:t>
      </w:r>
    </w:p>
    <w:p>
      <w:pPr>
        <w:widowControl w:val="0"/>
        <w:tabs>
          <w:tab w:val="left" w:pos="5863"/>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1）提请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仲裁委员会进行仲裁。</w:t>
      </w:r>
    </w:p>
    <w:p>
      <w:pPr>
        <w:widowControl w:val="0"/>
        <w:tabs>
          <w:tab w:val="left" w:pos="569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人民法院提起诉讼。</w:t>
      </w:r>
    </w:p>
    <w:p>
      <w:pPr>
        <w:widowControl w:val="0"/>
        <w:numPr>
          <w:ilvl w:val="0"/>
          <w:numId w:val="25"/>
        </w:numPr>
        <w:spacing w:before="103"/>
        <w:ind w:left="80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其他</w:t>
      </w:r>
    </w:p>
    <w:p>
      <w:pPr>
        <w:widowControl w:val="0"/>
        <w:numPr>
          <w:ilvl w:val="1"/>
          <w:numId w:val="25"/>
        </w:numPr>
        <w:spacing w:before="122"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考察及相关费用</w:t>
      </w:r>
    </w:p>
    <w:p>
      <w:pPr>
        <w:widowControl w:val="0"/>
        <w:tabs>
          <w:tab w:val="left" w:pos="5617"/>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咨询人经委托人同意进行考察发生的费用由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支付。</w:t>
      </w:r>
    </w:p>
    <w:p>
      <w:pPr>
        <w:widowControl w:val="0"/>
        <w:tabs>
          <w:tab w:val="left" w:pos="896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差旅费及相关费用的支付</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奖励</w:t>
      </w:r>
    </w:p>
    <w:p>
      <w:pPr>
        <w:widowControl w:val="0"/>
        <w:tabs>
          <w:tab w:val="left" w:pos="896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合理化建议的奖励金额按下列方法确定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保密</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委托人申明的保密事项和期限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。咨询人申明的保密事项和期限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第三人申明的保密事项和期限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pacing w:val="-1"/>
          <w:sz w:val="22"/>
          <w:szCs w:val="22"/>
        </w:rPr>
        <w:t>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联络</w:t>
      </w:r>
    </w:p>
    <w:p>
      <w:pPr>
        <w:widowControl w:val="0"/>
        <w:tabs>
          <w:tab w:val="left" w:pos="7428"/>
        </w:tabs>
        <w:spacing w:before="109" w:after="0" w:line="319" w:lineRule="auto"/>
        <w:ind w:left="117" w:right="215"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8.4.1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任何一方与合同有关的通知、指示、要求、决定等，均应在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日内送达对方指定的接收人和送达地点。</w:t>
      </w:r>
    </w:p>
    <w:p>
      <w:pPr>
        <w:widowControl w:val="0"/>
        <w:tabs>
          <w:tab w:val="left" w:pos="4068"/>
          <w:tab w:val="left" w:pos="4559"/>
          <w:tab w:val="left" w:pos="6260"/>
          <w:tab w:val="left" w:pos="6750"/>
          <w:tab w:val="left" w:pos="8451"/>
          <w:tab w:val="left" w:pos="8942"/>
        </w:tabs>
        <w:spacing w:before="26" w:after="0" w:line="319" w:lineRule="auto"/>
        <w:ind w:left="557" w:right="24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8.4.2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委托人指定的送达接收人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，送达地点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，电子邮箱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。咨询人指定的送达接收人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，送达地点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，电子邮箱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8.5 知识产权</w:t>
      </w:r>
    </w:p>
    <w:p>
      <w:pPr>
        <w:widowControl w:val="0"/>
        <w:spacing w:before="109" w:after="0" w:line="319" w:lineRule="auto"/>
        <w:ind w:left="117" w:right="216"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委托人提供给咨询人的图纸、委托人为实施工程自行编制或委托编制的技术规范以及反映委托人要求的或其他类似性质文件的著作权属于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25"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咨询人为履行本合同约定而编制的成果文件，其著作权属于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。双方将履行本合同形成的有关成果文件用于企业宣传、申报奖项以及接受上级主管部门的</w:t>
      </w:r>
    </w:p>
    <w:p>
      <w:pPr>
        <w:widowControl w:val="0"/>
        <w:tabs>
          <w:tab w:val="left" w:pos="9188"/>
        </w:tabs>
        <w:spacing w:before="25"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检查须遵守以下约定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26"/>
        </w:numPr>
        <w:spacing w:before="103" w:after="0"/>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补充条款</w:t>
      </w:r>
    </w:p>
    <w:p>
      <w:pPr>
        <w:widowControl w:val="0"/>
        <w:spacing w:before="7" w:after="0"/>
        <w:rPr>
          <w:rFonts w:ascii="Times New Roman" w:eastAsia="Times New Roman" w:hAnsi="Times New Roman" w:cs="Times New Roman"/>
          <w:sz w:val="27"/>
          <w:szCs w:val="27"/>
        </w:rPr>
      </w:pPr>
      <w:r>
        <w:rPr>
          <w:rFonts w:ascii="Times New Roman" w:eastAsia="Times New Roman" w:hAnsi="Times New Roman" w:cs="Times New Roman"/>
          <w:strike w:val="0"/>
          <w:sz w:val="27"/>
          <w:szCs w:val="27"/>
          <w:u w:val="none"/>
        </w:rPr>
        <w:drawing>
          <wp:anchor simplePos="0" relativeHeight="251658240" behindDoc="0" locked="0" layoutInCell="1" allowOverlap="1">
            <wp:simplePos x="0" y="0"/>
            <wp:positionH relativeFrom="page">
              <wp:posOffset>899795</wp:posOffset>
            </wp:positionH>
            <wp:positionV relativeFrom="paragraph">
              <wp:posOffset>283845</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7"/>
          <w:szCs w:val="27"/>
          <w:u w:val="none"/>
        </w:rPr>
        <w:br/>
      </w:r>
      <w:r>
        <w:rPr>
          <w:rFonts w:ascii="Times New Roman" w:eastAsia="Times New Roman" w:hAnsi="Times New Roman" w:cs="Times New Roman"/>
          <w:strike w:val="0"/>
          <w:sz w:val="27"/>
          <w:szCs w:val="27"/>
          <w:u w:val="none"/>
        </w:rPr>
        <w:drawing>
          <wp:anchor simplePos="0" relativeHeight="251659264" behindDoc="0" locked="0" layoutInCell="1" allowOverlap="1">
            <wp:simplePos x="0" y="0"/>
            <wp:positionH relativeFrom="page">
              <wp:posOffset>899795</wp:posOffset>
            </wp:positionH>
            <wp:positionV relativeFrom="paragraph">
              <wp:posOffset>563245</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7"/>
          <w:szCs w:val="27"/>
          <w:u w:val="none"/>
        </w:rPr>
        <w:br/>
      </w:r>
      <w:r>
        <w:rPr>
          <w:rFonts w:ascii="Times New Roman" w:eastAsia="Times New Roman" w:hAnsi="Times New Roman" w:cs="Times New Roman"/>
          <w:strike w:val="0"/>
          <w:sz w:val="27"/>
          <w:szCs w:val="27"/>
          <w:u w:val="none"/>
        </w:rPr>
        <w:drawing>
          <wp:anchor simplePos="0" relativeHeight="251660288" behindDoc="0" locked="0" layoutInCell="1" allowOverlap="1">
            <wp:simplePos x="0" y="0"/>
            <wp:positionH relativeFrom="page">
              <wp:posOffset>899795</wp:posOffset>
            </wp:positionH>
            <wp:positionV relativeFrom="paragraph">
              <wp:posOffset>842645</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13" w:after="0"/>
        <w:rPr>
          <w:rFonts w:ascii="Times New Roman" w:eastAsia="Times New Roman" w:hAnsi="Times New Roman" w:cs="Times New Roman"/>
        </w:rPr>
      </w:pPr>
    </w:p>
    <w:p>
      <w:pPr>
        <w:widowControl w:val="0"/>
        <w:spacing w:before="13" w:after="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1" w:after="0"/>
        <w:rPr>
          <w:rFonts w:ascii="Times New Roman" w:eastAsia="Times New Roman" w:hAnsi="Times New Roman" w:cs="Times New Roman"/>
          <w:sz w:val="13"/>
          <w:szCs w:val="13"/>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附录 </w:t>
      </w:r>
      <w:r>
        <w:rPr>
          <w:rFonts w:ascii="宋体" w:eastAsia="宋体" w:hAnsi="宋体" w:cs="宋体"/>
          <w:color w:val="231F20"/>
          <w:sz w:val="22"/>
          <w:szCs w:val="22"/>
        </w:rPr>
        <w:t>A</w:t>
      </w:r>
    </w:p>
    <w:p>
      <w:pPr>
        <w:widowControl w:val="0"/>
        <w:spacing w:before="7"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557"/>
        <w:rPr>
          <w:rFonts w:ascii="Times New Roman" w:eastAsia="Times New Roman" w:hAnsi="Times New Roman" w:cs="Times New Roman"/>
          <w:sz w:val="26"/>
          <w:szCs w:val="26"/>
        </w:rPr>
        <w:sectPr>
          <w:type w:val="continuous"/>
          <w:pgSz w:w="12240" w:h="15840"/>
          <w:pgMar w:top="1440" w:right="1800" w:bottom="1440" w:left="1800" w:header="708" w:footer="708" w:gutter="0"/>
          <w:cols w:space="708"/>
          <w:docGrid w:linePitch="360"/>
        </w:sectPr>
      </w:pPr>
      <w:r>
        <w:rPr>
          <w:rFonts w:ascii="宋体" w:eastAsia="宋体" w:hAnsi="宋体" w:cs="宋体"/>
          <w:color w:val="231F20"/>
          <w:sz w:val="26"/>
          <w:szCs w:val="26"/>
        </w:rPr>
        <w:t>服务范围及工作内容、酬金一览表</w:t>
      </w:r>
    </w:p>
    <w:p>
      <w:pPr>
        <w:widowControl w:val="0"/>
        <w:spacing w:before="12" w:after="0"/>
        <w:rPr>
          <w:rFonts w:ascii="Times New Roman" w:eastAsia="Times New Roman" w:hAnsi="Times New Roman" w:cs="Times New Roman"/>
          <w:sz w:val="13"/>
          <w:szCs w:val="13"/>
        </w:rPr>
      </w:pPr>
      <w:r>
        <w:rPr>
          <w:rFonts w:ascii="Times New Roman" w:eastAsia="Times New Roman" w:hAnsi="Times New Roman" w:cs="Times New Roman"/>
          <w:strike w:val="0"/>
          <w:sz w:val="13"/>
          <w:szCs w:val="13"/>
          <w:u w:val="none"/>
        </w:rPr>
        <w:drawing>
          <wp:anchor simplePos="0" relativeHeight="251661312" behindDoc="0" locked="0" layoutInCell="1" allowOverlap="1">
            <wp:simplePos x="0" y="0"/>
            <wp:positionH relativeFrom="page">
              <wp:posOffset>502285</wp:posOffset>
            </wp:positionH>
            <wp:positionV relativeFrom="page">
              <wp:posOffset>6520307</wp:posOffset>
            </wp:positionV>
            <wp:extent cx="171450" cy="15240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171450" cy="152400"/>
                    </a:xfrm>
                    <a:prstGeom prst="rect">
                      <a:avLst/>
                    </a:prstGeom>
                  </pic:spPr>
                </pic:pic>
              </a:graphicData>
            </a:graphic>
          </wp:anchor>
        </w:drawing>
      </w:r>
    </w:p>
    <w:tbl>
      <w:tblPr>
        <w:tblW w:w="5000" w:type="pct"/>
        <w:tblCellMar>
          <w:top w:w="0" w:type="dxa"/>
          <w:left w:w="0" w:type="dxa"/>
          <w:bottom w:w="0" w:type="dxa"/>
          <w:right w:w="0" w:type="dxa"/>
        </w:tblCellMar>
      </w:tblPr>
      <w:tblGrid>
        <w:gridCol w:w="893"/>
        <w:gridCol w:w="1731"/>
        <w:gridCol w:w="2762"/>
        <w:gridCol w:w="1190"/>
        <w:gridCol w:w="2091"/>
        <w:gridCol w:w="2647"/>
        <w:gridCol w:w="555"/>
      </w:tblGrid>
      <w:tr>
        <w:tblPrEx>
          <w:tblW w:w="5000" w:type="pct"/>
          <w:tblCellMar>
            <w:top w:w="0" w:type="dxa"/>
            <w:left w:w="0" w:type="dxa"/>
            <w:bottom w:w="0" w:type="dxa"/>
            <w:right w:w="0" w:type="dxa"/>
          </w:tblCellMar>
        </w:tblPrEx>
        <w:trPr>
          <w:trHeight w:val="300"/>
        </w:trPr>
        <w:tc>
          <w:tcPr>
            <w:vMerge w:val="restart"/>
            <w:tcBorders>
              <w:top w:val="single" w:sz="6" w:space="0" w:color="231F20"/>
              <w:bottom w:val="single" w:sz="6" w:space="0" w:color="231F20"/>
              <w:right w:val="single" w:sz="6" w:space="0" w:color="231F20"/>
            </w:tcBorders>
            <w:noWrap w:val="0"/>
            <w:tcMar>
              <w:top w:w="8" w:type="dxa"/>
              <w:left w:w="5" w:type="dxa"/>
              <w:bottom w:w="8" w:type="dxa"/>
              <w:right w:w="8" w:type="dxa"/>
            </w:tcMar>
            <w:vAlign w:val="top"/>
            <w:hideMark/>
          </w:tcPr>
          <w:p>
            <w:pPr>
              <w:widowControl w:val="0"/>
              <w:spacing w:before="157" w:after="0"/>
              <w:ind w:left="4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服务阶段</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1742" w:right="173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服务范围及工作内容</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839" w:right="2827"/>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酬金</w:t>
            </w: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hideMark/>
          </w:tcPr>
          <w:p>
            <w:pPr>
              <w:widowControl w:val="0"/>
              <w:spacing w:before="0" w:after="0" w:line="269" w:lineRule="atLeast"/>
              <w:ind w:left="293"/>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300"/>
        </w:trPr>
        <w:tc>
          <w:tcPr>
            <w:vMerge/>
            <w:tcBorders>
              <w:top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服务范围</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845" w:right="835"/>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工作内容</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43"/>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收费基数</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357"/>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收费标准（比例）</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37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酬金数额（单位：万元）</w:t>
            </w: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val="restart"/>
            <w:tcBorders>
              <w:top w:val="single" w:sz="6" w:space="0" w:color="231F20"/>
              <w:bottom w:val="single" w:sz="6" w:space="0" w:color="231F20"/>
              <w:right w:val="single" w:sz="6" w:space="0" w:color="231F20"/>
            </w:tcBorders>
            <w:noWrap w:val="0"/>
            <w:tcMar>
              <w:top w:w="8" w:type="dxa"/>
              <w:left w:w="5" w:type="dxa"/>
              <w:bottom w:w="8" w:type="dxa"/>
              <w:right w:w="8" w:type="dxa"/>
            </w:tcMar>
            <w:vAlign w:val="top"/>
            <w:hideMark/>
          </w:tcPr>
          <w:p>
            <w:pPr>
              <w:widowControl w:val="0"/>
              <w:spacing w:before="6" w:after="0"/>
              <w:rPr>
                <w:rFonts w:ascii="Times New Roman" w:eastAsia="Times New Roman" w:hAnsi="Times New Roman" w:cs="Times New Roman"/>
                <w:b w:val="0"/>
                <w:bCs w:val="0"/>
                <w:i w:val="0"/>
                <w:iCs w:val="0"/>
                <w:smallCaps w:val="0"/>
                <w:color w:val="000000"/>
                <w:sz w:val="21"/>
                <w:szCs w:val="21"/>
              </w:rPr>
            </w:pPr>
          </w:p>
          <w:p>
            <w:pPr>
              <w:widowControl w:val="0"/>
              <w:spacing w:before="0" w:after="0"/>
              <w:ind w:left="4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决策阶段</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投资估算</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41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□编制□审核□调整</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经济评价</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41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□编制□审核□调整</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其他：</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val="restart"/>
            <w:tcBorders>
              <w:top w:val="single" w:sz="6" w:space="0" w:color="231F20"/>
              <w:bottom w:val="single" w:sz="6" w:space="0" w:color="231F20"/>
              <w:right w:val="single" w:sz="6" w:space="0" w:color="231F20"/>
            </w:tcBorders>
            <w:noWrap w:val="0"/>
            <w:tcMar>
              <w:top w:w="8" w:type="dxa"/>
              <w:left w:w="5" w:type="dxa"/>
              <w:bottom w:w="8" w:type="dxa"/>
              <w:right w:w="8" w:type="dxa"/>
            </w:tcMar>
            <w:vAlign w:val="top"/>
            <w:hideMark/>
          </w:tcPr>
          <w:p>
            <w:pPr>
              <w:widowControl w:val="0"/>
              <w:spacing w:before="6" w:after="0"/>
              <w:rPr>
                <w:rFonts w:ascii="Times New Roman" w:eastAsia="Times New Roman" w:hAnsi="Times New Roman" w:cs="Times New Roman"/>
                <w:b w:val="0"/>
                <w:bCs w:val="0"/>
                <w:i w:val="0"/>
                <w:iCs w:val="0"/>
                <w:smallCaps w:val="0"/>
                <w:color w:val="000000"/>
                <w:sz w:val="21"/>
                <w:szCs w:val="21"/>
              </w:rPr>
            </w:pPr>
          </w:p>
          <w:p>
            <w:pPr>
              <w:widowControl w:val="0"/>
              <w:spacing w:before="0" w:after="0"/>
              <w:ind w:left="4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设计阶段</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设计概算</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41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□编制□审核□调整</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施工图预算</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41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□编制□审核□调整</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其他：</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val="restart"/>
            <w:tcBorders>
              <w:top w:val="single" w:sz="6" w:space="0" w:color="231F20"/>
              <w:bottom w:val="single" w:sz="6" w:space="0" w:color="231F20"/>
              <w:right w:val="single" w:sz="6" w:space="0" w:color="231F20"/>
            </w:tcBorders>
            <w:noWrap w:val="0"/>
            <w:tcMar>
              <w:top w:w="8" w:type="dxa"/>
              <w:left w:w="5"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4" w:after="0"/>
              <w:rPr>
                <w:rFonts w:ascii="Times New Roman" w:eastAsia="Times New Roman" w:hAnsi="Times New Roman" w:cs="Times New Roman"/>
                <w:b w:val="0"/>
                <w:bCs w:val="0"/>
                <w:i w:val="0"/>
                <w:iCs w:val="0"/>
                <w:smallCaps w:val="0"/>
                <w:color w:val="000000"/>
                <w:sz w:val="22"/>
                <w:szCs w:val="22"/>
              </w:rPr>
            </w:pPr>
          </w:p>
          <w:p>
            <w:pPr>
              <w:widowControl w:val="0"/>
              <w:spacing w:before="0" w:after="0"/>
              <w:ind w:left="32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发承包阶段</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工程量清单</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41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□编制□审核□调整</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最高投标限价</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41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□编制□审核□调整</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投标报价分析</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41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□编制□审核□调整</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清标报告</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41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□编制□审核□调整</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其他：</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val="restart"/>
            <w:tcBorders>
              <w:top w:val="single" w:sz="6" w:space="0" w:color="231F20"/>
              <w:bottom w:val="single" w:sz="6" w:space="0" w:color="231F20"/>
              <w:right w:val="single" w:sz="6" w:space="0" w:color="231F20"/>
            </w:tcBorders>
            <w:noWrap w:val="0"/>
            <w:tcMar>
              <w:top w:w="8" w:type="dxa"/>
              <w:left w:w="5"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0" w:after="0"/>
              <w:rPr>
                <w:rFonts w:ascii="Times New Roman" w:eastAsia="Times New Roman" w:hAnsi="Times New Roman" w:cs="Times New Roman"/>
                <w:b w:val="0"/>
                <w:bCs w:val="0"/>
                <w:i w:val="0"/>
                <w:iCs w:val="0"/>
                <w:smallCaps w:val="0"/>
                <w:color w:val="000000"/>
                <w:sz w:val="13"/>
                <w:szCs w:val="13"/>
              </w:rPr>
            </w:pPr>
          </w:p>
          <w:p>
            <w:pPr>
              <w:widowControl w:val="0"/>
              <w:spacing w:before="0" w:after="0"/>
              <w:ind w:left="4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实施阶段</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资金使用计划</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473"/>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□编制</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工程计量与工程款审核</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41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□编制□审核□调整</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合同价款调整</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41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□编制□审核□调整</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工程变更、索赔、签证</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473"/>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□审核</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工程实施阶段造价控制</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其他：</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val="restart"/>
            <w:tcBorders>
              <w:top w:val="single" w:sz="6" w:space="0" w:color="231F20"/>
              <w:bottom w:val="single" w:sz="6" w:space="0" w:color="231F20"/>
              <w:right w:val="single" w:sz="6" w:space="0" w:color="231F20"/>
            </w:tcBorders>
            <w:noWrap w:val="0"/>
            <w:tcMar>
              <w:top w:w="8" w:type="dxa"/>
              <w:left w:w="5" w:type="dxa"/>
              <w:bottom w:w="8" w:type="dxa"/>
              <w:right w:w="8" w:type="dxa"/>
            </w:tcMar>
            <w:vAlign w:val="top"/>
            <w:hideMark/>
          </w:tcPr>
          <w:p>
            <w:pPr>
              <w:widowControl w:val="0"/>
              <w:spacing w:before="6" w:after="0"/>
              <w:rPr>
                <w:rFonts w:ascii="Times New Roman" w:eastAsia="Times New Roman" w:hAnsi="Times New Roman" w:cs="Times New Roman"/>
                <w:b w:val="0"/>
                <w:bCs w:val="0"/>
                <w:i w:val="0"/>
                <w:iCs w:val="0"/>
                <w:smallCaps w:val="0"/>
                <w:color w:val="000000"/>
                <w:sz w:val="21"/>
                <w:szCs w:val="21"/>
              </w:rPr>
            </w:pPr>
          </w:p>
          <w:p>
            <w:pPr>
              <w:widowControl w:val="0"/>
              <w:spacing w:before="0" w:after="0"/>
              <w:ind w:left="4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竣工阶段</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竣工结算</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41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□编制□审核□调整</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竣工决算</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41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□编制□审核□调整</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其他：</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tcBorders>
              <w:top w:val="single" w:sz="6" w:space="0" w:color="231F20"/>
              <w:bottom w:val="single" w:sz="6" w:space="0" w:color="231F20"/>
              <w:right w:val="single" w:sz="6" w:space="0" w:color="231F20"/>
            </w:tcBorders>
            <w:noWrap w:val="0"/>
            <w:tcMar>
              <w:top w:w="8" w:type="dxa"/>
              <w:left w:w="5" w:type="dxa"/>
              <w:bottom w:w="8" w:type="dxa"/>
              <w:right w:w="8" w:type="dxa"/>
            </w:tcMar>
            <w:vAlign w:val="top"/>
            <w:hideMark/>
          </w:tcPr>
          <w:p>
            <w:pPr>
              <w:widowControl w:val="0"/>
              <w:spacing w:before="0" w:after="0" w:line="269" w:lineRule="atLeast"/>
              <w:ind w:left="41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其他服务</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9" w:lineRule="atLeast"/>
              <w:ind w:left="22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工程造价鉴定</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bl>
    <w:p>
      <w:pPr>
        <w:widowControl w:val="0"/>
        <w:spacing w:before="105" w:after="0" w:line="265" w:lineRule="atLeast"/>
        <w:ind w:left="117"/>
        <w:rPr>
          <w:rFonts w:ascii="Times New Roman" w:eastAsia="Times New Roman" w:hAnsi="Times New Roman" w:cs="Times New Roman"/>
        </w:rPr>
      </w:pPr>
      <w:r>
        <w:rPr>
          <w:rFonts w:ascii="宋体" w:eastAsia="宋体" w:hAnsi="宋体" w:cs="宋体"/>
          <w:color w:val="231F20"/>
          <w:sz w:val="18"/>
          <w:szCs w:val="18"/>
        </w:rPr>
        <w:t>注： 1. 附录 A 中服务范围及工作内容未涉及的可在“其他”项中列明。</w:t>
      </w:r>
    </w:p>
    <w:p>
      <w:pPr>
        <w:widowControl w:val="0"/>
        <w:tabs>
          <w:tab w:val="left" w:pos="13656"/>
        </w:tabs>
        <w:spacing w:before="0" w:after="0" w:line="265" w:lineRule="atLeast"/>
        <w:ind w:left="477"/>
        <w:rPr>
          <w:rFonts w:ascii="方正书宋_GBK" w:eastAsia="方正书宋_GBK" w:hAnsi="方正书宋_GBK" w:cs="方正书宋_GBK"/>
          <w:sz w:val="18"/>
          <w:szCs w:val="18"/>
          <w:u w:val="single"/>
        </w:rPr>
      </w:pPr>
      <w:r>
        <w:rPr>
          <w:rFonts w:ascii="宋体" w:eastAsia="宋体" w:hAnsi="宋体" w:cs="宋体"/>
          <w:color w:val="231F20"/>
          <w:sz w:val="18"/>
          <w:szCs w:val="18"/>
        </w:rPr>
        <w:t>2.</w:t>
      </w:r>
      <w:r>
        <w:rPr>
          <w:rFonts w:ascii="宋体" w:eastAsia="宋体" w:hAnsi="宋体" w:cs="宋体"/>
          <w:color w:val="231F20"/>
          <w:spacing w:val="-1"/>
          <w:sz w:val="18"/>
          <w:szCs w:val="18"/>
        </w:rPr>
        <w:t xml:space="preserve"> </w:t>
      </w:r>
      <w:r>
        <w:rPr>
          <w:rFonts w:ascii="宋体" w:eastAsia="宋体" w:hAnsi="宋体" w:cs="宋体"/>
          <w:color w:val="231F20"/>
          <w:sz w:val="18"/>
          <w:szCs w:val="18"/>
        </w:rPr>
        <w:t>实行全过程造价咨询的工程，服务范围及工作内容按上表，酬金及计取方式为：</w:t>
      </w:r>
      <w:r>
        <w:rPr>
          <w:rFonts w:ascii="宋体" w:eastAsia="宋体" w:hAnsi="宋体" w:cs="宋体"/>
          <w:color w:val="231F20"/>
          <w:sz w:val="18"/>
          <w:szCs w:val="18"/>
          <w:u w:val="single" w:color="231F20"/>
        </w:rPr>
        <w:t xml:space="preserve"> </w:t>
      </w:r>
      <w:r>
        <w:rPr>
          <w:rFonts w:ascii="宋体" w:eastAsia="宋体" w:hAnsi="宋体" w:cs="宋体"/>
          <w:color w:val="231F20"/>
          <w:sz w:val="18"/>
          <w:szCs w:val="18"/>
          <w:u w:val="single" w:color="231F20"/>
        </w:rPr>
        <w:tab/>
      </w:r>
      <w:r>
        <w:rPr>
          <w:rFonts w:ascii="宋体" w:eastAsia="宋体" w:hAnsi="宋体" w:cs="宋体"/>
          <w:color w:val="231F20"/>
          <w:sz w:val="18"/>
          <w:szCs w:val="18"/>
        </w:rPr>
        <w:t>。</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附录 </w:t>
      </w:r>
      <w:r>
        <w:rPr>
          <w:rFonts w:ascii="宋体" w:eastAsia="宋体" w:hAnsi="宋体" w:cs="宋体"/>
          <w:color w:val="231F20"/>
          <w:sz w:val="22"/>
          <w:szCs w:val="22"/>
        </w:rPr>
        <w:t>B</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咨询人提交成果文件一览表</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1152"/>
        <w:gridCol w:w="2104"/>
        <w:gridCol w:w="1615"/>
        <w:gridCol w:w="1267"/>
        <w:gridCol w:w="699"/>
        <w:gridCol w:w="1772"/>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4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7" w:after="0"/>
              <w:ind w:left="21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服务阶段</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7" w:after="0"/>
              <w:ind w:left="59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成果文件名称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7" w:after="0"/>
              <w:ind w:left="29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成果文件组成</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7" w:after="0"/>
              <w:ind w:left="29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提交时间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7" w:after="0"/>
              <w:ind w:left="16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份数</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67" w:after="0"/>
              <w:ind w:left="60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质量标准</w:t>
            </w:r>
          </w:p>
        </w:tc>
      </w:tr>
      <w:tr>
        <w:tblPrEx>
          <w:tblW w:w="5000" w:type="pct"/>
          <w:tblCellMar>
            <w:top w:w="0" w:type="dxa"/>
            <w:left w:w="0" w:type="dxa"/>
            <w:bottom w:w="0" w:type="dxa"/>
            <w:right w:w="0" w:type="dxa"/>
          </w:tblCellMar>
        </w:tblPrEx>
        <w:trPr>
          <w:trHeight w:val="440"/>
        </w:trPr>
        <w:tc>
          <w:tcPr>
            <w:vMerge w:val="restart"/>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6" w:after="0"/>
              <w:rPr>
                <w:rFonts w:ascii="Times New Roman" w:eastAsia="Times New Roman" w:hAnsi="Times New Roman" w:cs="Times New Roman"/>
                <w:b w:val="0"/>
                <w:bCs w:val="0"/>
                <w:i w:val="0"/>
                <w:iCs w:val="0"/>
                <w:smallCaps w:val="0"/>
                <w:color w:val="000000"/>
                <w:sz w:val="15"/>
                <w:szCs w:val="15"/>
              </w:rPr>
            </w:pPr>
          </w:p>
          <w:p>
            <w:pPr>
              <w:widowControl w:val="0"/>
              <w:spacing w:before="0" w:after="0"/>
              <w:ind w:left="21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决策阶段</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val="restart"/>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6" w:after="0"/>
              <w:rPr>
                <w:rFonts w:ascii="Times New Roman" w:eastAsia="Times New Roman" w:hAnsi="Times New Roman" w:cs="Times New Roman"/>
                <w:b w:val="0"/>
                <w:bCs w:val="0"/>
                <w:i w:val="0"/>
                <w:iCs w:val="0"/>
                <w:smallCaps w:val="0"/>
                <w:color w:val="000000"/>
                <w:sz w:val="15"/>
                <w:szCs w:val="15"/>
              </w:rPr>
            </w:pPr>
          </w:p>
          <w:p>
            <w:pPr>
              <w:widowControl w:val="0"/>
              <w:spacing w:before="0" w:after="0"/>
              <w:ind w:left="21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设计阶段</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val="restart"/>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6" w:after="0"/>
              <w:rPr>
                <w:rFonts w:ascii="Times New Roman" w:eastAsia="Times New Roman" w:hAnsi="Times New Roman" w:cs="Times New Roman"/>
                <w:b w:val="0"/>
                <w:bCs w:val="0"/>
                <w:i w:val="0"/>
                <w:iCs w:val="0"/>
                <w:smallCaps w:val="0"/>
                <w:color w:val="000000"/>
                <w:sz w:val="15"/>
                <w:szCs w:val="15"/>
              </w:rPr>
            </w:pPr>
          </w:p>
          <w:p>
            <w:pPr>
              <w:widowControl w:val="0"/>
              <w:spacing w:before="0" w:after="0"/>
              <w:ind w:left="12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发承包阶段</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val="restart"/>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6" w:after="0"/>
              <w:rPr>
                <w:rFonts w:ascii="Times New Roman" w:eastAsia="Times New Roman" w:hAnsi="Times New Roman" w:cs="Times New Roman"/>
                <w:b w:val="0"/>
                <w:bCs w:val="0"/>
                <w:i w:val="0"/>
                <w:iCs w:val="0"/>
                <w:smallCaps w:val="0"/>
                <w:color w:val="000000"/>
                <w:sz w:val="15"/>
                <w:szCs w:val="15"/>
              </w:rPr>
            </w:pPr>
          </w:p>
          <w:p>
            <w:pPr>
              <w:widowControl w:val="0"/>
              <w:spacing w:before="0" w:after="0"/>
              <w:ind w:left="21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实施阶段</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val="restart"/>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6" w:after="0"/>
              <w:rPr>
                <w:rFonts w:ascii="Times New Roman" w:eastAsia="Times New Roman" w:hAnsi="Times New Roman" w:cs="Times New Roman"/>
                <w:b w:val="0"/>
                <w:bCs w:val="0"/>
                <w:i w:val="0"/>
                <w:iCs w:val="0"/>
                <w:smallCaps w:val="0"/>
                <w:color w:val="000000"/>
                <w:sz w:val="15"/>
                <w:szCs w:val="15"/>
              </w:rPr>
            </w:pPr>
          </w:p>
          <w:p>
            <w:pPr>
              <w:widowControl w:val="0"/>
              <w:spacing w:before="0" w:after="0"/>
              <w:ind w:left="21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竣工阶段</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67" w:after="0"/>
              <w:ind w:left="21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其他服务</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附录 </w:t>
      </w:r>
      <w:r>
        <w:rPr>
          <w:rFonts w:ascii="宋体" w:eastAsia="宋体" w:hAnsi="宋体" w:cs="宋体"/>
          <w:color w:val="231F20"/>
          <w:sz w:val="22"/>
          <w:szCs w:val="22"/>
        </w:rPr>
        <w:t>C</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委托人提供资料一览表</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4363"/>
        <w:gridCol w:w="622"/>
        <w:gridCol w:w="980"/>
        <w:gridCol w:w="2644"/>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830" w:right="182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9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份数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40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提供时间</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44" w:after="0"/>
              <w:ind w:left="1056" w:right="105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5" w:after="0"/>
        <w:rPr>
          <w:rFonts w:ascii="Times New Roman" w:eastAsia="Times New Roman" w:hAnsi="Times New Roman" w:cs="Times New Roman"/>
          <w:sz w:val="29"/>
          <w:szCs w:val="29"/>
        </w:rPr>
      </w:pPr>
    </w:p>
    <w:p>
      <w:pPr>
        <w:widowControl w:val="0"/>
        <w:spacing w:before="91" w:after="0"/>
        <w:ind w:right="115"/>
        <w:jc w:val="right"/>
        <w:rPr>
          <w:rFonts w:ascii="Times New Roman" w:eastAsia="Times New Roman" w:hAnsi="Times New Roman" w:cs="Times New Roman"/>
          <w:sz w:val="20"/>
          <w:szCs w:val="20"/>
        </w:rPr>
      </w:pPr>
      <w:r>
        <w:rPr>
          <w:rFonts w:ascii="宋体" w:eastAsia="宋体" w:hAnsi="宋体" w:cs="宋体"/>
          <w:color w:val="231F20"/>
          <w:sz w:val="20"/>
          <w:szCs w:val="20"/>
        </w:rPr>
        <w:t>21</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附录 </w:t>
      </w:r>
      <w:r>
        <w:rPr>
          <w:rFonts w:ascii="宋体" w:eastAsia="宋体" w:hAnsi="宋体" w:cs="宋体"/>
          <w:color w:val="231F20"/>
          <w:sz w:val="22"/>
          <w:szCs w:val="22"/>
        </w:rPr>
        <w:t>D</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委托人提供房屋及设备一览表</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3624"/>
        <w:gridCol w:w="697"/>
        <w:gridCol w:w="1895"/>
        <w:gridCol w:w="2393"/>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355" w:right="1347"/>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0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64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面积、型号及规格</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44" w:after="0"/>
              <w:ind w:left="743" w:right="73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提供时间</w:t>
            </w: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rsidR="00A77B3E"/>
    <w:sectPr>
      <w:type w:val="continuous"/>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4"/>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2"/>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2"/>
      <w:numFmt w:val="decimal"/>
      <w:lvlText w:val="%1."/>
      <w:lvlJc w:val="left"/>
      <w:pPr>
        <w:tabs>
          <w:tab w:val="num" w:pos="720"/>
        </w:tabs>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3"/>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7"/>
      <w:numFmt w:val="decimal"/>
      <w:lvlText w:val="%1."/>
      <w:lvlJc w:val="left"/>
      <w:pPr>
        <w:tabs>
          <w:tab w:val="num" w:pos="720"/>
        </w:tabs>
        <w:ind w:left="720" w:hanging="360"/>
      </w:pPr>
    </w:lvl>
    <w:lvl w:ilvl="1">
      <w:start w:val="2"/>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2"/>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5"/>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6"/>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7"/>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8"/>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ind w:left="720" w:hanging="360"/>
      </w:pPr>
    </w:lvl>
    <w:lvl w:ilvl="1">
      <w:start w:val="2"/>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2"/>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6"/>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7"/>
      <w:numFmt w:val="decimal"/>
      <w:lvlText w:val="%1."/>
      <w:lvlJc w:val="left"/>
      <w:pPr>
        <w:ind w:left="720" w:hanging="360"/>
      </w:pPr>
    </w:lvl>
    <w:lvl w:ilvl="1">
      <w:start w:val="2"/>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8"/>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9"/>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