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GF—2000—0602</w:t>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7"/>
          <w:szCs w:val="27"/>
        </w:rPr>
      </w:pPr>
    </w:p>
    <w:p>
      <w:pPr>
        <w:widowControl w:val="0"/>
        <w:spacing w:before="0" w:after="0" w:line="577" w:lineRule="atLeast"/>
        <w:ind w:left="3435" w:right="3435"/>
        <w:jc w:val="center"/>
        <w:rPr>
          <w:rFonts w:ascii="Times New Roman" w:eastAsia="Times New Roman" w:hAnsi="Times New Roman" w:cs="Times New Roman"/>
        </w:rPr>
      </w:pPr>
      <w:r>
        <w:rPr>
          <w:rFonts w:ascii="宋体" w:eastAsia="宋体" w:hAnsi="宋体" w:cs="宋体"/>
          <w:color w:val="231F20"/>
          <w:sz w:val="40"/>
          <w:szCs w:val="40"/>
        </w:rPr>
        <w:t>房屋租赁合同</w:t>
      </w:r>
    </w:p>
    <w:p>
      <w:pPr>
        <w:widowControl w:val="0"/>
        <w:spacing w:before="152" w:after="0"/>
        <w:ind w:left="3435" w:right="34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11" w:after="0"/>
        <w:rPr>
          <w:rFonts w:ascii="Times New Roman" w:eastAsia="Times New Roman" w:hAnsi="Times New Roman" w:cs="Times New Roman"/>
          <w:sz w:val="30"/>
          <w:szCs w:val="30"/>
        </w:rPr>
      </w:pPr>
    </w:p>
    <w:p>
      <w:pPr>
        <w:widowControl w:val="0"/>
        <w:tabs>
          <w:tab w:val="left" w:pos="8202"/>
        </w:tabs>
        <w:spacing w:before="0" w:after="0"/>
        <w:ind w:left="4737"/>
        <w:rPr>
          <w:rFonts w:ascii="方正书宋_GBK" w:eastAsia="方正书宋_GBK" w:hAnsi="方正书宋_GBK" w:cs="方正书宋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2922"/>
          <w:tab w:val="left" w:pos="4737"/>
          <w:tab w:val="left" w:pos="820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出租人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签订地点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2922"/>
          <w:tab w:val="left" w:pos="4737"/>
          <w:tab w:val="left" w:pos="6662"/>
          <w:tab w:val="left" w:pos="7322"/>
          <w:tab w:val="left" w:pos="798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承租人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spacing w:before="1" w:after="0"/>
        <w:rPr>
          <w:rFonts w:ascii="Times New Roman" w:eastAsia="Times New Roman" w:hAnsi="Times New Roman" w:cs="Times New Roman"/>
          <w:sz w:val="36"/>
          <w:szCs w:val="36"/>
        </w:rPr>
      </w:pPr>
    </w:p>
    <w:p>
      <w:pPr>
        <w:widowControl w:val="0"/>
        <w:tabs>
          <w:tab w:val="left" w:pos="1474"/>
          <w:tab w:val="left" w:pos="3857"/>
          <w:tab w:val="left" w:pos="5069"/>
          <w:tab w:val="left" w:pos="6705"/>
          <w:tab w:val="left" w:pos="8735"/>
        </w:tabs>
        <w:spacing w:before="0" w:after="0" w:line="317" w:lineRule="auto"/>
        <w:ind w:left="117" w:right="115" w:firstLine="440"/>
        <w:rPr>
          <w:rFonts w:ascii="方正书宋_GBK" w:eastAsia="方正书宋_GBK" w:hAnsi="方正书宋_GBK" w:cs="方正书宋_GBK"/>
          <w:sz w:val="20"/>
          <w:szCs w:val="20"/>
          <w:u w:val="single"/>
        </w:rPr>
      </w:pPr>
      <w:r>
        <w:rPr>
          <w:rFonts w:ascii="宋体" w:eastAsia="宋体" w:hAnsi="宋体" w:cs="宋体"/>
          <w:color w:val="231F20"/>
          <w:spacing w:val="10"/>
          <w:sz w:val="22"/>
          <w:szCs w:val="22"/>
        </w:rPr>
        <w:t>第一</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10"/>
          <w:sz w:val="22"/>
          <w:szCs w:val="22"/>
        </w:rPr>
        <w:t>租赁房屋坐落</w:t>
      </w:r>
      <w:r>
        <w:rPr>
          <w:rFonts w:ascii="宋体" w:eastAsia="宋体" w:hAnsi="宋体" w:cs="宋体"/>
          <w:color w:val="231F20"/>
          <w:sz w:val="22"/>
          <w:szCs w:val="22"/>
        </w:rPr>
        <w:t>在</w:t>
      </w:r>
      <w:r>
        <w:rPr>
          <w:rFonts w:ascii="宋体" w:eastAsia="宋体" w:hAnsi="宋体" w:cs="宋体"/>
          <w:color w:val="231F20"/>
          <w:sz w:val="20"/>
          <w:szCs w:val="20"/>
          <w:u w:val="single"/>
        </w:rPr>
        <w:tab/>
      </w:r>
      <w:r>
        <w:rPr>
          <w:rFonts w:ascii="宋体" w:eastAsia="宋体" w:hAnsi="宋体" w:cs="宋体"/>
          <w:color w:val="231F20"/>
          <w:sz w:val="20"/>
          <w:szCs w:val="20"/>
          <w:u w:val="single"/>
        </w:rPr>
        <w:tab/>
      </w:r>
      <w:r>
        <w:rPr>
          <w:rFonts w:ascii="宋体" w:eastAsia="宋体" w:hAnsi="宋体" w:cs="宋体"/>
          <w:color w:val="231F20"/>
          <w:spacing w:val="10"/>
          <w:sz w:val="22"/>
          <w:szCs w:val="22"/>
        </w:rPr>
        <w:t>、间</w:t>
      </w:r>
      <w:r>
        <w:rPr>
          <w:rFonts w:ascii="宋体" w:eastAsia="宋体" w:hAnsi="宋体" w:cs="宋体"/>
          <w:color w:val="231F20"/>
          <w:sz w:val="22"/>
          <w:szCs w:val="22"/>
        </w:rPr>
        <w:t>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、建筑面</w:t>
      </w:r>
      <w:r>
        <w:rPr>
          <w:rFonts w:ascii="宋体" w:eastAsia="宋体" w:hAnsi="宋体" w:cs="宋体"/>
          <w:color w:val="231F20"/>
          <w:sz w:val="22"/>
          <w:szCs w:val="22"/>
        </w:rPr>
        <w:t>积</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w:t>
      </w:r>
      <w:r>
        <w:rPr>
          <w:rFonts w:ascii="宋体" w:eastAsia="宋体" w:hAnsi="宋体" w:cs="宋体"/>
          <w:color w:val="231F20"/>
          <w:sz w:val="22"/>
          <w:szCs w:val="22"/>
        </w:rPr>
        <w:t>房屋质量</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tabs>
          <w:tab w:val="left" w:pos="1437"/>
          <w:tab w:val="left" w:pos="3417"/>
          <w:tab w:val="left" w:pos="4077"/>
          <w:tab w:val="left" w:pos="4737"/>
          <w:tab w:val="left" w:pos="6111"/>
          <w:tab w:val="left" w:pos="6825"/>
          <w:tab w:val="left" w:pos="7539"/>
        </w:tabs>
        <w:spacing w:before="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租赁期限从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0"/>
          <w:szCs w:val="20"/>
          <w:u w:val="single"/>
        </w:rPr>
        <w:tab/>
      </w:r>
      <w:r>
        <w:rPr>
          <w:rFonts w:ascii="宋体" w:eastAsia="宋体" w:hAnsi="宋体" w:cs="宋体"/>
          <w:color w:val="231F20"/>
          <w:sz w:val="22"/>
          <w:szCs w:val="22"/>
        </w:rPr>
        <w:t>日至</w:t>
      </w:r>
      <w:r>
        <w:rPr>
          <w:rFonts w:ascii="宋体" w:eastAsia="宋体" w:hAnsi="宋体" w:cs="宋体"/>
          <w:color w:val="231F20"/>
          <w:sz w:val="20"/>
          <w:szCs w:val="20"/>
          <w:u w:val="single"/>
        </w:rPr>
        <w:tab/>
      </w:r>
      <w:r>
        <w:rPr>
          <w:rFonts w:ascii="宋体" w:eastAsia="宋体" w:hAnsi="宋体" w:cs="宋体"/>
          <w:color w:val="231F20"/>
          <w:sz w:val="22"/>
          <w:szCs w:val="22"/>
        </w:rPr>
        <w:t>年</w:t>
      </w:r>
      <w:r>
        <w:rPr>
          <w:rFonts w:ascii="宋体" w:eastAsia="宋体" w:hAnsi="宋体" w:cs="宋体"/>
          <w:color w:val="231F20"/>
          <w:sz w:val="20"/>
          <w:szCs w:val="20"/>
          <w:u w:val="single"/>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spacing w:before="113" w:after="0"/>
        <w:ind w:left="447"/>
        <w:rPr>
          <w:rFonts w:ascii="Times New Roman" w:eastAsia="Times New Roman" w:hAnsi="Times New Roman" w:cs="Times New Roman"/>
          <w:sz w:val="22"/>
          <w:szCs w:val="22"/>
        </w:rPr>
      </w:pPr>
      <w:r>
        <w:rPr>
          <w:rFonts w:ascii="宋体" w:eastAsia="宋体" w:hAnsi="宋体" w:cs="宋体"/>
          <w:color w:val="231F20"/>
          <w:sz w:val="22"/>
          <w:szCs w:val="22"/>
        </w:rPr>
        <w:t>（提示：租赁期限不得超过二十年。超过二十年的，超过部分无效）</w:t>
      </w:r>
    </w:p>
    <w:p>
      <w:pPr>
        <w:widowControl w:val="0"/>
        <w:tabs>
          <w:tab w:val="left" w:pos="1437"/>
          <w:tab w:val="left" w:pos="9082"/>
        </w:tabs>
        <w:spacing w:before="117"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租金</w:t>
      </w:r>
      <w:r>
        <w:rPr>
          <w:rFonts w:ascii="宋体" w:eastAsia="宋体" w:hAnsi="宋体" w:cs="宋体"/>
          <w:color w:val="231F20"/>
          <w:spacing w:val="-165"/>
          <w:sz w:val="22"/>
          <w:szCs w:val="22"/>
        </w:rPr>
        <w:t>：</w:t>
      </w:r>
      <w:r>
        <w:rPr>
          <w:rFonts w:ascii="宋体" w:eastAsia="宋体" w:hAnsi="宋体" w:cs="宋体"/>
          <w:color w:val="231F20"/>
          <w:sz w:val="22"/>
          <w:szCs w:val="22"/>
        </w:rPr>
        <w:t>（大写</w:t>
      </w:r>
      <w:r>
        <w:rPr>
          <w:rFonts w:ascii="宋体" w:eastAsia="宋体" w:hAnsi="宋体" w:cs="宋体"/>
          <w:color w:val="231F20"/>
          <w:spacing w:val="-55"/>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p>
    <w:p>
      <w:pPr>
        <w:widowControl w:val="0"/>
        <w:tabs>
          <w:tab w:val="left" w:pos="1437"/>
          <w:tab w:val="left" w:pos="9188"/>
        </w:tabs>
        <w:spacing w:before="10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租金的支付期限与方式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275590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441"/>
        </w:tabs>
        <w:spacing w:before="77" w:after="0" w:line="317"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承租人负责支付出租房屋的水费、电费、煤气费、电话费、光缆电视收视费、卫 生费和物业管理费。</w:t>
      </w:r>
    </w:p>
    <w:p>
      <w:pPr>
        <w:widowControl w:val="0"/>
        <w:tabs>
          <w:tab w:val="left" w:pos="9188"/>
        </w:tabs>
        <w:spacing w:before="22" w:after="0" w:line="317" w:lineRule="auto"/>
        <w:ind w:left="557" w:right="115"/>
        <w:jc w:val="both"/>
        <w:rPr>
          <w:rFonts w:ascii="Lucida Console" w:eastAsia="Lucida Console" w:hAnsi="Lucida Console" w:cs="Lucida Console"/>
          <w:sz w:val="20"/>
          <w:szCs w:val="20"/>
          <w:u w:val="single"/>
        </w:rPr>
      </w:pPr>
      <w:r>
        <w:rPr>
          <w:rFonts w:ascii="宋体" w:eastAsia="宋体" w:hAnsi="宋体" w:cs="宋体"/>
          <w:color w:val="231F20"/>
          <w:sz w:val="22"/>
          <w:szCs w:val="22"/>
        </w:rPr>
        <w:t>第六条</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租赁房屋的用途</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第七条</w:t>
      </w:r>
      <w:r>
        <w:rPr>
          <w:rFonts w:ascii="宋体" w:eastAsia="宋体" w:hAnsi="宋体" w:cs="宋体"/>
          <w:color w:val="231F2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租赁房屋的维修</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出租人维修的范围、时间及费用负担</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9264" behindDoc="0" locked="0" layoutInCell="1" allowOverlap="1">
            <wp:simplePos x="0" y="0"/>
            <wp:positionH relativeFrom="page">
              <wp:posOffset>899795</wp:posOffset>
            </wp:positionH>
            <wp:positionV relativeFrom="paragraph">
              <wp:posOffset>224155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承租人维修的范围及费用负担</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0288" behindDoc="0" locked="0" layoutInCell="1" allowOverlap="1">
            <wp:simplePos x="0" y="0"/>
            <wp:positionH relativeFrom="page">
              <wp:posOffset>899795</wp:posOffset>
            </wp:positionH>
            <wp:positionV relativeFrom="paragraph">
              <wp:posOffset>274955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446"/>
          <w:tab w:val="left" w:pos="9188"/>
        </w:tabs>
        <w:spacing w:before="77" w:after="0" w:line="317" w:lineRule="auto"/>
        <w:ind w:left="117" w:right="112" w:firstLine="440"/>
        <w:jc w:val="right"/>
        <w:rPr>
          <w:rFonts w:ascii="方正书宋_GBK" w:eastAsia="方正书宋_GBK" w:hAnsi="方正书宋_GBK" w:cs="方正书宋_GBK"/>
          <w:sz w:val="20"/>
          <w:szCs w:val="20"/>
          <w:u w:val="single"/>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出租人（是</w:t>
      </w:r>
      <w:r>
        <w:rPr>
          <w:rFonts w:ascii="宋体" w:eastAsia="宋体" w:hAnsi="宋体" w:cs="宋体"/>
          <w:color w:val="231F20"/>
          <w:spacing w:val="45"/>
          <w:sz w:val="22"/>
          <w:szCs w:val="22"/>
        </w:rPr>
        <w:t xml:space="preserve"> </w:t>
      </w:r>
      <w:r>
        <w:rPr>
          <w:rFonts w:ascii="宋体" w:eastAsia="宋体" w:hAnsi="宋体" w:cs="宋体"/>
          <w:color w:val="231F20"/>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z w:val="22"/>
          <w:szCs w:val="22"/>
        </w:rPr>
        <w:t>否）允许承租人对租赁房屋进行装修或改善增设他物。装修、改善增设他物的范围是</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1312" behindDoc="0" locked="0" layoutInCell="1" allowOverlap="1">
            <wp:simplePos x="0" y="0"/>
            <wp:positionH relativeFrom="page">
              <wp:posOffset>899795</wp:posOffset>
            </wp:positionH>
            <wp:positionV relativeFrom="paragraph">
              <wp:posOffset>224155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租赁合同期满，租赁房屋的装修、改善增设他物的处理</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2336" behindDoc="0" locked="0" layoutInCell="1" allowOverlap="1">
            <wp:simplePos x="0" y="0"/>
            <wp:positionH relativeFrom="page">
              <wp:posOffset>899795</wp:posOffset>
            </wp:positionH>
            <wp:positionV relativeFrom="paragraph">
              <wp:posOffset>274955</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437"/>
        </w:tabs>
        <w:spacing w:before="77"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出租人（是 / 否）允许承租人转租租赁房屋。</w:t>
      </w:r>
    </w:p>
    <w:p>
      <w:pPr>
        <w:widowControl w:val="0"/>
        <w:tabs>
          <w:tab w:val="left" w:pos="1437"/>
          <w:tab w:val="left" w:pos="3967"/>
          <w:tab w:val="left" w:pos="6001"/>
        </w:tabs>
        <w:spacing w:before="10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定金（大写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元。承租人在</w:t>
      </w:r>
      <w:r>
        <w:rPr>
          <w:rFonts w:ascii="宋体" w:eastAsia="宋体" w:hAnsi="宋体" w:cs="宋体"/>
          <w:color w:val="231F20"/>
          <w:sz w:val="20"/>
          <w:szCs w:val="20"/>
          <w:u w:val="single"/>
        </w:rPr>
        <w:tab/>
      </w:r>
      <w:r>
        <w:rPr>
          <w:rFonts w:ascii="宋体" w:eastAsia="宋体" w:hAnsi="宋体" w:cs="宋体"/>
          <w:color w:val="231F20"/>
          <w:sz w:val="22"/>
          <w:szCs w:val="22"/>
        </w:rPr>
        <w:t>前交给出租人。</w:t>
      </w:r>
    </w:p>
    <w:p>
      <w:pPr>
        <w:widowControl w:val="0"/>
        <w:spacing w:before="9" w:after="0"/>
        <w:rPr>
          <w:rFonts w:ascii="Times New Roman" w:eastAsia="Times New Roman" w:hAnsi="Times New Roman" w:cs="Times New Roman"/>
          <w:sz w:val="17"/>
          <w:szCs w:val="17"/>
        </w:rPr>
      </w:pPr>
    </w:p>
    <w:p>
      <w:pPr>
        <w:widowControl w:val="0"/>
        <w:spacing w:before="92" w:after="0"/>
        <w:ind w:right="115"/>
        <w:jc w:val="right"/>
        <w:rPr>
          <w:rFonts w:ascii="Times New Roman" w:eastAsia="Times New Roman" w:hAnsi="Times New Roman" w:cs="Times New Roman"/>
          <w:sz w:val="20"/>
          <w:szCs w:val="20"/>
        </w:rPr>
      </w:pPr>
      <w:r>
        <w:rPr>
          <w:rFonts w:ascii="宋体" w:eastAsia="宋体" w:hAnsi="宋体" w:cs="宋体"/>
          <w:color w:val="231F20"/>
          <w:sz w:val="20"/>
          <w:szCs w:val="20"/>
        </w:rPr>
        <w:t>1</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tabs>
          <w:tab w:val="left" w:pos="165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合同解除的条件</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有下列情形之一，出租人有权解除本合同</w:t>
      </w:r>
    </w:p>
    <w:p>
      <w:pPr>
        <w:widowControl w:val="0"/>
        <w:numPr>
          <w:ilvl w:val="0"/>
          <w:numId w:val="1"/>
        </w:numPr>
        <w:tabs>
          <w:tab w:val="left" w:pos="867"/>
          <w:tab w:val="left" w:pos="5175"/>
        </w:tabs>
        <w:spacing w:before="8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承租人不交付或者不按约定交付租金达</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个月以上；</w:t>
      </w:r>
    </w:p>
    <w:p>
      <w:pPr>
        <w:widowControl w:val="0"/>
        <w:numPr>
          <w:ilvl w:val="0"/>
          <w:numId w:val="1"/>
        </w:numPr>
        <w:tabs>
          <w:tab w:val="left" w:pos="867"/>
          <w:tab w:val="left" w:pos="6165"/>
        </w:tabs>
        <w:spacing w:before="8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承租人所欠各项费用达（大写</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元以上；</w:t>
      </w:r>
    </w:p>
    <w:p>
      <w:pPr>
        <w:widowControl w:val="0"/>
        <w:numPr>
          <w:ilvl w:val="0"/>
          <w:numId w:val="1"/>
        </w:numPr>
        <w:tabs>
          <w:tab w:val="left" w:pos="867"/>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未经出租人同意及有关部门批准，承租人擅自改变出租房屋用途的；</w:t>
      </w:r>
    </w:p>
    <w:p>
      <w:pPr>
        <w:widowControl w:val="0"/>
        <w:numPr>
          <w:ilvl w:val="0"/>
          <w:numId w:val="1"/>
        </w:numPr>
        <w:tabs>
          <w:tab w:val="left" w:pos="867"/>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承租人违反本合同约定，不承担维修责任致使房屋或设备严重损坏的；</w:t>
      </w:r>
    </w:p>
    <w:p>
      <w:pPr>
        <w:widowControl w:val="0"/>
        <w:numPr>
          <w:ilvl w:val="0"/>
          <w:numId w:val="1"/>
        </w:numPr>
        <w:tabs>
          <w:tab w:val="left" w:pos="867"/>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未经出租人书面同意，承租人将出租房屋进行装修的；</w:t>
      </w:r>
    </w:p>
    <w:p>
      <w:pPr>
        <w:widowControl w:val="0"/>
        <w:numPr>
          <w:ilvl w:val="0"/>
          <w:numId w:val="1"/>
        </w:numPr>
        <w:tabs>
          <w:tab w:val="left" w:pos="867"/>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未经出租人书面同意，承租人将出租房屋转租第三人；</w:t>
      </w:r>
    </w:p>
    <w:p>
      <w:pPr>
        <w:widowControl w:val="0"/>
        <w:numPr>
          <w:ilvl w:val="0"/>
          <w:numId w:val="1"/>
        </w:numPr>
        <w:tabs>
          <w:tab w:val="left" w:pos="867"/>
        </w:tabs>
        <w:spacing w:before="89" w:after="0" w:line="305" w:lineRule="auto"/>
        <w:ind w:left="557" w:right="4786"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承租人在出租房屋进行违法活动的。 有下列情形之一，承租人有权解除本合同</w:t>
      </w:r>
    </w:p>
    <w:p>
      <w:pPr>
        <w:widowControl w:val="0"/>
        <w:numPr>
          <w:ilvl w:val="0"/>
          <w:numId w:val="2"/>
        </w:numPr>
        <w:tabs>
          <w:tab w:val="left" w:pos="4237"/>
        </w:tabs>
        <w:spacing w:before="21"/>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出租人迟延交付出租房屋</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个月以上；</w:t>
      </w:r>
    </w:p>
    <w:p>
      <w:pPr>
        <w:widowControl w:val="0"/>
        <w:numPr>
          <w:ilvl w:val="0"/>
          <w:numId w:val="2"/>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出租人违反本合同约定，不承担维修责任，使承租人无法继续使用出租房屋。</w:t>
      </w:r>
    </w:p>
    <w:p>
      <w:pPr>
        <w:widowControl w:val="0"/>
        <w:tabs>
          <w:tab w:val="left" w:pos="9188"/>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3.</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1657"/>
          <w:tab w:val="left" w:pos="9188"/>
        </w:tabs>
        <w:spacing w:before="8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房屋租赁合同期满，承租人返还房屋的时间是</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657"/>
          <w:tab w:val="left" w:pos="9188"/>
        </w:tabs>
        <w:spacing w:before="0" w:after="0" w:line="840" w:lineRule="atLeast"/>
        <w:ind w:left="557" w:right="115"/>
        <w:rPr>
          <w:rFonts w:ascii="方正书宋_GBK" w:eastAsia="方正书宋_GBK" w:hAnsi="方正书宋_GBK" w:cs="方正书宋_GBK"/>
          <w:sz w:val="20"/>
          <w:szCs w:val="20"/>
          <w:u w:val="single"/>
        </w:rPr>
      </w:pPr>
      <w:r>
        <w:rPr>
          <w:rFonts w:ascii="Times New Roman" w:eastAsia="Times New Roman" w:hAnsi="Times New Roman" w:cs="Times New Roman"/>
          <w:strike w:val="0"/>
          <w:u w:val="none"/>
        </w:rPr>
        <w:drawing>
          <wp:anchor simplePos="0" relativeHeight="251665408" behindDoc="1" locked="0" layoutInCell="1" allowOverlap="1">
            <wp:simplePos x="0" y="0"/>
            <wp:positionH relativeFrom="page">
              <wp:posOffset>899795</wp:posOffset>
            </wp:positionH>
            <wp:positionV relativeFrom="paragraph">
              <wp:posOffset>796290</wp:posOffset>
            </wp:positionV>
            <wp:extent cx="5772150" cy="95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4384" behindDoc="1" locked="0" layoutInCell="1" allowOverlap="1">
            <wp:simplePos x="0" y="0"/>
            <wp:positionH relativeFrom="page">
              <wp:posOffset>899795</wp:posOffset>
            </wp:positionH>
            <wp:positionV relativeFrom="paragraph">
              <wp:posOffset>262890</wp:posOffset>
            </wp:positionV>
            <wp:extent cx="5772150" cy="952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color w:val="231F20"/>
          <w:sz w:val="22"/>
          <w:szCs w:val="22"/>
        </w:rPr>
        <w:t>第十三条</w:t>
      </w:r>
      <w:r>
        <w:rPr>
          <w:rFonts w:ascii="宋体" w:eastAsia="宋体" w:hAnsi="宋体" w:cs="宋体"/>
          <w:color w:val="231F20"/>
          <w:sz w:val="24"/>
          <w:szCs w:val="24"/>
        </w:rPr>
        <w:tab/>
      </w:r>
      <w:r>
        <w:rPr>
          <w:rFonts w:ascii="宋体" w:eastAsia="宋体" w:hAnsi="宋体" w:cs="宋体"/>
          <w:color w:val="231F20"/>
          <w:sz w:val="22"/>
          <w:szCs w:val="22"/>
        </w:rPr>
        <w:t>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出租人未按时或未按要求维修出租房屋造成承租人人身受到伤害或财物毁损的，负责赔偿</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损失。</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承租人逾期交付租金的，除应及时如数补交外，还应支付滞纳金。</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承租人违反合同，擅自将出租房屋转租第三人使用的，因此造成出租房毁坏的，应负损害赔偿责任。</w:t>
      </w:r>
    </w:p>
    <w:p>
      <w:pPr>
        <w:widowControl w:val="0"/>
        <w:tabs>
          <w:tab w:val="left" w:pos="1669"/>
        </w:tabs>
        <w:spacing w:before="14"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合同争议的解决方式</w:t>
      </w:r>
      <w:r>
        <w:rPr>
          <w:rFonts w:ascii="宋体" w:eastAsia="宋体" w:hAnsi="宋体" w:cs="宋体"/>
          <w:color w:val="231F20"/>
          <w:spacing w:val="-52"/>
          <w:sz w:val="22"/>
          <w:szCs w:val="22"/>
        </w:rPr>
        <w:t>：</w:t>
      </w:r>
      <w:r>
        <w:rPr>
          <w:rFonts w:ascii="宋体" w:eastAsia="宋体" w:hAnsi="宋体" w:cs="宋体"/>
          <w:color w:val="231F20"/>
          <w:sz w:val="22"/>
          <w:szCs w:val="22"/>
        </w:rPr>
        <w:t>本合同在履行过程中发生的争议，由双方当事人协商解</w:t>
      </w:r>
      <w:r>
        <w:rPr>
          <w:rFonts w:ascii="宋体" w:eastAsia="宋体" w:hAnsi="宋体" w:cs="宋体"/>
          <w:color w:val="231F20"/>
          <w:sz w:val="22"/>
          <w:szCs w:val="22"/>
        </w:rPr>
        <w:t xml:space="preserve">  </w:t>
      </w:r>
      <w:r>
        <w:rPr>
          <w:rFonts w:ascii="宋体" w:eastAsia="宋体" w:hAnsi="宋体" w:cs="宋体"/>
          <w:color w:val="231F20"/>
          <w:sz w:val="22"/>
          <w:szCs w:val="22"/>
        </w:rPr>
        <w:t>决</w:t>
      </w:r>
      <w:r>
        <w:rPr>
          <w:rFonts w:ascii="宋体" w:eastAsia="宋体" w:hAnsi="宋体" w:cs="宋体"/>
          <w:color w:val="231F20"/>
          <w:spacing w:val="-55"/>
          <w:sz w:val="22"/>
          <w:szCs w:val="22"/>
        </w:rPr>
        <w:t>；</w:t>
      </w:r>
      <w:r>
        <w:rPr>
          <w:rFonts w:ascii="宋体" w:eastAsia="宋体" w:hAnsi="宋体" w:cs="宋体"/>
          <w:color w:val="231F20"/>
          <w:sz w:val="22"/>
          <w:szCs w:val="22"/>
        </w:rPr>
        <w:t>也可由有关部门调解</w:t>
      </w:r>
      <w:r>
        <w:rPr>
          <w:rFonts w:ascii="宋体" w:eastAsia="宋体" w:hAnsi="宋体" w:cs="宋体"/>
          <w:color w:val="231F20"/>
          <w:spacing w:val="-55"/>
          <w:sz w:val="22"/>
          <w:szCs w:val="22"/>
        </w:rPr>
        <w:t>；</w:t>
      </w:r>
      <w:r>
        <w:rPr>
          <w:rFonts w:ascii="宋体" w:eastAsia="宋体" w:hAnsi="宋体" w:cs="宋体"/>
          <w:color w:val="231F20"/>
          <w:sz w:val="22"/>
          <w:szCs w:val="22"/>
        </w:rPr>
        <w:t>协商或调解不成的，按下列第</w:t>
      </w:r>
      <w:r>
        <w:rPr>
          <w:rFonts w:ascii="宋体" w:eastAsia="宋体" w:hAnsi="宋体" w:cs="宋体"/>
          <w:color w:val="231F20"/>
          <w:sz w:val="22"/>
          <w:szCs w:val="22"/>
        </w:rPr>
        <w:tab/>
      </w:r>
      <w:r>
        <w:rPr>
          <w:rFonts w:ascii="宋体" w:eastAsia="宋体" w:hAnsi="宋体" w:cs="宋体"/>
          <w:color w:val="231F20"/>
          <w:sz w:val="22"/>
          <w:szCs w:val="22"/>
        </w:rPr>
        <w:t>种方式解决；</w:t>
      </w:r>
    </w:p>
    <w:p>
      <w:pPr>
        <w:widowControl w:val="0"/>
        <w:tabs>
          <w:tab w:val="left" w:pos="2867"/>
        </w:tabs>
        <w:spacing w:before="20"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仲裁委员会仲裁；</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（二）依法向人民法院起诉。</w:t>
      </w:r>
    </w:p>
    <w:p>
      <w:pPr>
        <w:widowControl w:val="0"/>
        <w:tabs>
          <w:tab w:val="left" w:pos="1657"/>
          <w:tab w:val="left" w:pos="9188"/>
        </w:tabs>
        <w:spacing w:before="8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其他约定事项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page">
              <wp:posOffset>899795</wp:posOffset>
            </wp:positionH>
            <wp:positionV relativeFrom="paragraph">
              <wp:posOffset>262255</wp:posOffset>
            </wp:positionV>
            <wp:extent cx="5772150" cy="95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18"/>
          <w:szCs w:val="18"/>
        </w:rPr>
      </w:pPr>
    </w:p>
    <w:p>
      <w:pPr>
        <w:widowControl w:val="0"/>
        <w:spacing w:before="92" w:after="0"/>
        <w:ind w:left="117"/>
        <w:rPr>
          <w:rFonts w:ascii="Times New Roman" w:eastAsia="Times New Roman" w:hAnsi="Times New Roman" w:cs="Times New Roman"/>
          <w:sz w:val="20"/>
          <w:szCs w:val="20"/>
        </w:rPr>
      </w:pPr>
      <w:r>
        <w:rPr>
          <w:rFonts w:ascii="宋体" w:eastAsia="宋体" w:hAnsi="宋体" w:cs="宋体"/>
          <w:color w:val="231F20"/>
          <w:sz w:val="20"/>
          <w:szCs w:val="20"/>
        </w:rPr>
        <w:t>2</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1" w:after="0"/>
        <w:rPr>
          <w:rFonts w:ascii="Times New Roman" w:eastAsia="Times New Roman" w:hAnsi="Times New Roman" w:cs="Times New Roman"/>
          <w:sz w:val="8"/>
          <w:szCs w:val="8"/>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3034"/>
        <w:gridCol w:w="3034"/>
        <w:gridCol w:w="2543"/>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460"/>
        </w:trPr>
        <w:tc>
          <w:tcPr>
            <w:tcBorders>
              <w:right w:val="single" w:sz="6" w:space="0" w:color="231F20"/>
            </w:tcBorders>
            <w:noWrap w:val="0"/>
            <w:tcMar>
              <w:top w:w="8" w:type="dxa"/>
              <w:left w:w="8" w:type="dxa"/>
              <w:bottom w:w="8" w:type="dxa"/>
              <w:right w:w="8" w:type="dxa"/>
            </w:tcMar>
            <w:vAlign w:val="top"/>
            <w:hideMark/>
          </w:tcPr>
          <w:p>
            <w:pPr>
              <w:widowControl w:val="0"/>
              <w:spacing w:before="156" w:after="0" w:line="230" w:lineRule="auto"/>
              <w:ind w:left="84" w:right="17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出租人（章）： 住所：</w:t>
            </w:r>
          </w:p>
          <w:p>
            <w:pPr>
              <w:widowControl w:val="0"/>
              <w:spacing w:before="0" w:after="0" w:line="255"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法定代表人：</w:t>
            </w:r>
          </w:p>
          <w:p>
            <w:pPr>
              <w:widowControl w:val="0"/>
              <w:spacing w:before="0" w:after="0" w:line="260"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（签名）：</w:t>
            </w:r>
          </w:p>
          <w:p>
            <w:pPr>
              <w:widowControl w:val="0"/>
              <w:spacing w:before="0" w:after="0" w:line="265"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居民身份证号码：</w:t>
            </w:r>
          </w:p>
          <w:p>
            <w:pPr>
              <w:widowControl w:val="0"/>
              <w:spacing w:before="8" w:after="0"/>
              <w:rPr>
                <w:rFonts w:ascii="Times New Roman" w:eastAsia="Times New Roman" w:hAnsi="Times New Roman" w:cs="Times New Roman"/>
                <w:b w:val="0"/>
                <w:bCs w:val="0"/>
                <w:i w:val="0"/>
                <w:iCs w:val="0"/>
                <w:smallCaps w:val="0"/>
                <w:color w:val="000000"/>
                <w:sz w:val="21"/>
                <w:szCs w:val="21"/>
              </w:rPr>
            </w:pPr>
          </w:p>
          <w:p>
            <w:pPr>
              <w:widowControl w:val="0"/>
              <w:spacing w:before="0" w:after="0" w:line="265"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委托代理人：</w:t>
            </w:r>
          </w:p>
          <w:p>
            <w:pPr>
              <w:widowControl w:val="0"/>
              <w:spacing w:before="5" w:after="0" w:line="230" w:lineRule="auto"/>
              <w:ind w:left="84" w:right="20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 电话：</w:t>
            </w:r>
          </w:p>
          <w:p>
            <w:pPr>
              <w:widowControl w:val="0"/>
              <w:spacing w:before="0" w:after="0" w:line="230" w:lineRule="auto"/>
              <w:ind w:left="84" w:right="20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开户银行： 账号：</w:t>
            </w:r>
          </w:p>
          <w:p>
            <w:pPr>
              <w:widowControl w:val="0"/>
              <w:spacing w:before="0" w:after="0" w:line="260"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邮政编码：</w:t>
            </w:r>
          </w:p>
        </w:tc>
        <w:tc>
          <w:tcPr>
            <w:tcBorders>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156" w:after="0" w:line="230" w:lineRule="auto"/>
              <w:ind w:left="84" w:right="17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承租人（章）： 住所：</w:t>
            </w:r>
          </w:p>
          <w:p>
            <w:pPr>
              <w:widowControl w:val="0"/>
              <w:spacing w:before="0" w:after="0" w:line="255"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法定代表人：</w:t>
            </w:r>
          </w:p>
          <w:p>
            <w:pPr>
              <w:widowControl w:val="0"/>
              <w:spacing w:before="0" w:after="0" w:line="260"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（签名）：</w:t>
            </w:r>
          </w:p>
          <w:p>
            <w:pPr>
              <w:widowControl w:val="0"/>
              <w:spacing w:before="0" w:after="0" w:line="265"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居民身份证号码：</w:t>
            </w:r>
          </w:p>
          <w:p>
            <w:pPr>
              <w:widowControl w:val="0"/>
              <w:spacing w:before="8" w:after="0"/>
              <w:rPr>
                <w:rFonts w:ascii="Times New Roman" w:eastAsia="Times New Roman" w:hAnsi="Times New Roman" w:cs="Times New Roman"/>
                <w:b w:val="0"/>
                <w:bCs w:val="0"/>
                <w:i w:val="0"/>
                <w:iCs w:val="0"/>
                <w:smallCaps w:val="0"/>
                <w:color w:val="000000"/>
                <w:sz w:val="21"/>
                <w:szCs w:val="21"/>
              </w:rPr>
            </w:pPr>
          </w:p>
          <w:p>
            <w:pPr>
              <w:widowControl w:val="0"/>
              <w:spacing w:before="0" w:after="0" w:line="265"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委托代理人：</w:t>
            </w:r>
          </w:p>
          <w:p>
            <w:pPr>
              <w:widowControl w:val="0"/>
              <w:spacing w:before="5" w:after="0" w:line="230" w:lineRule="auto"/>
              <w:ind w:left="84" w:right="20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 电话：</w:t>
            </w:r>
          </w:p>
          <w:p>
            <w:pPr>
              <w:widowControl w:val="0"/>
              <w:spacing w:before="0" w:after="0" w:line="230" w:lineRule="auto"/>
              <w:ind w:left="84" w:right="20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开户银行： 账号：</w:t>
            </w:r>
          </w:p>
          <w:p>
            <w:pPr>
              <w:widowControl w:val="0"/>
              <w:spacing w:before="0" w:after="0" w:line="260"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邮政编码：</w:t>
            </w:r>
          </w:p>
        </w:tc>
        <w:tc>
          <w:tcPr>
            <w:tcBorders>
              <w:left w:val="single" w:sz="6" w:space="0" w:color="231F20"/>
            </w:tcBorders>
            <w:noWrap w:val="0"/>
            <w:tcMar>
              <w:top w:w="8" w:type="dxa"/>
              <w:left w:w="8" w:type="dxa"/>
              <w:bottom w:w="8" w:type="dxa"/>
              <w:right w:w="8" w:type="dxa"/>
            </w:tcMar>
            <w:vAlign w:val="top"/>
            <w:hideMark/>
          </w:tcPr>
          <w:p>
            <w:pPr>
              <w:widowControl w:val="0"/>
              <w:spacing w:before="65" w:after="0"/>
              <w:ind w:left="8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鉴（公）证意见：</w:t>
            </w: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70" w:after="0" w:line="230" w:lineRule="auto"/>
              <w:ind w:left="84" w:right="8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鉴（公）证机关（章）： 经办人：</w:t>
            </w:r>
          </w:p>
          <w:p>
            <w:pPr>
              <w:widowControl w:val="0"/>
              <w:spacing w:before="0" w:after="0" w:line="260" w:lineRule="atLeast"/>
              <w:ind w:left="18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年</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月 日</w:t>
            </w:r>
          </w:p>
        </w:tc>
      </w:tr>
    </w:tbl>
    <w:p>
      <w:pPr>
        <w:widowControl w:val="0"/>
        <w:tabs>
          <w:tab w:val="left" w:pos="5562"/>
        </w:tabs>
        <w:spacing w:before="34" w:after="0"/>
        <w:ind w:left="557"/>
        <w:rPr>
          <w:rFonts w:ascii="Times New Roman" w:eastAsia="Times New Roman" w:hAnsi="Times New Roman" w:cs="Times New Roman"/>
          <w:sz w:val="22"/>
          <w:szCs w:val="22"/>
        </w:rPr>
      </w:pPr>
      <w:r>
        <w:rPr>
          <w:rFonts w:ascii="宋体" w:eastAsia="宋体" w:hAnsi="宋体" w:cs="宋体"/>
          <w:color w:val="231F20"/>
          <w:sz w:val="22"/>
          <w:szCs w:val="22"/>
        </w:rPr>
        <w:t>监制部门：</w:t>
      </w:r>
      <w:r>
        <w:rPr>
          <w:rFonts w:ascii="宋体" w:eastAsia="宋体" w:hAnsi="宋体" w:cs="宋体"/>
          <w:color w:val="231F20"/>
          <w:sz w:val="22"/>
          <w:szCs w:val="22"/>
        </w:rPr>
        <w:tab/>
      </w:r>
      <w:r>
        <w:rPr>
          <w:rFonts w:ascii="宋体" w:eastAsia="宋体" w:hAnsi="宋体" w:cs="宋体"/>
          <w:color w:val="231F20"/>
          <w:sz w:val="22"/>
          <w:szCs w:val="22"/>
        </w:rPr>
        <w:t>印刷单位</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16"/>
          <w:szCs w:val="16"/>
        </w:rPr>
      </w:pPr>
    </w:p>
    <w:p>
      <w:pPr>
        <w:widowControl w:val="0"/>
        <w:spacing w:before="91" w:after="0"/>
        <w:ind w:right="115"/>
        <w:jc w:val="right"/>
        <w:rPr>
          <w:rFonts w:ascii="Times New Roman" w:eastAsia="Times New Roman" w:hAnsi="Times New Roman" w:cs="Times New Roman"/>
          <w:sz w:val="20"/>
          <w:szCs w:val="20"/>
        </w:rPr>
      </w:pPr>
      <w:r>
        <w:rPr>
          <w:rFonts w:ascii="宋体" w:eastAsia="宋体" w:hAnsi="宋体" w:cs="宋体"/>
          <w:color w:val="231F20"/>
          <w:sz w:val="20"/>
          <w:szCs w:val="20"/>
        </w:rPr>
        <w:t>3</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