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tbl>
      <w:tblPr>
        <w:tblW w:w="5000" w:type="pct"/>
        <w:tblCellMar>
          <w:top w:w="0" w:type="dxa"/>
          <w:left w:w="0" w:type="dxa"/>
          <w:bottom w:w="0" w:type="dxa"/>
          <w:right w:w="0" w:type="dxa"/>
        </w:tblCellMar>
      </w:tblPr>
      <w:tblGrid>
        <w:gridCol w:w="4470"/>
        <w:gridCol w:w="4470"/>
      </w:tblGrid>
      <w:tr>
        <w:tblPrEx>
          <w:tblW w:w="5000" w:type="pct"/>
          <w:tblCellMar>
            <w:top w:w="0" w:type="dxa"/>
            <w:left w:w="0" w:type="dxa"/>
            <w:bottom w:w="0" w:type="dxa"/>
            <w:right w:w="0" w:type="dxa"/>
          </w:tblCellMar>
        </w:tblPrEx>
        <w:trPr>
          <w:trHeight w:hRule="exact" w:val="1986"/>
        </w:trPr>
        <w:tc>
          <w:tcPr>
            <w:noWrap w:val="0"/>
            <w:tcMar>
              <w:top w:w="5" w:type="dxa"/>
              <w:left w:w="113" w:type="dxa"/>
              <w:bottom w:w="5" w:type="dxa"/>
              <w:right w:w="113" w:type="dxa"/>
            </w:tcMar>
            <w:vAlign w:val="top"/>
            <w:hideMark/>
          </w:tcPr>
          <w:p>
            <w:pPr>
              <w:widowControl w:val="0"/>
              <w:spacing w:before="0" w:after="0" w:line="664" w:lineRule="atLeast"/>
              <w:jc w:val="both"/>
              <w:rPr>
                <w:rFonts w:ascii="Times New Roman" w:eastAsia="Times New Roman" w:hAnsi="Times New Roman" w:cs="Times New Roman"/>
                <w:b w:val="0"/>
                <w:bCs w:val="0"/>
                <w:i w:val="0"/>
                <w:iCs w:val="0"/>
                <w:smallCaps w:val="0"/>
                <w:color w:val="000000"/>
              </w:rPr>
            </w:pPr>
          </w:p>
          <w:p>
            <w:pPr>
              <w:widowControl w:val="0"/>
              <w:spacing w:before="0" w:after="0" w:line="664"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tc>
        <w:tc>
          <w:tcPr>
            <w:noWrap w:val="0"/>
            <w:tcMar>
              <w:top w:w="5" w:type="dxa"/>
              <w:left w:w="113" w:type="dxa"/>
              <w:bottom w:w="5" w:type="dxa"/>
              <w:right w:w="113" w:type="dxa"/>
            </w:tcMar>
            <w:vAlign w:val="top"/>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rPr>
          <w:trHeight w:hRule="exact" w:val="1701"/>
        </w:trPr>
        <w:tc>
          <w:tcPr>
            <w:gridSpan w:val="2"/>
            <w:noWrap w:val="0"/>
            <w:tcMar>
              <w:top w:w="5" w:type="dxa"/>
              <w:left w:w="113" w:type="dxa"/>
              <w:bottom w:w="5" w:type="dxa"/>
              <w:right w:w="113" w:type="dxa"/>
            </w:tcMar>
            <w:vAlign w:val="top"/>
            <w:hideMark/>
          </w:tcPr>
          <w:p>
            <w:pPr>
              <w:widowControl w:val="0"/>
              <w:spacing w:before="0" w:after="0"/>
              <w:jc w:val="center"/>
              <w:rPr>
                <w:rFonts w:ascii="Times New Roman" w:eastAsia="Times New Roman" w:hAnsi="Times New Roman" w:cs="Times New Roman"/>
                <w:b w:val="0"/>
                <w:bCs w:val="0"/>
                <w:i w:val="0"/>
                <w:iCs w:val="0"/>
                <w:smallCaps w:val="0"/>
                <w:color w:val="000000"/>
                <w:sz w:val="132"/>
                <w:szCs w:val="132"/>
              </w:rPr>
            </w:pPr>
            <w:r>
              <w:rPr>
                <w:rFonts w:ascii="宋体" w:eastAsia="宋体" w:hAnsi="宋体" w:cs="宋体"/>
                <w:b/>
                <w:bCs/>
                <w:i w:val="0"/>
                <w:iCs w:val="0"/>
                <w:smallCaps w:val="0"/>
                <w:color w:val="FF0000"/>
                <w:spacing w:val="3"/>
                <w:sz w:val="132"/>
                <w:szCs w:val="132"/>
              </w:rPr>
              <w:t>湖北省工商行政管理局文</w:t>
            </w:r>
            <w:r>
              <w:rPr>
                <w:rFonts w:ascii="宋体" w:eastAsia="宋体" w:hAnsi="宋体" w:cs="宋体"/>
                <w:b/>
                <w:bCs/>
                <w:i w:val="0"/>
                <w:iCs w:val="0"/>
                <w:smallCaps w:val="0"/>
                <w:color w:val="FF0000"/>
                <w:spacing w:val="-11"/>
                <w:sz w:val="132"/>
                <w:szCs w:val="132"/>
              </w:rPr>
              <w:t>件</w:t>
            </w:r>
          </w:p>
        </w:tc>
      </w:tr>
      <w:tr>
        <w:tblPrEx>
          <w:tblW w:w="5000" w:type="pct"/>
          <w:tblCellMar>
            <w:top w:w="0" w:type="dxa"/>
            <w:left w:w="0" w:type="dxa"/>
            <w:bottom w:w="0" w:type="dxa"/>
            <w:right w:w="0" w:type="dxa"/>
          </w:tblCellMar>
        </w:tblPrEx>
        <w:trPr>
          <w:trHeight w:hRule="exact" w:val="1131"/>
        </w:trPr>
        <w:tc>
          <w:tcPr>
            <w:gridSpan w:val="2"/>
            <w:noWrap w:val="0"/>
            <w:tcMar>
              <w:top w:w="5" w:type="dxa"/>
              <w:left w:w="113" w:type="dxa"/>
              <w:bottom w:w="5" w:type="dxa"/>
              <w:right w:w="113" w:type="dxa"/>
            </w:tcMar>
            <w:vAlign w:val="top"/>
            <w:hideMark/>
          </w:tcPr>
          <w:p>
            <w:pPr>
              <w:widowControl w:val="0"/>
              <w:spacing w:before="0" w:after="0" w:line="474"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74" w:lineRule="atLeast"/>
              <w:jc w:val="both"/>
              <w:rPr>
                <w:rFonts w:ascii="Times New Roman" w:eastAsia="Times New Roman" w:hAnsi="Times New Roman" w:cs="Times New Roman"/>
                <w:b w:val="0"/>
                <w:bCs w:val="0"/>
                <w:i w:val="0"/>
                <w:iCs w:val="0"/>
                <w:smallCaps w:val="0"/>
                <w:color w:val="000000"/>
              </w:rPr>
            </w:pPr>
          </w:p>
          <w:p>
            <w:pPr>
              <w:widowControl w:val="0"/>
              <w:spacing w:before="0" w:after="0"/>
              <w:jc w:val="both"/>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val="465"/>
        </w:trPr>
        <w:tc>
          <w:tcPr>
            <w:gridSpan w:val="2"/>
            <w:noWrap w:val="0"/>
            <w:tcMar>
              <w:top w:w="5" w:type="dxa"/>
              <w:left w:w="113" w:type="dxa"/>
              <w:bottom w:w="5" w:type="dxa"/>
              <w:right w:w="113" w:type="dxa"/>
            </w:tcMar>
            <w:vAlign w:val="top"/>
            <w:hideMark/>
          </w:tcPr>
          <w:p>
            <w:pPr>
              <w:widowControl w:val="0"/>
              <w:spacing w:before="0" w:after="0" w:line="592" w:lineRule="atLeast"/>
              <w:ind w:firstLine="3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32"/>
                <w:szCs w:val="32"/>
              </w:rPr>
              <w:t>鄂工商</w:t>
            </w:r>
            <w:r>
              <w:rPr>
                <w:rFonts w:ascii="宋体" w:eastAsia="宋体" w:hAnsi="宋体" w:cs="宋体"/>
                <w:b w:val="0"/>
                <w:bCs w:val="0"/>
                <w:i w:val="0"/>
                <w:iCs w:val="0"/>
                <w:smallCaps w:val="0"/>
                <w:color w:val="000000"/>
                <w:sz w:val="32"/>
                <w:szCs w:val="32"/>
              </w:rPr>
              <w:t>合〔2014〕</w:t>
            </w:r>
            <w:r>
              <w:rPr>
                <w:rFonts w:ascii="宋体" w:eastAsia="宋体" w:hAnsi="宋体" w:cs="宋体"/>
                <w:b w:val="0"/>
                <w:bCs w:val="0"/>
                <w:i w:val="0"/>
                <w:iCs w:val="0"/>
                <w:smallCaps w:val="0"/>
                <w:color w:val="000000"/>
                <w:sz w:val="32"/>
                <w:szCs w:val="32"/>
              </w:rPr>
              <w:t xml:space="preserve">    </w:t>
            </w:r>
            <w:r>
              <w:rPr>
                <w:rFonts w:ascii="宋体" w:eastAsia="宋体" w:hAnsi="宋体" w:cs="宋体"/>
                <w:b w:val="0"/>
                <w:bCs w:val="0"/>
                <w:i w:val="0"/>
                <w:iCs w:val="0"/>
                <w:smallCaps w:val="0"/>
                <w:color w:val="000000"/>
                <w:sz w:val="32"/>
                <w:szCs w:val="32"/>
              </w:rPr>
              <w:t>号</w:t>
            </w:r>
          </w:p>
        </w:tc>
      </w:tr>
      <w:tr>
        <w:tblPrEx>
          <w:tblW w:w="5000" w:type="pct"/>
          <w:tblCellMar>
            <w:top w:w="0" w:type="dxa"/>
            <w:left w:w="0" w:type="dxa"/>
            <w:bottom w:w="0" w:type="dxa"/>
            <w:right w:w="0" w:type="dxa"/>
          </w:tblCellMar>
        </w:tblPrEx>
        <w:trPr>
          <w:trHeight w:hRule="exact" w:val="149"/>
        </w:trPr>
        <w:tc>
          <w:tcPr>
            <w:gridSpan w:val="2"/>
            <w:tcBorders>
              <w:bottom w:val="single" w:sz="18" w:space="0" w:color="FF0000"/>
            </w:tcBorders>
            <w:noWrap w:val="0"/>
            <w:tcMar>
              <w:top w:w="5" w:type="dxa"/>
              <w:left w:w="113" w:type="dxa"/>
              <w:bottom w:w="22" w:type="dxa"/>
              <w:right w:w="113" w:type="dxa"/>
            </w:tcMar>
            <w:vAlign w:val="top"/>
          </w:tcPr>
          <w:p>
            <w:pPr>
              <w:widowControl w:val="0"/>
              <w:spacing w:before="0" w:after="0"/>
              <w:jc w:val="both"/>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hRule="exact" w:val="877"/>
        </w:trPr>
        <w:tc>
          <w:tcPr>
            <w:gridSpan w:val="2"/>
            <w:tcBorders>
              <w:top w:val="single" w:sz="18" w:space="0" w:color="FF0000"/>
            </w:tcBorders>
            <w:noWrap w:val="0"/>
            <w:tcMar>
              <w:top w:w="22" w:type="dxa"/>
              <w:left w:w="113" w:type="dxa"/>
              <w:bottom w:w="5" w:type="dxa"/>
              <w:right w:w="113" w:type="dxa"/>
            </w:tcMar>
            <w:vAlign w:val="top"/>
            <w:hideMark/>
          </w:tcPr>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p>
            <w:pPr>
              <w:widowControl w:val="0"/>
              <w:spacing w:before="0" w:after="0" w:line="592" w:lineRule="atLeast"/>
              <w:jc w:val="both"/>
              <w:rPr>
                <w:rFonts w:ascii="Times New Roman" w:eastAsia="Times New Roman" w:hAnsi="Times New Roman" w:cs="Times New Roman"/>
                <w:b w:val="0"/>
                <w:bCs w:val="0"/>
                <w:i w:val="0"/>
                <w:iCs w:val="0"/>
                <w:smallCaps w:val="0"/>
                <w:color w:val="000000"/>
              </w:rPr>
            </w:pPr>
          </w:p>
          <w:p>
            <w:pPr>
              <w:widowControl w:val="0"/>
              <w:spacing w:before="0" w:after="0"/>
              <w:jc w:val="both"/>
              <w:rPr>
                <w:rFonts w:ascii="Times New Roman" w:eastAsia="Times New Roman" w:hAnsi="Times New Roman" w:cs="Times New Roman"/>
                <w:b w:val="0"/>
                <w:bCs w:val="0"/>
                <w:i w:val="0"/>
                <w:iCs w:val="0"/>
                <w:smallCaps w:val="0"/>
                <w:color w:val="000000"/>
                <w:sz w:val="32"/>
                <w:szCs w:val="32"/>
              </w:rPr>
            </w:pPr>
          </w:p>
        </w:tc>
      </w:tr>
      <w:tr>
        <w:tblPrEx>
          <w:tblW w:w="5000" w:type="pct"/>
          <w:tblCellMar>
            <w:top w:w="0" w:type="dxa"/>
            <w:left w:w="0" w:type="dxa"/>
            <w:bottom w:w="0" w:type="dxa"/>
            <w:right w:w="0" w:type="dxa"/>
          </w:tblCellMar>
        </w:tblPrEx>
        <w:trPr>
          <w:trHeight w:val="1075"/>
        </w:trPr>
        <w:tc>
          <w:tcPr>
            <w:gridSpan w:val="2"/>
            <w:noWrap w:val="0"/>
            <w:tcMar>
              <w:top w:w="5" w:type="dxa"/>
              <w:left w:w="113" w:type="dxa"/>
              <w:bottom w:w="5" w:type="dxa"/>
              <w:right w:w="113" w:type="dxa"/>
            </w:tcMar>
            <w:vAlign w:val="top"/>
            <w:hideMark/>
          </w:tcPr>
          <w:p>
            <w:pPr>
              <w:widowControl w:val="0"/>
              <w:spacing w:before="0" w:after="0" w:line="59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44"/>
                <w:szCs w:val="44"/>
              </w:rPr>
              <w:t>关于发布《湖北省农产品订单（买卖）合同》</w:t>
            </w:r>
          </w:p>
          <w:p>
            <w:pPr>
              <w:widowControl w:val="0"/>
              <w:spacing w:before="0" w:after="0" w:line="59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44"/>
                <w:szCs w:val="44"/>
              </w:rPr>
              <w:t>示范文本的通知</w:t>
            </w:r>
          </w:p>
        </w:tc>
      </w:tr>
      <w:tr>
        <w:tblPrEx>
          <w:tblW w:w="5000" w:type="pct"/>
          <w:tblCellMar>
            <w:top w:w="0" w:type="dxa"/>
            <w:left w:w="0" w:type="dxa"/>
            <w:bottom w:w="0" w:type="dxa"/>
            <w:right w:w="0" w:type="dxa"/>
          </w:tblCellMar>
        </w:tblPrEx>
        <w:trPr>
          <w:trHeight w:val="802"/>
        </w:trPr>
        <w:tc>
          <w:tcPr>
            <w:gridSpan w:val="2"/>
            <w:noWrap w:val="0"/>
            <w:tcMar>
              <w:top w:w="5" w:type="dxa"/>
              <w:left w:w="113" w:type="dxa"/>
              <w:bottom w:w="5" w:type="dxa"/>
              <w:right w:w="113" w:type="dxa"/>
            </w:tcMar>
            <w:vAlign w:val="top"/>
          </w:tcPr>
          <w:p>
            <w:pPr>
              <w:widowControl w:val="0"/>
              <w:spacing w:before="0" w:after="0" w:line="592"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592" w:lineRule="atLeast"/>
        <w:jc w:val="both"/>
        <w:rPr>
          <w:rFonts w:ascii="Times New Roman" w:eastAsia="Times New Roman" w:hAnsi="Times New Roman" w:cs="Times New Roman"/>
        </w:rPr>
      </w:pPr>
      <w:r>
        <w:rPr>
          <w:rFonts w:ascii="宋体" w:eastAsia="宋体" w:hAnsi="宋体" w:cs="宋体"/>
          <w:sz w:val="32"/>
          <w:szCs w:val="32"/>
        </w:rPr>
        <w:t>各市、州、直管市、林区工商局：</w:t>
      </w:r>
    </w:p>
    <w:p>
      <w:pPr>
        <w:widowControl w:val="0"/>
        <w:spacing w:before="0" w:after="0" w:line="592" w:lineRule="atLeast"/>
        <w:ind w:firstLine="640"/>
        <w:jc w:val="both"/>
        <w:rPr>
          <w:rFonts w:ascii="Times New Roman" w:eastAsia="Times New Roman" w:hAnsi="Times New Roman" w:cs="Times New Roman"/>
        </w:rPr>
      </w:pPr>
      <w:r>
        <w:rPr>
          <w:rFonts w:ascii="宋体" w:eastAsia="宋体" w:hAnsi="宋体" w:cs="宋体"/>
          <w:sz w:val="32"/>
          <w:szCs w:val="32"/>
        </w:rPr>
        <w:t>根据《中华人民共和国合同法》、《中华人民共和国消费者权益保护法》、《湖北省合同监督条例》等法律法规，结合我省实际，经过认真调研，并广泛征求相关部门意见，省工商局制定了《湖北省农产品订单（买卖）合同》示范文本，现予发布，请各地做好宣传、推行使用和监督管理工作。</w:t>
      </w:r>
    </w:p>
    <w:p>
      <w:pPr>
        <w:widowControl w:val="0"/>
        <w:spacing w:before="0" w:after="0" w:line="592" w:lineRule="atLeast"/>
        <w:ind w:firstLine="640"/>
        <w:jc w:val="both"/>
        <w:rPr>
          <w:rFonts w:ascii="Times New Roman" w:eastAsia="Times New Roman" w:hAnsi="Times New Roman" w:cs="Times New Roman"/>
        </w:rPr>
      </w:pPr>
      <w:r>
        <w:rPr>
          <w:rFonts w:ascii="宋体" w:eastAsia="宋体" w:hAnsi="宋体" w:cs="宋体"/>
          <w:sz w:val="32"/>
          <w:szCs w:val="32"/>
        </w:rPr>
        <w:t>各相关单位或个人需要使用该示范文本的，可通过省工商局官方网站（</w:t>
      </w:r>
      <w:r>
        <w:rPr>
          <w:rFonts w:ascii="宋体" w:eastAsia="宋体" w:hAnsi="宋体" w:cs="宋体"/>
          <w:color w:val="000000"/>
          <w:sz w:val="32"/>
          <w:szCs w:val="32"/>
        </w:rPr>
        <w:t>http://www.egs.gov.cn</w:t>
      </w:r>
      <w:r>
        <w:rPr>
          <w:rFonts w:ascii="宋体" w:eastAsia="宋体" w:hAnsi="宋体" w:cs="宋体"/>
          <w:sz w:val="32"/>
          <w:szCs w:val="32"/>
        </w:rPr>
        <w:t>）和省企业信用促进会网站（</w:t>
      </w:r>
      <w:r>
        <w:rPr>
          <w:rFonts w:ascii="宋体" w:eastAsia="宋体" w:hAnsi="宋体" w:cs="宋体"/>
          <w:color w:val="000000"/>
          <w:sz w:val="32"/>
          <w:szCs w:val="32"/>
        </w:rPr>
        <w:t>http://www.xycjh.cn</w:t>
      </w:r>
      <w:r>
        <w:rPr>
          <w:rFonts w:ascii="宋体" w:eastAsia="宋体" w:hAnsi="宋体" w:cs="宋体"/>
          <w:sz w:val="32"/>
          <w:szCs w:val="32"/>
        </w:rPr>
        <w:t>）自行下载。各地在推行使用该合同过程中遇到的问题，请及时反馈省工商局合同处。</w:t>
      </w:r>
    </w:p>
    <w:p>
      <w:pPr>
        <w:widowControl w:val="0"/>
        <w:spacing w:before="0" w:after="0" w:line="592" w:lineRule="atLeast"/>
        <w:ind w:firstLine="640"/>
        <w:jc w:val="both"/>
        <w:rPr>
          <w:rFonts w:ascii="Times New Roman" w:eastAsia="Times New Roman" w:hAnsi="Times New Roman" w:cs="Times New Roman"/>
        </w:rPr>
      </w:pP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附件：《湖北省农产品订单（买卖）合同》</w:t>
      </w:r>
    </w:p>
    <w:p>
      <w:pPr>
        <w:widowControl w:val="0"/>
        <w:spacing w:before="0" w:after="0" w:line="592" w:lineRule="atLeast"/>
        <w:ind w:left="1277" w:firstLine="640"/>
        <w:jc w:val="both"/>
        <w:rPr>
          <w:rFonts w:ascii="Times New Roman" w:eastAsia="Times New Roman" w:hAnsi="Times New Roman" w:cs="Times New Roman"/>
        </w:rPr>
      </w:pPr>
    </w:p>
    <w:p>
      <w:pPr>
        <w:widowControl w:val="0"/>
        <w:spacing w:before="0" w:after="0" w:line="592" w:lineRule="atLeast"/>
        <w:ind w:left="1277" w:firstLine="640"/>
        <w:jc w:val="both"/>
        <w:rPr>
          <w:rFonts w:ascii="Times New Roman" w:eastAsia="Times New Roman" w:hAnsi="Times New Roman" w:cs="Times New Roman"/>
        </w:rPr>
      </w:pPr>
    </w:p>
    <w:p>
      <w:pPr>
        <w:widowControl w:val="0"/>
        <w:spacing w:before="0" w:after="0" w:line="592" w:lineRule="atLeast"/>
        <w:ind w:left="1277" w:firstLine="640"/>
        <w:jc w:val="both"/>
        <w:rPr>
          <w:rFonts w:ascii="Times New Roman" w:eastAsia="Times New Roman" w:hAnsi="Times New Roman" w:cs="Times New Roman"/>
        </w:rPr>
      </w:pPr>
    </w:p>
    <w:p>
      <w:pPr>
        <w:widowControl w:val="0"/>
        <w:spacing w:before="0" w:after="0" w:line="592" w:lineRule="atLeast"/>
        <w:ind w:firstLine="5280"/>
        <w:jc w:val="both"/>
        <w:rPr>
          <w:rFonts w:ascii="Times New Roman" w:eastAsia="Times New Roman" w:hAnsi="Times New Roman" w:cs="Times New Roman"/>
        </w:rPr>
      </w:pPr>
      <w:r>
        <w:rPr>
          <w:rFonts w:ascii="宋体" w:eastAsia="宋体" w:hAnsi="宋体" w:cs="宋体"/>
          <w:sz w:val="32"/>
          <w:szCs w:val="32"/>
        </w:rPr>
        <w:t>2014年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　　</w:t>
      </w: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32"/>
          <w:szCs w:val="32"/>
        </w:rPr>
      </w:pPr>
    </w:p>
    <w:p>
      <w:pPr>
        <w:widowControl w:val="0"/>
        <w:spacing w:before="0" w:after="0"/>
        <w:ind w:firstLine="420"/>
        <w:jc w:val="right"/>
        <w:rPr>
          <w:rFonts w:ascii="Times New Roman" w:eastAsia="Times New Roman" w:hAnsi="Times New Roman" w:cs="Times New Roman"/>
          <w:sz w:val="10"/>
          <w:szCs w:val="10"/>
        </w:rPr>
      </w:pPr>
    </w:p>
    <w:p>
      <w:pPr>
        <w:widowControl w:val="0"/>
        <w:spacing w:before="0" w:after="0"/>
        <w:ind w:firstLine="420"/>
        <w:jc w:val="right"/>
        <w:rPr>
          <w:rFonts w:ascii="Times New Roman" w:eastAsia="Times New Roman" w:hAnsi="Times New Roman" w:cs="Times New Roman"/>
          <w:sz w:val="10"/>
          <w:szCs w:val="10"/>
        </w:rPr>
      </w:pPr>
    </w:p>
    <w:p>
      <w:pPr>
        <w:widowControl w:val="0"/>
        <w:spacing w:before="0" w:after="0"/>
        <w:ind w:firstLine="420"/>
        <w:jc w:val="right"/>
        <w:rPr>
          <w:rFonts w:ascii="Times New Roman" w:eastAsia="Times New Roman" w:hAnsi="Times New Roman" w:cs="Times New Roman"/>
          <w:sz w:val="10"/>
          <w:szCs w:val="10"/>
        </w:rPr>
      </w:pPr>
    </w:p>
    <w:tbl>
      <w:tblPr>
        <w:tblW w:w="5000" w:type="pct"/>
        <w:tblCellMar>
          <w:top w:w="0" w:type="dxa"/>
          <w:left w:w="0" w:type="dxa"/>
          <w:bottom w:w="0" w:type="dxa"/>
          <w:right w:w="0" w:type="dxa"/>
        </w:tblCellMar>
      </w:tblPr>
      <w:tblGrid>
        <w:gridCol w:w="4030"/>
        <w:gridCol w:w="4610"/>
      </w:tblGrid>
      <w:tr>
        <w:tblPrEx>
          <w:tblW w:w="5000" w:type="pct"/>
          <w:tblCellMar>
            <w:top w:w="0" w:type="dxa"/>
            <w:left w:w="0" w:type="dxa"/>
            <w:bottom w:w="0" w:type="dxa"/>
            <w:right w:w="0" w:type="dxa"/>
          </w:tblCellMar>
        </w:tblPrEx>
        <w:trPr>
          <w:trHeight w:val="635"/>
        </w:trPr>
        <w:tc>
          <w:tcPr>
            <w:tcBorders>
              <w:top w:val="single" w:sz="6" w:space="0" w:color="000000"/>
              <w:bottom w:val="single" w:sz="6" w:space="0" w:color="000000"/>
            </w:tcBorders>
            <w:noWrap w:val="0"/>
            <w:tcMar>
              <w:top w:w="8" w:type="dxa"/>
              <w:left w:w="113" w:type="dxa"/>
              <w:bottom w:w="8" w:type="dxa"/>
              <w:right w:w="113" w:type="dxa"/>
            </w:tcMar>
            <w:vAlign w:val="top"/>
            <w:hideMark/>
          </w:tcPr>
          <w:p>
            <w:pPr>
              <w:widowControl w:val="0"/>
              <w:spacing w:before="0" w:after="0"/>
              <w:ind w:firstLine="28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湖北省工商行政管理局办公室</w:t>
            </w:r>
          </w:p>
        </w:tc>
        <w:tc>
          <w:tcPr>
            <w:tcBorders>
              <w:top w:val="single" w:sz="6" w:space="0" w:color="000000"/>
              <w:bottom w:val="single" w:sz="6" w:space="0" w:color="000000"/>
            </w:tcBorders>
            <w:noWrap w:val="0"/>
            <w:tcMar>
              <w:top w:w="8" w:type="dxa"/>
              <w:left w:w="113" w:type="dxa"/>
              <w:bottom w:w="8"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8"/>
                <w:szCs w:val="28"/>
              </w:rPr>
            </w:pP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2014年</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月</w:t>
            </w:r>
            <w:r>
              <w:rPr>
                <w:rFonts w:ascii="宋体" w:eastAsia="宋体" w:hAnsi="宋体" w:cs="宋体"/>
                <w:b w:val="0"/>
                <w:bCs w:val="0"/>
                <w:i w:val="0"/>
                <w:iCs w:val="0"/>
                <w:smallCaps w:val="0"/>
                <w:color w:val="000000"/>
                <w:sz w:val="28"/>
                <w:szCs w:val="28"/>
              </w:rPr>
              <w:t xml:space="preserve">   </w:t>
            </w:r>
            <w:r>
              <w:rPr>
                <w:rFonts w:ascii="宋体" w:eastAsia="宋体" w:hAnsi="宋体" w:cs="宋体"/>
                <w:b w:val="0"/>
                <w:bCs w:val="0"/>
                <w:i w:val="0"/>
                <w:iCs w:val="0"/>
                <w:smallCaps w:val="0"/>
                <w:color w:val="000000"/>
                <w:sz w:val="28"/>
                <w:szCs w:val="28"/>
              </w:rPr>
              <w:t>日印发</w:t>
            </w:r>
          </w:p>
        </w:tc>
      </w:tr>
    </w:tbl>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8"/>
          <w:szCs w:val="28"/>
        </w:rPr>
      </w:pPr>
      <w:r>
        <w:rPr>
          <w:rFonts w:ascii="宋体" w:eastAsia="宋体" w:hAnsi="宋体" w:cs="宋体"/>
          <w:sz w:val="28"/>
          <w:szCs w:val="28"/>
        </w:rPr>
        <w:t>编号</w:t>
      </w:r>
      <w:r>
        <w:rPr>
          <w:rFonts w:ascii="宋体" w:eastAsia="宋体" w:hAnsi="宋体" w:cs="宋体"/>
          <w:sz w:val="28"/>
          <w:szCs w:val="28"/>
        </w:rPr>
        <w:tab/>
      </w:r>
      <w:r>
        <w:rPr>
          <w:rFonts w:ascii="宋体" w:eastAsia="宋体" w:hAnsi="宋体" w:cs="宋体"/>
          <w:sz w:val="28"/>
          <w:szCs w:val="28"/>
          <w:u w:val="single"/>
        </w:rPr>
        <w:t xml:space="preserve"> </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pStyle w:val="Heading1"/>
        <w:keepLines/>
        <w:widowControl w:val="0"/>
        <w:spacing w:before="0" w:after="0" w:line="560"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40"/>
          <w:szCs w:val="40"/>
        </w:rPr>
        <w:t>湖北省农产品订单（买卖）合同</w:t>
      </w: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center"/>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0" w:line="312" w:lineRule="auto"/>
        <w:jc w:val="both"/>
        <w:rPr>
          <w:rFonts w:ascii="Times New Roman" w:eastAsia="Times New Roman" w:hAnsi="Times New Roman" w:cs="Times New Roman"/>
          <w:sz w:val="22"/>
          <w:szCs w:val="22"/>
        </w:rPr>
      </w:pPr>
    </w:p>
    <w:p>
      <w:pPr>
        <w:widowControl w:val="0"/>
        <w:spacing w:before="0" w:after="360" w:line="312" w:lineRule="auto"/>
        <w:jc w:val="both"/>
        <w:rPr>
          <w:rFonts w:ascii="Times New Roman" w:eastAsia="Times New Roman" w:hAnsi="Times New Roman" w:cs="Times New Roman"/>
          <w:sz w:val="22"/>
          <w:szCs w:val="22"/>
        </w:rPr>
      </w:pPr>
    </w:p>
    <w:p>
      <w:pPr>
        <w:widowControl w:val="0"/>
        <w:spacing w:before="0" w:after="360" w:line="312" w:lineRule="auto"/>
        <w:jc w:val="both"/>
        <w:rPr>
          <w:rFonts w:ascii="Times New Roman" w:eastAsia="Times New Roman" w:hAnsi="Times New Roman" w:cs="Times New Roman"/>
          <w:sz w:val="22"/>
          <w:szCs w:val="22"/>
        </w:rPr>
      </w:pPr>
    </w:p>
    <w:p>
      <w:pPr>
        <w:widowControl w:val="0"/>
        <w:spacing w:before="0" w:after="360" w:line="312" w:lineRule="auto"/>
        <w:jc w:val="both"/>
        <w:rPr>
          <w:rFonts w:ascii="Times New Roman" w:eastAsia="Times New Roman" w:hAnsi="Times New Roman" w:cs="Times New Roman"/>
          <w:sz w:val="22"/>
          <w:szCs w:val="22"/>
        </w:rPr>
      </w:pPr>
    </w:p>
    <w:p>
      <w:pPr>
        <w:widowControl w:val="0"/>
        <w:spacing w:before="0" w:after="360" w:line="312" w:lineRule="auto"/>
        <w:jc w:val="both"/>
        <w:rPr>
          <w:rFonts w:ascii="Times New Roman" w:eastAsia="Times New Roman" w:hAnsi="Times New Roman" w:cs="Times New Roman"/>
          <w:sz w:val="22"/>
          <w:szCs w:val="22"/>
        </w:rPr>
      </w:pPr>
    </w:p>
    <w:p>
      <w:pPr>
        <w:widowControl w:val="0"/>
        <w:spacing w:before="0" w:after="360" w:line="312" w:lineRule="auto"/>
        <w:jc w:val="both"/>
        <w:rPr>
          <w:rFonts w:ascii="Times New Roman" w:eastAsia="Times New Roman" w:hAnsi="Times New Roman" w:cs="Times New Roman"/>
          <w:sz w:val="22"/>
          <w:szCs w:val="22"/>
        </w:rPr>
      </w:pPr>
    </w:p>
    <w:p>
      <w:pPr>
        <w:widowControl w:val="0"/>
        <w:spacing w:before="0" w:after="360" w:line="312" w:lineRule="auto"/>
        <w:jc w:val="both"/>
        <w:rPr>
          <w:rFonts w:ascii="Times New Roman" w:eastAsia="Times New Roman" w:hAnsi="Times New Roman" w:cs="Times New Roman"/>
          <w:sz w:val="22"/>
          <w:szCs w:val="22"/>
        </w:rPr>
      </w:pPr>
    </w:p>
    <w:p>
      <w:pPr>
        <w:widowControl w:val="0"/>
        <w:spacing w:before="0" w:after="0" w:line="276" w:lineRule="auto"/>
        <w:jc w:val="both"/>
        <w:rPr>
          <w:rFonts w:ascii="Times New Roman" w:eastAsia="Times New Roman" w:hAnsi="Times New Roman" w:cs="Times New Roman"/>
          <w:sz w:val="22"/>
          <w:szCs w:val="22"/>
        </w:rPr>
      </w:pPr>
      <w:r>
        <w:rPr>
          <w:rFonts w:ascii="宋体" w:eastAsia="宋体" w:hAnsi="宋体" w:cs="宋体"/>
          <w:sz w:val="22"/>
          <w:szCs w:val="22"/>
        </w:rPr>
        <w:t xml:space="preserve">                </w:t>
      </w:r>
    </w:p>
    <w:p>
      <w:pPr>
        <w:pStyle w:val="Heading3"/>
        <w:keepLines/>
        <w:widowControl w:val="0"/>
        <w:spacing w:before="0" w:after="0" w:line="560" w:lineRule="atLeast"/>
        <w:jc w:val="center"/>
        <w:rPr>
          <w:rFonts w:ascii="Times New Roman" w:eastAsia="Times New Roman" w:hAnsi="Times New Roman" w:cs="Times New Roman"/>
          <w:b/>
          <w:bCs/>
          <w:sz w:val="28"/>
          <w:szCs w:val="28"/>
        </w:rPr>
      </w:pPr>
      <w:r>
        <w:rPr>
          <w:rFonts w:ascii="宋体" w:eastAsia="宋体" w:hAnsi="宋体" w:cs="宋体"/>
          <w:b w:val="0"/>
          <w:bCs w:val="0"/>
          <w:sz w:val="28"/>
          <w:szCs w:val="28"/>
        </w:rPr>
        <w:t>湖北省工商行政管理局监制</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br w:type="page"/>
      </w:r>
      <w:r>
        <w:rPr>
          <w:rFonts w:ascii="宋体" w:eastAsia="宋体" w:hAnsi="宋体" w:cs="宋体"/>
          <w:sz w:val="40"/>
          <w:szCs w:val="40"/>
        </w:rPr>
        <w:t>使 用 说 明</w:t>
      </w: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一、本合同是根据《中华人民共和国合同法》、《中华人民共和国消费者权益保护法》、《湖北省合同监督条例》等法律法规制定的合同示范文本，供当事人参照使用。</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二、本合同适用范围：各类农（副）产品交易。</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三、签订本合同时应慎重、严密。约定的条款须表述清楚，无须约定的条款请注明</w:t>
      </w:r>
      <w:r>
        <w:rPr>
          <w:rFonts w:ascii="宋体" w:eastAsia="宋体" w:hAnsi="宋体" w:cs="宋体"/>
          <w:sz w:val="22"/>
          <w:szCs w:val="22"/>
        </w:rPr>
        <w:t>“</w:t>
      </w:r>
      <w:r>
        <w:rPr>
          <w:rFonts w:ascii="宋体" w:eastAsia="宋体" w:hAnsi="宋体" w:cs="宋体"/>
          <w:sz w:val="22"/>
          <w:szCs w:val="22"/>
        </w:rPr>
        <w:t>本合同对此条款无约定</w:t>
      </w:r>
      <w:r>
        <w:rPr>
          <w:rFonts w:ascii="宋体" w:eastAsia="宋体" w:hAnsi="宋体" w:cs="宋体"/>
          <w:sz w:val="22"/>
          <w:szCs w:val="22"/>
        </w:rPr>
        <w:t>”</w:t>
      </w:r>
      <w:r>
        <w:rPr>
          <w:rFonts w:ascii="宋体" w:eastAsia="宋体" w:hAnsi="宋体" w:cs="宋体"/>
          <w:sz w:val="22"/>
          <w:szCs w:val="22"/>
        </w:rPr>
        <w:t>。</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四、本合同未尽事项，合同双方当事人可根据实际情况另行签订补充协议。</w:t>
      </w:r>
    </w:p>
    <w:p>
      <w:pPr>
        <w:widowControl w:val="0"/>
        <w:spacing w:before="0" w:after="0" w:line="312" w:lineRule="auto"/>
        <w:ind w:firstLine="567"/>
        <w:jc w:val="both"/>
        <w:rPr>
          <w:rFonts w:ascii="Times New Roman" w:eastAsia="Times New Roman" w:hAnsi="Times New Roman" w:cs="Times New Roman"/>
          <w:sz w:val="22"/>
          <w:szCs w:val="22"/>
        </w:rPr>
      </w:pPr>
      <w:r>
        <w:rPr>
          <w:rFonts w:ascii="宋体" w:eastAsia="宋体" w:hAnsi="宋体" w:cs="宋体"/>
          <w:sz w:val="22"/>
          <w:szCs w:val="22"/>
        </w:rPr>
        <w:t>五、</w:t>
      </w:r>
      <w:r>
        <w:rPr>
          <w:rFonts w:ascii="宋体" w:eastAsia="宋体" w:hAnsi="宋体" w:cs="宋体"/>
          <w:sz w:val="22"/>
          <w:szCs w:val="22"/>
        </w:rPr>
        <w:t>本合同文本</w:t>
      </w:r>
      <w:r>
        <w:rPr>
          <w:rFonts w:ascii="宋体" w:eastAsia="宋体" w:hAnsi="宋体" w:cs="宋体"/>
          <w:sz w:val="22"/>
          <w:szCs w:val="22"/>
        </w:rPr>
        <w:t>由湖北省工商行政管理局负责解释，</w:t>
      </w:r>
      <w:r>
        <w:rPr>
          <w:rFonts w:ascii="宋体" w:eastAsia="宋体" w:hAnsi="宋体" w:cs="宋体"/>
          <w:sz w:val="22"/>
          <w:szCs w:val="22"/>
        </w:rPr>
        <w:t>自发布之日起</w:t>
      </w:r>
      <w:r>
        <w:rPr>
          <w:rFonts w:ascii="宋体" w:eastAsia="宋体" w:hAnsi="宋体" w:cs="宋体"/>
          <w:sz w:val="22"/>
          <w:szCs w:val="22"/>
        </w:rPr>
        <w:t>在全省范围内推行使用。</w:t>
      </w:r>
    </w:p>
    <w:p>
      <w:pPr>
        <w:widowControl w:val="0"/>
        <w:spacing w:before="0" w:after="0" w:line="312" w:lineRule="auto"/>
        <w:ind w:firstLine="567"/>
        <w:jc w:val="both"/>
        <w:rPr>
          <w:rFonts w:ascii="Times New Roman" w:eastAsia="Times New Roman" w:hAnsi="Times New Roman" w:cs="Times New Roman"/>
          <w:sz w:val="22"/>
          <w:szCs w:val="2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2"/>
          <w:szCs w:val="22"/>
        </w:rPr>
        <w:t>甲方（买受人）：</w:t>
      </w:r>
      <w:r>
        <w:rPr>
          <w:rFonts w:ascii="宋体" w:eastAsia="宋体" w:hAnsi="宋体" w:cs="宋体"/>
          <w:sz w:val="22"/>
          <w:szCs w:val="22"/>
          <w:u w:val="single"/>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乙方（卖出人）：</w:t>
      </w:r>
      <w:r>
        <w:rPr>
          <w:rFonts w:ascii="宋体" w:eastAsia="宋体" w:hAnsi="宋体" w:cs="宋体"/>
          <w:sz w:val="22"/>
          <w:szCs w:val="22"/>
          <w:u w:val="single"/>
        </w:rPr>
        <w:t xml:space="preserve">                  </w:t>
      </w:r>
      <w:r>
        <w:rPr>
          <w:rFonts w:ascii="宋体" w:eastAsia="宋体" w:hAnsi="宋体" w:cs="宋体"/>
          <w:sz w:val="22"/>
          <w:szCs w:val="22"/>
        </w:rPr>
        <w:t>签订时间：</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为适应农业产业结构调整，促进农业和农村经济的发展，提高农民和企业的经济效益，发展</w:t>
      </w:r>
      <w:r>
        <w:rPr>
          <w:rFonts w:ascii="宋体" w:eastAsia="宋体" w:hAnsi="宋体" w:cs="宋体"/>
          <w:sz w:val="22"/>
          <w:szCs w:val="22"/>
        </w:rPr>
        <w:t>“</w:t>
      </w:r>
      <w:r>
        <w:rPr>
          <w:rFonts w:ascii="宋体" w:eastAsia="宋体" w:hAnsi="宋体" w:cs="宋体"/>
          <w:sz w:val="22"/>
          <w:szCs w:val="22"/>
        </w:rPr>
        <w:t>订单农业</w:t>
      </w:r>
      <w:r>
        <w:rPr>
          <w:rFonts w:ascii="宋体" w:eastAsia="宋体" w:hAnsi="宋体" w:cs="宋体"/>
          <w:sz w:val="22"/>
          <w:szCs w:val="22"/>
        </w:rPr>
        <w:t>”</w:t>
      </w:r>
      <w:r>
        <w:rPr>
          <w:rFonts w:ascii="宋体" w:eastAsia="宋体" w:hAnsi="宋体" w:cs="宋体"/>
          <w:sz w:val="22"/>
          <w:szCs w:val="22"/>
        </w:rPr>
        <w:t>，根据《中华人民共和国合同法》、《中华人民共和国消费者权益保护法》、《湖北省合同监督条例》，经甲、乙双方协商一致，订立本合同，以共同遵守。</w:t>
      </w:r>
    </w:p>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第一条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买卖标的（品种、等级、质量）</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66"/>
        <w:gridCol w:w="866"/>
        <w:gridCol w:w="866"/>
        <w:gridCol w:w="866"/>
        <w:gridCol w:w="866"/>
        <w:gridCol w:w="866"/>
        <w:gridCol w:w="1875"/>
        <w:gridCol w:w="153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15"/>
        </w:trPr>
        <w:tc>
          <w:tcPr>
            <w:tcBorders>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品种</w:t>
            </w:r>
          </w:p>
        </w:tc>
        <w:tc>
          <w:tcPr>
            <w:tcBorders>
              <w:left w:val="single" w:sz="6" w:space="0" w:color="000000"/>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等级</w:t>
            </w:r>
          </w:p>
        </w:tc>
        <w:tc>
          <w:tcPr>
            <w:tcBorders>
              <w:left w:val="single" w:sz="6" w:space="0" w:color="000000"/>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单位</w:t>
            </w:r>
          </w:p>
        </w:tc>
        <w:tc>
          <w:tcPr>
            <w:tcBorders>
              <w:left w:val="single" w:sz="6" w:space="0" w:color="000000"/>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left w:val="single" w:sz="6" w:space="0" w:color="000000"/>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单价</w:t>
            </w:r>
          </w:p>
        </w:tc>
        <w:tc>
          <w:tcPr>
            <w:tcBorders>
              <w:left w:val="single" w:sz="6" w:space="0" w:color="000000"/>
              <w:righ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金额（元）</w:t>
            </w:r>
          </w:p>
        </w:tc>
        <w:tc>
          <w:tcPr>
            <w:tcBorders>
              <w:left w:val="single" w:sz="6" w:space="0" w:color="000000"/>
            </w:tcBorders>
            <w:noWrap w:val="0"/>
            <w:tcMar>
              <w:top w:w="16" w:type="dxa"/>
              <w:left w:w="16" w:type="dxa"/>
              <w:bottom w:w="20" w:type="dxa"/>
              <w:right w:w="16"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质量要求</w:t>
            </w:r>
          </w:p>
        </w:tc>
      </w:tr>
      <w:tr>
        <w:tblPrEx>
          <w:tblW w:w="5000" w:type="pct"/>
          <w:tblCellMar>
            <w:top w:w="0" w:type="dxa"/>
            <w:left w:w="0" w:type="dxa"/>
            <w:bottom w:w="0" w:type="dxa"/>
            <w:right w:w="0" w:type="dxa"/>
          </w:tblCellMar>
        </w:tblPrEx>
        <w:trPr>
          <w:trHeight w:val="615"/>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96"/>
        </w:trPr>
        <w:tc>
          <w:tcPr>
            <w:tcBorders>
              <w:top w:val="single" w:sz="6" w:space="0" w:color="000000"/>
              <w:right w:val="single" w:sz="6" w:space="0" w:color="000000"/>
            </w:tcBorders>
            <w:noWrap w:val="0"/>
            <w:tcMar>
              <w:top w:w="16" w:type="dxa"/>
              <w:left w:w="16" w:type="dxa"/>
              <w:bottom w:w="20"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16" w:type="dxa"/>
              <w:left w:w="16" w:type="dxa"/>
              <w:bottom w:w="20"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5"/>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285"/>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rPr>
          <w:trHeight w:val="238"/>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72"/>
        </w:trPr>
        <w:tc>
          <w:tcPr>
            <w:gridSpan w:val="8"/>
            <w:tcBorders>
              <w:top w:val="single" w:sz="6" w:space="0" w:color="000000"/>
            </w:tcBorders>
            <w:noWrap w:val="0"/>
            <w:tcMar>
              <w:top w:w="16" w:type="dxa"/>
              <w:left w:w="16" w:type="dxa"/>
              <w:bottom w:w="16" w:type="dxa"/>
              <w:right w:w="16"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合计人民币金额（大写）：</w:t>
            </w:r>
          </w:p>
        </w:tc>
      </w:tr>
    </w:tbl>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第二条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标的交售日期、数量及价格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softHyphen/>
      </w:r>
      <w:r>
        <w:rPr>
          <w:rFonts w:ascii="宋体" w:eastAsia="宋体" w:hAnsi="宋体" w:cs="宋体"/>
          <w:sz w:val="22"/>
          <w:szCs w:val="22"/>
        </w:rPr>
        <w:softHyphen/>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日之间（或</w:t>
      </w:r>
      <w:r>
        <w:rPr>
          <w:rFonts w:ascii="宋体" w:eastAsia="宋体" w:hAnsi="宋体" w:cs="宋体"/>
          <w:sz w:val="22"/>
          <w:szCs w:val="22"/>
          <w:u w:val="single"/>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旬内），向甲方交售农产品。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2、所售农产品最低价格（保护价）</w:t>
      </w:r>
      <w:r>
        <w:rPr>
          <w:rFonts w:ascii="宋体" w:eastAsia="宋体" w:hAnsi="宋体" w:cs="宋体"/>
          <w:sz w:val="22"/>
          <w:szCs w:val="22"/>
          <w:u w:val="single"/>
        </w:rPr>
        <w:t xml:space="preserve">      </w:t>
      </w:r>
      <w:r>
        <w:rPr>
          <w:rFonts w:ascii="宋体" w:eastAsia="宋体" w:hAnsi="宋体" w:cs="宋体"/>
          <w:sz w:val="22"/>
          <w:szCs w:val="22"/>
        </w:rPr>
        <w:t>元/公斤，市场行情上涨超过</w:t>
      </w:r>
      <w:r>
        <w:rPr>
          <w:rFonts w:ascii="宋体" w:eastAsia="宋体" w:hAnsi="宋体" w:cs="宋体"/>
          <w:sz w:val="22"/>
          <w:szCs w:val="22"/>
          <w:u w:val="single"/>
        </w:rPr>
        <w:t xml:space="preserve">    </w:t>
      </w:r>
      <w:r>
        <w:rPr>
          <w:rFonts w:ascii="宋体" w:eastAsia="宋体" w:hAnsi="宋体" w:cs="宋体"/>
          <w:sz w:val="22"/>
          <w:szCs w:val="22"/>
        </w:rPr>
        <w:t>%时，由甲方按市场价格进行收购。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3、甲、乙双方的任何一方如需提前或延期交货与提货，均应事先通知对方，双方另行达成新的协议。</w:t>
      </w:r>
    </w:p>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第三条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产品包装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农产品的包装，由甲乙双方协商包装办法（包括包装物的标准、包装费用、包装物的回收方式等）。</w:t>
      </w:r>
    </w:p>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第四条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交货方式、验收、结算方式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1、实行乙方送货到</w:t>
      </w:r>
      <w:r>
        <w:rPr>
          <w:rFonts w:ascii="宋体" w:eastAsia="宋体" w:hAnsi="宋体" w:cs="宋体"/>
          <w:sz w:val="22"/>
          <w:szCs w:val="22"/>
          <w:u w:val="single"/>
        </w:rPr>
        <w:t xml:space="preserve">                   </w:t>
      </w:r>
      <w:r>
        <w:rPr>
          <w:rFonts w:ascii="宋体" w:eastAsia="宋体" w:hAnsi="宋体" w:cs="宋体"/>
          <w:sz w:val="22"/>
          <w:szCs w:val="22"/>
        </w:rPr>
        <w:t>收购点，货物由甲方当面验收。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2、货款由甲方支付给乙方，货到付款。货款按下列第</w:t>
      </w:r>
      <w:r>
        <w:rPr>
          <w:rFonts w:ascii="宋体" w:eastAsia="宋体" w:hAnsi="宋体" w:cs="宋体"/>
          <w:sz w:val="22"/>
          <w:szCs w:val="22"/>
          <w:u w:val="single"/>
        </w:rPr>
        <w:t xml:space="preserve">     </w:t>
      </w:r>
      <w:r>
        <w:rPr>
          <w:rFonts w:ascii="宋体" w:eastAsia="宋体" w:hAnsi="宋体" w:cs="宋体"/>
          <w:sz w:val="22"/>
          <w:szCs w:val="22"/>
        </w:rPr>
        <w:t>种方式结算：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（一）现金结算；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（二）通过银行卡结算</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（三）其它付款方式。</w:t>
      </w:r>
    </w:p>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第五条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1、甲方在合同履行中无理由退货的，应支付乙方退货部分货款总额</w:t>
      </w:r>
      <w:r>
        <w:rPr>
          <w:rFonts w:ascii="宋体" w:eastAsia="宋体" w:hAnsi="宋体" w:cs="宋体"/>
          <w:sz w:val="22"/>
          <w:szCs w:val="22"/>
          <w:u w:val="single"/>
        </w:rPr>
        <w:t xml:space="preserve">   </w:t>
      </w:r>
      <w:r>
        <w:rPr>
          <w:rFonts w:ascii="宋体" w:eastAsia="宋体" w:hAnsi="宋体" w:cs="宋体"/>
          <w:sz w:val="22"/>
          <w:szCs w:val="22"/>
        </w:rPr>
        <w:t>（5～25%）的违约金。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2、甲方无故拒收乙方农产品，应向乙方支付被拒收货物价款</w:t>
      </w:r>
      <w:r>
        <w:rPr>
          <w:rFonts w:ascii="宋体" w:eastAsia="宋体" w:hAnsi="宋体" w:cs="宋体"/>
          <w:sz w:val="22"/>
          <w:szCs w:val="22"/>
          <w:u w:val="single"/>
        </w:rPr>
        <w:t xml:space="preserve">    </w:t>
      </w:r>
      <w:r>
        <w:rPr>
          <w:rFonts w:ascii="宋体" w:eastAsia="宋体" w:hAnsi="宋体" w:cs="宋体"/>
          <w:sz w:val="22"/>
          <w:szCs w:val="22"/>
        </w:rPr>
        <w:t>（5～25%）的违约金。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3、甲方未按合同规定收购农产品的，应按少收部分货物价款</w:t>
      </w:r>
      <w:r>
        <w:rPr>
          <w:rFonts w:ascii="宋体" w:eastAsia="宋体" w:hAnsi="宋体" w:cs="宋体"/>
          <w:sz w:val="22"/>
          <w:szCs w:val="22"/>
          <w:u w:val="single"/>
        </w:rPr>
        <w:t xml:space="preserve">     </w:t>
      </w:r>
      <w:r>
        <w:rPr>
          <w:rFonts w:ascii="宋体" w:eastAsia="宋体" w:hAnsi="宋体" w:cs="宋体"/>
          <w:sz w:val="22"/>
          <w:szCs w:val="22"/>
        </w:rPr>
        <w:t>（5～25%）向乙方支付违约金。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4、乙方交货少于合同规定的，按少交货物价款</w:t>
      </w:r>
      <w:r>
        <w:rPr>
          <w:rFonts w:ascii="宋体" w:eastAsia="宋体" w:hAnsi="宋体" w:cs="宋体"/>
          <w:sz w:val="22"/>
          <w:szCs w:val="22"/>
          <w:u w:val="single"/>
        </w:rPr>
        <w:t xml:space="preserve">     </w:t>
      </w:r>
      <w:r>
        <w:rPr>
          <w:rFonts w:ascii="宋体" w:eastAsia="宋体" w:hAnsi="宋体" w:cs="宋体"/>
          <w:sz w:val="22"/>
          <w:szCs w:val="22"/>
        </w:rPr>
        <w:t>（5～25%）向甲方支付违约金。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5、乙方在交售农产品时掺杂使假，以次充好，甲方有权拒收，乙方同时承担</w:t>
      </w:r>
      <w:r>
        <w:rPr>
          <w:rFonts w:ascii="宋体" w:eastAsia="宋体" w:hAnsi="宋体" w:cs="宋体"/>
          <w:sz w:val="22"/>
          <w:szCs w:val="22"/>
          <w:u w:val="single"/>
        </w:rPr>
        <w:t xml:space="preserve">       </w:t>
      </w:r>
      <w:r>
        <w:rPr>
          <w:rFonts w:ascii="宋体" w:eastAsia="宋体" w:hAnsi="宋体" w:cs="宋体"/>
          <w:sz w:val="22"/>
          <w:szCs w:val="22"/>
        </w:rPr>
        <w:t>（5～25%）的违约金。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6、乙方包装不符合规定的，甲方有权要求乙方重新包装，损失由乙方承担。</w:t>
      </w:r>
    </w:p>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第六条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乙双方的任何一方由于不可抗力的原因不能履行或不能完全履行合同时，应尽快向双方通报情况和理由，在提供相关证明后，可根据情况部分或全部免予承担违约责任，乙方如果由于不可抗力造成产品质量与合同规定不符的，不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农产品因受气候影响早熟或晚熟，经双方协商，可重新确定合理交（提）货期限。</w:t>
      </w:r>
    </w:p>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第七条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合同的变更与解除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1、执行议定价格时，遇国家政策进行重大调整，其调价幅度高于或者低于议定价格的15%，甲、乙双方中的任何一方可以要求变更合同，也可以单方面宣布解除合同。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2、甲、乙双方的任何一方，请求变更或解除合同时，应及时书面通知对方。未达成协议前，原合同仍然有效。当事人一方收到另一方要求变更或解除合同建议后，应在十日内作出答复，逾期不答复视为默认。</w:t>
      </w:r>
    </w:p>
    <w:p>
      <w:pPr>
        <w:pStyle w:val="Heading2"/>
        <w:keepLines/>
        <w:widowControl w:val="0"/>
        <w:spacing w:before="0" w:after="0" w:line="420" w:lineRule="atLeast"/>
        <w:ind w:firstLine="640"/>
        <w:rPr>
          <w:rFonts w:ascii="Times New Roman" w:eastAsia="Times New Roman" w:hAnsi="Times New Roman" w:cs="Times New Roman"/>
          <w:b/>
          <w:bCs/>
          <w:sz w:val="36"/>
          <w:szCs w:val="36"/>
        </w:rPr>
      </w:pPr>
      <w:r>
        <w:rPr>
          <w:rFonts w:ascii="宋体" w:eastAsia="宋体" w:hAnsi="宋体" w:cs="宋体"/>
          <w:b w:val="0"/>
          <w:bCs w:val="0"/>
          <w:i w:val="0"/>
          <w:iCs w:val="0"/>
          <w:sz w:val="22"/>
          <w:szCs w:val="22"/>
        </w:rPr>
        <w:t>第八条</w:t>
      </w:r>
      <w:r>
        <w:rPr>
          <w:rFonts w:ascii="宋体" w:eastAsia="宋体" w:hAnsi="宋体" w:cs="宋体"/>
          <w:b w:val="0"/>
          <w:bCs w:val="0"/>
          <w:i w:val="0"/>
          <w:iCs w:val="0"/>
          <w:sz w:val="22"/>
          <w:szCs w:val="22"/>
        </w:rPr>
        <w:t xml:space="preserve">  </w:t>
      </w:r>
      <w:r>
        <w:rPr>
          <w:rFonts w:ascii="宋体" w:eastAsia="宋体" w:hAnsi="宋体" w:cs="宋体"/>
          <w:b w:val="0"/>
          <w:bCs w:val="0"/>
          <w:i w:val="0"/>
          <w:iCs w:val="0"/>
          <w:sz w:val="22"/>
          <w:szCs w:val="22"/>
        </w:rPr>
        <w:t>合同争议的解决方式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本合同在履行过程中发生的争议，由双方当事人协商解决；也可由当地工商行政管理部门调解；协商或调解不成的，按下列第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（二）依法向 </w:t>
      </w:r>
      <w:r>
        <w:rPr>
          <w:rFonts w:ascii="宋体" w:eastAsia="宋体" w:hAnsi="宋体" w:cs="宋体"/>
          <w:sz w:val="22"/>
          <w:szCs w:val="22"/>
          <w:u w:val="single"/>
        </w:rPr>
        <w:t xml:space="preserve">        </w:t>
      </w:r>
      <w:r>
        <w:rPr>
          <w:rFonts w:ascii="宋体" w:eastAsia="宋体" w:hAnsi="宋体" w:cs="宋体"/>
          <w:sz w:val="22"/>
          <w:szCs w:val="22"/>
        </w:rPr>
        <w:t>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本合同自双方签字盖章后生</w:t>
      </w:r>
      <w:r>
        <w:rPr>
          <w:rFonts w:ascii="宋体" w:eastAsia="宋体" w:hAnsi="宋体" w:cs="宋体"/>
          <w:sz w:val="22"/>
          <w:szCs w:val="22"/>
        </w:rPr>
        <w:t>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其他约定事项：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本合同一式</w:t>
      </w:r>
      <w:r>
        <w:rPr>
          <w:rFonts w:ascii="宋体" w:eastAsia="宋体" w:hAnsi="宋体" w:cs="宋体"/>
          <w:sz w:val="22"/>
          <w:szCs w:val="22"/>
        </w:rPr>
        <w:t>三</w:t>
      </w:r>
      <w:r>
        <w:rPr>
          <w:rFonts w:ascii="宋体" w:eastAsia="宋体" w:hAnsi="宋体" w:cs="宋体"/>
          <w:sz w:val="22"/>
          <w:szCs w:val="22"/>
        </w:rPr>
        <w:t>份，双方各执</w:t>
      </w:r>
      <w:r>
        <w:rPr>
          <w:rFonts w:ascii="宋体" w:eastAsia="宋体" w:hAnsi="宋体" w:cs="宋体"/>
          <w:sz w:val="22"/>
          <w:szCs w:val="22"/>
        </w:rPr>
        <w:t>一</w:t>
      </w:r>
      <w:r>
        <w:rPr>
          <w:rFonts w:ascii="宋体" w:eastAsia="宋体" w:hAnsi="宋体" w:cs="宋体"/>
          <w:sz w:val="22"/>
          <w:szCs w:val="22"/>
        </w:rPr>
        <w:t>份，交工商机关备案一份。</w:t>
      </w:r>
      <w:r>
        <w:rPr>
          <w:rFonts w:ascii="宋体" w:eastAsia="宋体" w:hAnsi="宋体" w:cs="宋体"/>
          <w:color w:val="000000"/>
          <w:sz w:val="22"/>
          <w:szCs w:val="22"/>
        </w:rPr>
        <w:t>合同内容</w:t>
      </w:r>
      <w:r>
        <w:rPr>
          <w:rFonts w:ascii="宋体" w:eastAsia="宋体" w:hAnsi="宋体" w:cs="宋体"/>
          <w:sz w:val="22"/>
          <w:szCs w:val="22"/>
        </w:rPr>
        <w:t>如有变更，应当采用书面形式作为本合同的附件；附件与本合同具有同等法律效力。</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857"/>
        <w:gridCol w:w="4495"/>
        <w:gridCol w:w="225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jc w:val="center"/>
        </w:trPr>
        <w:tc>
          <w:tcPr>
            <w:tcBorders>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甲方（盖章）：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负责人：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住所：</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乙方（签字或盖章）：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居民身份证号码：</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540" w:hanging="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住所：</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县（市）</w:t>
            </w:r>
          </w:p>
          <w:p>
            <w:pPr>
              <w:widowControl w:val="0"/>
              <w:spacing w:before="0" w:after="0" w:line="420" w:lineRule="atLeast"/>
              <w:ind w:left="540" w:hanging="54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乡（镇）</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村</w:t>
            </w:r>
            <w:r>
              <w:rPr>
                <w:rFonts w:ascii="宋体" w:eastAsia="宋体" w:hAnsi="宋体" w:cs="宋体"/>
                <w:b w:val="0"/>
                <w:bCs w:val="0"/>
                <w:i w:val="0"/>
                <w:iCs w:val="0"/>
                <w:smallCaps w:val="0"/>
                <w:color w:val="000000"/>
                <w:sz w:val="18"/>
                <w:szCs w:val="18"/>
                <w:u w:val="single" w:color="000000"/>
              </w:rPr>
              <w:t xml:space="preserve">      </w:t>
            </w:r>
            <w:r>
              <w:rPr>
                <w:rFonts w:ascii="宋体" w:eastAsia="宋体" w:hAnsi="宋体" w:cs="宋体"/>
                <w:b w:val="0"/>
                <w:bCs w:val="0"/>
                <w:i w:val="0"/>
                <w:iCs w:val="0"/>
                <w:smallCaps w:val="0"/>
                <w:color w:val="000000"/>
                <w:sz w:val="18"/>
                <w:szCs w:val="18"/>
              </w:rPr>
              <w:t>组</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联系电话：</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lef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备案机关（盖章）：</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经办人：</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p>
          <w:p>
            <w:pPr>
              <w:widowControl w:val="0"/>
              <w:spacing w:before="0" w:after="0" w:line="420" w:lineRule="atLeast"/>
              <w:ind w:firstLine="18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504825" cy="1809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504825" cy="1809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湖北省工商行政管理局文件</dc:title>
  <cp:revision>1</cp:revision>
</cp:coreProperties>
</file>