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GF—2012 —0115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77" w:lineRule="atLeast"/>
        <w:ind w:left="265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烟花爆竹安全买卖合同</w:t>
      </w:r>
    </w:p>
    <w:p>
      <w:pPr>
        <w:widowControl w:val="0"/>
        <w:spacing w:before="152" w:after="0"/>
        <w:ind w:left="2385" w:firstLine="14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254" w:after="0"/>
        <w:ind w:left="238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宋体" w:eastAsia="宋体" w:hAnsi="宋体" w:cs="宋体"/>
          <w:color w:val="231F20"/>
          <w:sz w:val="26"/>
          <w:szCs w:val="26"/>
        </w:rPr>
        <w:t>国家安全生产监督管理总局</w:t>
      </w:r>
    </w:p>
    <w:p>
      <w:pPr>
        <w:widowControl w:val="0"/>
        <w:tabs>
          <w:tab w:val="left" w:pos="5244"/>
          <w:tab w:val="left" w:pos="5764"/>
        </w:tabs>
        <w:spacing w:before="69" w:after="0" w:line="286" w:lineRule="auto"/>
        <w:ind w:left="2385" w:right="30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宋体" w:eastAsia="宋体" w:hAnsi="宋体" w:cs="宋体"/>
          <w:color w:val="231F20"/>
          <w:spacing w:val="55"/>
          <w:sz w:val="26"/>
          <w:szCs w:val="26"/>
        </w:rPr>
        <w:t>国家工商行政管理总</w:t>
      </w:r>
      <w:r>
        <w:rPr>
          <w:rFonts w:ascii="宋体" w:eastAsia="宋体" w:hAnsi="宋体" w:cs="宋体"/>
          <w:color w:val="231F20"/>
          <w:sz w:val="26"/>
          <w:szCs w:val="26"/>
        </w:rPr>
        <w:t>局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制定公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安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部</w:t>
      </w:r>
    </w:p>
    <w:p>
      <w:pPr>
        <w:widowControl w:val="0"/>
        <w:spacing w:before="16" w:after="0"/>
        <w:ind w:left="3275" w:right="417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宋体" w:eastAsia="宋体" w:hAnsi="宋体" w:cs="宋体"/>
          <w:color w:val="231F20"/>
          <w:sz w:val="26"/>
          <w:szCs w:val="26"/>
        </w:rPr>
        <w:t>二○一二年七月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spacing w:before="92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trike w:val="0"/>
          <w:sz w:val="17"/>
          <w:szCs w:val="17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887349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3" w:after="0"/>
        <w:ind w:left="5578" w:right="55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烟花爆竹安全买卖合同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tabs>
          <w:tab w:val="left" w:pos="13143"/>
          <w:tab w:val="left" w:pos="13636"/>
        </w:tabs>
        <w:spacing w:before="22" w:after="0" w:line="638" w:lineRule="auto"/>
        <w:ind w:left="137" w:right="98" w:firstLine="1146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pacing w:val="-15"/>
          <w:sz w:val="22"/>
          <w:szCs w:val="22"/>
        </w:rPr>
        <w:t>：[20</w:t>
      </w:r>
      <w:r>
        <w:rPr>
          <w:rFonts w:ascii="宋体" w:eastAsia="宋体" w:hAnsi="宋体" w:cs="宋体"/>
          <w:color w:val="231F20"/>
          <w:spacing w:val="-15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]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号供货单位（章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购货单位（章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</w:p>
    <w:p>
      <w:pPr>
        <w:widowControl w:val="0"/>
        <w:spacing w:before="108" w:after="0"/>
        <w:ind w:left="5577" w:right="554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宋体" w:eastAsia="宋体" w:hAnsi="宋体" w:cs="宋体"/>
          <w:color w:val="231F20"/>
          <w:sz w:val="26"/>
          <w:szCs w:val="26"/>
        </w:rPr>
        <w:t>订</w:t>
      </w:r>
      <w:r>
        <w:rPr>
          <w:rFonts w:ascii="宋体" w:eastAsia="宋体" w:hAnsi="宋体" w:cs="宋体"/>
          <w:color w:val="231F20"/>
          <w:sz w:val="26"/>
          <w:szCs w:val="26"/>
        </w:rPr>
        <w:t xml:space="preserve">  </w:t>
      </w:r>
      <w:r>
        <w:rPr>
          <w:rFonts w:ascii="宋体" w:eastAsia="宋体" w:hAnsi="宋体" w:cs="宋体"/>
          <w:color w:val="231F20"/>
          <w:sz w:val="26"/>
          <w:szCs w:val="26"/>
        </w:rPr>
        <w:t>货</w:t>
      </w:r>
      <w:r>
        <w:rPr>
          <w:rFonts w:ascii="宋体" w:eastAsia="宋体" w:hAnsi="宋体" w:cs="宋体"/>
          <w:color w:val="231F20"/>
          <w:sz w:val="26"/>
          <w:szCs w:val="26"/>
        </w:rPr>
        <w:t xml:space="preserve">  </w:t>
      </w:r>
      <w:r>
        <w:rPr>
          <w:rFonts w:ascii="宋体" w:eastAsia="宋体" w:hAnsi="宋体" w:cs="宋体"/>
          <w:color w:val="231F20"/>
          <w:sz w:val="26"/>
          <w:szCs w:val="26"/>
        </w:rPr>
        <w:t>清 单</w:t>
      </w: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21"/>
        <w:gridCol w:w="2756"/>
        <w:gridCol w:w="696"/>
        <w:gridCol w:w="696"/>
        <w:gridCol w:w="410"/>
        <w:gridCol w:w="808"/>
        <w:gridCol w:w="696"/>
        <w:gridCol w:w="696"/>
        <w:gridCol w:w="614"/>
        <w:gridCol w:w="1237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4" w:after="0" w:line="265" w:lineRule="atLeast"/>
              <w:ind w:left="4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产品代码</w:t>
            </w:r>
          </w:p>
          <w:p>
            <w:pPr>
              <w:widowControl w:val="0"/>
              <w:spacing w:before="5" w:after="0" w:line="230" w:lineRule="auto"/>
              <w:ind w:left="195" w:right="18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（同流向登记的产品代码）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1143" w:right="113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产品名称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2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产品类别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2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产品级别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14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 / 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 w:line="230" w:lineRule="auto"/>
              <w:ind w:left="179" w:right="1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4" w:after="0" w:line="265" w:lineRule="atLeast"/>
              <w:ind w:left="2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箱含药量</w:t>
            </w:r>
          </w:p>
          <w:p>
            <w:pPr>
              <w:widowControl w:val="0"/>
              <w:spacing w:before="0" w:after="0" w:line="265" w:lineRule="atLeast"/>
              <w:ind w:left="2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（千克）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2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订货数量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4" w:after="0" w:line="265" w:lineRule="atLeast"/>
              <w:ind w:left="3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  <w:p>
            <w:pPr>
              <w:widowControl w:val="0"/>
              <w:spacing w:before="0" w:after="0" w:line="265" w:lineRule="atLeast"/>
              <w:ind w:left="2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4" w:after="0" w:line="265" w:lineRule="atLeast"/>
              <w:ind w:left="438" w:right="4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  <w:p>
            <w:pPr>
              <w:widowControl w:val="0"/>
              <w:spacing w:before="0" w:after="0" w:line="265" w:lineRule="atLeast"/>
              <w:ind w:left="438" w:right="4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10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4" w:after="0"/>
              <w:ind w:left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合计人民币（大写）：</w:t>
            </w: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trike w:val="0"/>
          <w:sz w:val="14"/>
          <w:szCs w:val="14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23" w:after="0" w:line="319" w:lineRule="auto"/>
        <w:ind w:left="117" w:right="5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一、本合同按照《中华人民共和国合同法》等有关规定执行。买卖双方应严格遵守《中华人民共和国安全生产法》、《烟花爆竹安全管理条例》等有关法律法规的规定，依法经营，保障安全。</w:t>
      </w:r>
    </w:p>
    <w:p>
      <w:pPr>
        <w:widowControl w:val="0"/>
        <w:tabs>
          <w:tab w:val="left" w:pos="13836"/>
        </w:tabs>
        <w:spacing w:before="26" w:after="0" w:line="319" w:lineRule="auto"/>
        <w:ind w:left="117" w:right="218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二、产品质量标准及要求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三、禁（限）用药物要求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四、产品包装标准及要求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五、提（交）货时间和地点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六、运输方式及费用负担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七、验收标准与方法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八、提出异议期限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九、结算方式与期限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十、产品安全与质量责任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十一、运输安全责任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十二、违约责任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222250</wp:posOffset>
            </wp:positionV>
            <wp:extent cx="872490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1167"/>
        </w:tabs>
        <w:spacing w:before="83" w:after="0" w:line="319" w:lineRule="auto"/>
        <w:ind w:left="557" w:right="303" w:hanging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十三、合同争议的解决方式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本合同在履行过程中发生争议，由双方协商解决，协商不成的，按下列第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种方式解决（选择一种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1、双方同意将争议提交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2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2、依法向人民法院提起诉讼。</w:t>
      </w:r>
    </w:p>
    <w:p>
      <w:pPr>
        <w:widowControl w:val="0"/>
        <w:tabs>
          <w:tab w:val="left" w:pos="13836"/>
        </w:tabs>
        <w:spacing w:before="109" w:after="0"/>
        <w:ind w:left="11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十四、其他约定事项（可另附页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275590</wp:posOffset>
            </wp:positionV>
            <wp:extent cx="872490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6"/>
          <w:szCs w:val="26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554990</wp:posOffset>
            </wp:positionV>
            <wp:extent cx="872490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887349</wp:posOffset>
            </wp:positionV>
            <wp:extent cx="171450" cy="9525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722"/>
        <w:gridCol w:w="120"/>
        <w:gridCol w:w="2437"/>
        <w:gridCol w:w="120"/>
        <w:gridCol w:w="3536"/>
        <w:gridCol w:w="120"/>
        <w:gridCol w:w="2306"/>
        <w:gridCol w:w="120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gridSpan w:val="8"/>
            <w:tcBorders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3" w:after="0"/>
              <w:ind w:left="5986" w:right="598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购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位（章）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许可证编号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 w:line="265" w:lineRule="atLeast"/>
              <w:ind w:left="4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</w:t>
            </w:r>
          </w:p>
          <w:p>
            <w:pPr>
              <w:widowControl w:val="0"/>
              <w:spacing w:before="0" w:after="0" w:line="265" w:lineRule="atLeast"/>
              <w:ind w:left="4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（签字）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229" w:right="22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 w:line="265" w:lineRule="atLeast"/>
              <w:ind w:left="4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</w:t>
            </w:r>
          </w:p>
          <w:p>
            <w:pPr>
              <w:widowControl w:val="0"/>
              <w:spacing w:before="0" w:after="0" w:line="265" w:lineRule="atLeast"/>
              <w:ind w:left="4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（签字）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201" w:right="20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电子邮箱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电子邮箱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gridSpan w:val="8"/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3" w:after="0"/>
              <w:ind w:left="5986" w:right="598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单 位（章）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许可证编号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 w:line="265" w:lineRule="atLeast"/>
              <w:ind w:left="4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</w:t>
            </w:r>
          </w:p>
          <w:p>
            <w:pPr>
              <w:widowControl w:val="0"/>
              <w:spacing w:before="0" w:after="0" w:line="265" w:lineRule="atLeast"/>
              <w:ind w:left="4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（签字）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left="229" w:right="22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 w:line="265" w:lineRule="atLeast"/>
              <w:ind w:left="4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</w:t>
            </w:r>
          </w:p>
          <w:p>
            <w:pPr>
              <w:widowControl w:val="0"/>
              <w:spacing w:before="0" w:after="0" w:line="265" w:lineRule="atLeast"/>
              <w:ind w:left="4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（签字）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left="201" w:right="20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电子邮箱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6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电子邮箱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4" w:after="0"/>
              <w:ind w:left="476" w:right="4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4" w:after="0"/>
              <w:ind w:left="383" w:right="3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tabs>
          <w:tab w:val="left" w:pos="9596"/>
          <w:tab w:val="left" w:pos="10249"/>
          <w:tab w:val="left" w:pos="10902"/>
          <w:tab w:val="left" w:pos="12330"/>
          <w:tab w:val="left" w:pos="12983"/>
          <w:tab w:val="left" w:pos="13636"/>
        </w:tabs>
        <w:spacing w:before="91" w:after="0"/>
        <w:ind w:left="7836"/>
        <w:rPr>
          <w:rFonts w:ascii="方正书宋_GBK" w:eastAsia="方正书宋_GBK" w:hAnsi="方正书宋_GBK" w:cs="方正书宋_GBK"/>
          <w:spacing w:val="52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有效期自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pacing w:val="52"/>
          <w:sz w:val="22"/>
          <w:szCs w:val="22"/>
        </w:rPr>
        <w:t>至</w:t>
      </w:r>
      <w:r>
        <w:rPr>
          <w:rFonts w:ascii="宋体" w:eastAsia="宋体" w:hAnsi="宋体" w:cs="宋体"/>
          <w:color w:val="231F20"/>
          <w:spacing w:val="5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52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