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“医”路有AI，雪域无碍：西藏阜康医院携手华为打造高原智慧医疗标杆</w:t>
      </w:r>
    </w:p>
    <w:p>
      <w:pPr>
        <w:spacing w:lineRule="auto"/>
      </w:pPr>
      <w:r>
        <w:rPr/>
        <w:t xml:space="preserve">作者：华为计算　发布时间：2026/4/29 20:10:05</w:t>
      </w:r>
    </w:p>
    <w:p>
      <w:pPr>
        <w:spacing w:lineRule="auto"/>
      </w:pPr>
      <w:r>
        <w:rPr/>
        <w:drawing>
          <wp:inline distB="0" distL="0" distR="0" distT="0">
            <wp:extent cx="5486400" cy="816864"/>
            <wp:effectExtent b="0" l="0" r="0" t="0"/>
            <wp:docPr id="2" name="image-qz3Msx_sNroavLQCbySYz.gif"/>
            <a:graphic>
              <a:graphicData uri="http://schemas.openxmlformats.org/drawingml/2006/picture">
                <pic:pic>
                  <pic:nvPicPr>
                    <pic:cNvPr id="2" name="image-qz3Msx_sNroavLQCbySYz.gif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“健康是幸福生活最重要的指标。”在“健康中国”战略的深入推进下，医疗行业正加速向数字化、智能化迈进。国家政策大力支持医疗信息化发展，鼓励医疗机构运用前沿技术提升服务质量与效率，为民众提供更优质、便捷的医疗服务。在国家大力推进“大病不出藏”战略背景下，西藏作为高海拔、地广人稀的特殊区域，亟须通过数字化、智能化手段破解就医难、资源散、效率低等长期痛点，构建可及、高效、精准的现代医疗服务体系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西藏阜康医院是拉萨市一家大型三级民营综合性医院，成立于2005年4月，2019年正式获批为国家三级综合医院，是西藏地区成立最早、规模最大的民营医疗机构。医院以高原特色医疗为核心，重点打造肝胆胰外科、骨科、心血管内科、辅助生殖医学等8个院级重点学科，建设集医疗、教学、科研、预防、康复、健康管理于一体现代化综合民营医院。目前，医院已形成综合院区、妇产儿童院区、心脑血管院区、体检中心四大院区协同发展的格局。为突破发展瓶颈，提升医疗服务水平，西藏阜康医院联合华为开展智能化转型项目，旨在实现医疗服务的数字化、智能化升级，为患者提供更优质高效的医疗服务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3083560"/>
            <wp:effectExtent b="0" l="0" r="0" t="0"/>
            <wp:docPr id="4" name="image-SJFpVUrBNWitOnJVct-qV.jpeg"/>
            <a:graphic>
              <a:graphicData uri="http://schemas.openxmlformats.org/drawingml/2006/picture">
                <pic:pic>
                  <pic:nvPicPr>
                    <pic:cNvPr id="4" name="image-SJFpVUrBNWitOnJVct-qV.jpe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雪域求索：高原医疗智能化的五大核心需求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在海拔4000米的世界屋脊，每一次求诊都可能是一次漫长跋涉。要真正实现“让数据多跑路、群众少跑腿”，医院必须突破传统信息化瓶颈，在服务体验、智能应用、数据整合、系统协同与算力支撑五个维度实现跃升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患者服务优化需求：</w:t>
      </w:r>
      <w:r>
        <w:rPr/>
        <w:t xml:space="preserve">西藏地域辽阔，许多患者来自偏远地区，前往医院就诊往往需要耗费大量的时间和精力。传统的就医流程中，挂号、缴费、候诊等环节排队时间长，患者体验不佳。医院希望借助智能化手段，优化就医全流程，如推出线上预约挂号、智能导诊、自助缴费、报告查询等服务，减少患者在院等待时间，同时提供远程问诊服务，让偏远地区患者能够足不出户享受到优质的医疗咨询，缓解“看病远、看病难”的问题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智能诊疗辅助需求：</w:t>
      </w:r>
      <w:r>
        <w:rPr/>
        <w:t xml:space="preserve">高原地区疾病谱具有特殊性，如高原病、心脑血管疾病等发病率较高，且由于医疗资源相对匮乏，基层医生在面对复杂病例时往往缺乏足够的经验和专业支持。医院急需引入AI辅助诊断系统，通过对海量医学影像、病历数据的分析，为医生提供精准的诊断建议和治疗方案参考，提升对疑难病症的诊断能力，尤其是在放射科、病理科等对影像判读要求极高的科室，AI辅助能有效减少漏诊、误诊，提高诊疗效率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跨院区协同需求：</w:t>
      </w:r>
      <w:r>
        <w:rPr/>
        <w:t xml:space="preserve">医院已形成四大院区协同发展的格局，但各院区之间在业务流程、资源调配等方面尚未实现高效协同。不同院区的科室设置、医疗设备、专家资源等存在差异，患者转诊时面临流程烦琐、信息传递不畅等问题。需要建立统一的协同管理平台，实现各院区之间患者信息互通、检查结果互认、专家资源共享以及医疗设备的统一调度，提升整体医疗资源的利用效率，确保患者能够得到及时、连贯的治疗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标准化与高质量数据治理需求：</w:t>
      </w:r>
      <w:r>
        <w:rPr/>
        <w:t xml:space="preserve">院内药品、诊断、手术、耗材编码需统一，强化数据科学价值，通过数据横向比对，支撑精细化管理和科学决策。需建立覆盖全院的标准化数据采集、清洗、标注与质控体系，确保临床、管理、科研数据同源同质，为AI模型训练与临床决策提供高信度数据底座，并支撑多模态AI模型持续迭代优化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高可靠算力支撑需求：</w:t>
      </w:r>
      <w:r>
        <w:rPr/>
        <w:t xml:space="preserve">医疗数据具有数据量大、类型复杂（如影像数据、基因数据等）的特点，AI辅助诊断、大数据分析等智能化应用对算力的需求极高。同时，高原地区网络环境相对复杂，对系统的稳定性和可靠性提出了更高要求。医院需要构建强大的算力基础设施，确保能够高效处理和存储海量医疗数据，同时保障系统在复杂环境下的稳定运行，避免因算力不足或系统故障影响医疗服务的正常开展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昇腾AI创新方案重塑雪域智慧医疗新范式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针对上述五大核心需求，华为联合上海润达，为西藏阜康医院量身打造“智慧医疗服务平台联合解决方案”。方案基于昇腾Atlas系列服务器构建本地AI集群，部署医疗大模型，实现从数据整合到智能应用的全链路升级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一数贯通，打破院区壁垒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构建统一的数据中台，联通四大院区的HIS、LIS、PACS等关键系统，达成患者全生命周期数据的集中管控与实时共享。在任一院区，医生都能查阅完整的病史资料，防止重复检验与信息缺失，极大提高诊疗的连贯性与精确性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标准先行，夯实数据根基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方案引入统一编码体系与数据治理规则，对历史数据进行清洗、映射与补全，建立高质量、结构化的医疗数据资产库，为后续AI训练与业务分析提供可信数据源。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AI赋能，重塑诊疗流程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智能预问诊系统支持院外报告OCR解析，信息识别准确率超95%，并自动推送至医生工作站；诊中语音记录医患对话，一键生成规范病历，最快可在10s内生成病历；病历质控模块实时检测逻辑漏洞与规范问题，科室质控效率提升超50%，助力医院高效达成国家电子病历管理要求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服务集成，优化患者旅程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通过小程序与智能导诊系统，患者输入“胸闷气短”即可自动匹配心脑血管科专家，挂错科室成为历史。全流程线上化覆盖挂号、缴费、报告查看等环节，大幅减少排队与往返奔波，让高原群众在家门口享受便捷服务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澎湃算力，保障稳定高效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昇腾推理解决方案提供强大的大模型推理能力，显著提升单卡吞吐性能，降低系统时延，使万亿参数级医疗大模型在本地高效流畅运行。日均稳定支撑超2000人次就医问诊，为AI应用提供澎湃、可信的算力引擎。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在世界屋脊之上，昇腾AI如同一盏明灯，照亮了高原群众的就医之路，也让医生得以从烦琐事务中解放，回归临床本质。通过本次合作，医院实现了诊疗效率与医疗质量的双重飞跃，患者就诊时间大幅缩短，医生工作效率显著提升，真正践行了“以患者为中心”的服务理念。更重要的是，这一模式有力支撑了“大病不出藏”国家战略，为西藏乃至整个边疆地区的医疗公平与高质量发展提供了可复制、可推广的样板。未来，华为将持续深化与西藏阜康医院的合作，进一步拓展AI应用边界。在这片离天空最近的土地上，科技与仁心正携手同行，让生命健康在高原绽放新的希望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◆往期推荐◆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hyperlink r:id="rId10">
        <w:r>
          <w:rPr>
            <w:rStyle w:val="Hyperlink"/>
          </w:rPr>
        </w:r>
      </w:hyperlink>
    </w:p>
    <w:p>
      <w:pPr>
        <w:spacing w:lineRule="auto"/>
      </w:pPr>
      <w:r>
        <w:rPr/>
        <w:t xml:space="preserve">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宋体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QRgWA2MkN8jeF-Zo8e5_.gif" TargetMode="Internal"/>
  <Relationship Id="rId7" Type="http://schemas.openxmlformats.org/officeDocument/2006/relationships/image" Target="media/image-qz3Msx_sNroavLQCbySYz.gif" TargetMode="Internal"/>
  <Relationship Id="rId8" Type="http://schemas.openxmlformats.org/officeDocument/2006/relationships/image" Target="media/image-veeXvBr9ICkOO8ZcLvULf.jpeg" TargetMode="Internal"/>
  <Relationship Id="rId9" Type="http://schemas.openxmlformats.org/officeDocument/2006/relationships/image" Target="media/image-SJFpVUrBNWitOnJVct-qV.jpeg" TargetMode="Internal"/>
  <Relationship Id="rId10" Type="http://schemas.openxmlformats.org/officeDocument/2006/relationships/hyperlink" Target="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2026-10-28T15:05:22.644Z</dcterms:created>
  <dcterms:modified xsi:type="dcterms:W3CDTF">2026-10-28T15:05:22.644Z</dcterms:modified>
</cp:coreProperties>
</file>