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金融智能新跨越：中国银联依托昇腾算力率先完成DeepSeek-V4私有化部署</w:t>
      </w:r>
    </w:p>
    <w:p>
      <w:pPr>
        <w:spacing w:lineRule="auto"/>
      </w:pPr>
      <w:r>
        <w:rPr/>
        <w:t xml:space="preserve">作者：华为计算　发布时间：2026/4/25 18:52:48</w:t>
      </w:r>
    </w:p>
    <w:p>
      <w:pPr>
        <w:spacing w:lineRule="auto"/>
      </w:pPr>
      <w:r>
        <w:rPr/>
        <w:drawing>
          <wp:inline distB="0" distL="0" distR="0" distT="0">
            <wp:extent cx="5486400" cy="816864"/>
            <wp:effectExtent b="0" l="0" r="0" t="0"/>
            <wp:docPr id="2" name="image-mJzHgi1LI27gzWKg9mbel.gif"/>
            <a:graphic>
              <a:graphicData uri="http://schemas.openxmlformats.org/drawingml/2006/picture">
                <pic:pic>
                  <pic:nvPicPr>
                    <pic:cNvPr id="2" name="image-mJzHgi1LI27gzWKg9mbel.gif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在人工智能技术重塑各行业发展格局的当下，金融领域作为数据密集型、风险敏感型行业，正积极探索AI技术的深度应用。当人工智能技术与自主创新大模型交汇，金融场景成为检验AI技术实用性与安全性的核心阵地。</w:t>
      </w:r>
      <w:r>
        <w:rPr>
          <w:b/>
        </w:rPr>
        <w:t xml:space="preserve">2026年4月，中国银联以前</w:t>
      </w:r>
      <w:r>
        <w:rPr>
          <w:b/>
        </w:rPr>
        <w:t xml:space="preserve">瞻视野率先实现突破：依托昇腾AI算力底座与DeepSeek-V4大模型，成功完成私有化部署并实现0day支持</w:t>
      </w:r>
      <w:r>
        <w:rPr/>
        <w:t xml:space="preserve">，此次实践是金融行业借助自主创新AI技术实现金融核心业务场景智能化升级的典型探索，为金融服务向智能、高效、普惠方向高质量发展注入新动能。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当前金融机构在大模型落地过程中普遍面临三大</w:t>
      </w:r>
      <w:r>
        <w:rPr>
          <w:b/>
        </w:rPr>
        <w:t xml:space="preserve">瓶颈</w:t>
      </w:r>
      <w:r>
        <w:rPr>
          <w:b/>
        </w:rPr>
        <w:t xml:space="preserve">：</w:t>
      </w:r>
      <w:r>
        <w:rPr/>
        <w:t xml:space="preserve">一是算力瓶颈，金融业务对延迟与吞吐量要求严苛，传统算力架构的性能已难以满足需求；二是数据安全，数据外泄等问题引发合规与安全风险，无法达到金融级数据安全标准；三是模型能力，金融业务逻辑推理高度复杂，传统模型下业务场景的价值难以充分释放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作为我国金融支付行业核心机构，中国银联始终深耕金融基础设施建设与服务创新，此次私有化部署落地，可有效提升营销、风险防控等核心场景效率，同时通过银联智能云向行业输出大模型技术与场景化服务，形成可复制的行业范式，赋能金融行业人工智能发展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中国银联联合华为打造覆盖“算力支撑-数据安全-场景适配”全流程金融大模型应用体系，实现金融服务智能化升级和多维度突破：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澎湃算力支撑，保障业务高效运行：</w:t>
      </w:r>
      <w:r>
        <w:rPr/>
        <w:t xml:space="preserve">昇腾 AI 服务器兼具业界领先的算力密度与能效比，通过先进散热和电源管理技术降低能耗，为大模型训练、推理提供稳定强劲的算力支撑，提升响应速度，保障复杂业务高效执行。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自主创新，筑牢数据安全防线：</w:t>
      </w:r>
      <w:r>
        <w:rPr/>
        <w:t xml:space="preserve">基于全链路自主创新的AI技术体系，为金融数据安全提供端到端保障。私有化部署中所有数据均在银联内部环境流转，结合完善的安全管理机制，全方位守护用户隐私与交易数据安全，破解金融 AI 应用的安全顾虑。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深度优化适配，赋能场景价值释放：</w:t>
      </w:r>
      <w:r>
        <w:rPr/>
        <w:t xml:space="preserve">针对金融核心业务场景大模型应用需求，中国银联开展了一系列探索，如在营销领域精准生成业务方案、数字员工领域提效组织运营、技术研发领域实现研发全流程智能辅助等，充分释放大模型的金融场景应用价值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中国银联依托昇腾AI基础软硬件平台完成DeepSeek-V4大模型私有化部署的实践，是金融行业借助自主创新AI技术实现智能化升级的典范。</w:t>
      </w:r>
      <w:r>
        <w:rPr/>
        <w:t xml:space="preserve">未来，中国银联将继续深化与华为的合作，依托国家人工智能应用中试基地拓展大模型在云闪付、业务运营、风险防控等更多金融场景的应用，探索“AI+金融”新业务模式。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◆往期推荐◆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hyperlink r:id="rId8">
        <w:r>
          <w:rPr>
            <w:rStyle w:val="Hyperlink"/>
          </w:rPr>
        </w:r>
      </w:hyperlink>
    </w:p>
    <w:p>
      <w:pPr>
        <w:spacing w:lineRule="auto"/>
      </w:pPr>
      <w:r>
        <w:rPr/>
        <w:t xml:space="preserve">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宋体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_Wei2Yq4WW5lsziIW6_B1.gif" TargetMode="Internal"/>
  <Relationship Id="rId7" Type="http://schemas.openxmlformats.org/officeDocument/2006/relationships/image" Target="media/image-mJzHgi1LI27gzWKg9mbel.gif" TargetMode="Internal"/>
  <Relationship Id="rId8" Type="http://schemas.openxmlformats.org/officeDocument/2006/relationships/hyperlink" Target="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2026-10-28T15:05:22.644Z</dcterms:created>
  <dcterms:modified xsi:type="dcterms:W3CDTF">2026-10-28T15:05:22.644Z</dcterms:modified>
</cp:coreProperties>
</file>