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从算力分配到实训落地，昇腾赋能数字化校园产教融合</w:t>
      </w:r>
    </w:p>
    <w:p>
      <w:pPr>
        <w:spacing w:lineRule="auto"/>
      </w:pPr>
      <w:r>
        <w:rPr/>
        <w:t xml:space="preserve">作者：华为计算　发布时间：2026/6/1 20:18:03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XywFnXfrr8339u4ojhxIG.gif"/>
            <a:graphic>
              <a:graphicData uri="http://schemas.openxmlformats.org/drawingml/2006/picture">
                <pic:pic>
                  <pic:nvPicPr>
                    <pic:cNvPr id="2" name="image-XywFnXfrr8339u4ojhxIG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在AI教学与科研需求激增的背景下，</w:t>
      </w:r>
      <w:r>
        <w:rPr/>
        <w:br w:type="textWrapping"/>
      </w:r>
      <w:r>
        <w:rPr/>
        <w:t xml:space="preserve">算力如何高效调配、资源如何精准触达？</w:t>
      </w:r>
      <w:r>
        <w:rPr/>
        <w:br w:type="textWrapping"/>
      </w:r>
      <w:r>
        <w:rPr/>
        <w:t xml:space="preserve">我们基于昇腾生态，交出了一份“AI+教育”的实践答卷。</w:t>
      </w:r>
      <w:r>
        <w:rPr/>
        <w:br w:type="textWrapping"/>
      </w:r>
      <w:r>
        <w:rPr/>
        <w:br w:type="textWrapping"/>
      </w:r>
      <w:r>
        <w:rPr/>
        <w:t xml:space="preserve">基于昇腾实现算力动态调度与精准资源分配，</w:t>
      </w:r>
      <w:r>
        <w:rPr/>
        <w:br w:type="textWrapping"/>
      </w:r>
      <w:r>
        <w:rPr/>
        <w:t xml:space="preserve">为AI教学与科研创新注入稳定动能；</w:t>
      </w:r>
    </w:p>
    <w:p>
      <w:pPr>
        <w:spacing w:lineRule="auto"/>
      </w:pPr>
      <w:r>
        <w:rPr/>
        <w:br w:type="textWrapping"/>
      </w:r>
      <w:r>
        <w:rPr/>
        <w:t xml:space="preserve">围绕昇腾技术栈及案例库搭建真实实训场景，</w:t>
      </w:r>
      <w:r>
        <w:rPr/>
        <w:br w:type="textWrapping"/>
      </w:r>
      <w:r>
        <w:rPr/>
        <w:t xml:space="preserve">以“一课一策”模式最大化算力利用率；</w:t>
      </w:r>
    </w:p>
    <w:p>
      <w:pPr>
        <w:spacing w:lineRule="auto"/>
      </w:pPr>
      <w:r>
        <w:rPr/>
        <w:br w:type="textWrapping"/>
      </w:r>
      <w:r>
        <w:rPr/>
        <w:t xml:space="preserve">依托昇腾算力中心构筑“AI+教育”核心基石，</w:t>
      </w:r>
      <w:r>
        <w:rPr/>
        <w:br w:type="textWrapping"/>
      </w:r>
      <w:r>
        <w:rPr/>
        <w:t xml:space="preserve">深度推动产教融合，加速数字人才培养。</w:t>
      </w:r>
      <w:r>
        <w:rPr/>
        <w:br w:type="textWrapping"/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9753600"/>
            <wp:effectExtent b="0" l="0" r="0" t="0"/>
            <wp:docPr id="4" name="image-gXlY_GKx8vw-tqgVr1FXa.jpeg"/>
            <a:graphic>
              <a:graphicData uri="http://schemas.openxmlformats.org/drawingml/2006/picture">
                <pic:pic>
                  <pic:nvPicPr>
                    <pic:cNvPr id="4" name="image-gXlY_GKx8vw-tqgVr1FXa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让每一滴算力都流向创新最需要的地方。昇腾之力，赋能未来课堂！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10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5Bk0nEc9ezXJJbCExVC2d.gif" TargetMode="Internal"/>
  <Relationship Id="rId7" Type="http://schemas.openxmlformats.org/officeDocument/2006/relationships/image" Target="media/image-XywFnXfrr8339u4ojhxIG.gif" TargetMode="Internal"/>
  <Relationship Id="rId8" Type="http://schemas.openxmlformats.org/officeDocument/2006/relationships/image" Target="media/image-u-NgWI7dmiVBdNZOXNF1w.jpeg" TargetMode="Internal"/>
  <Relationship Id="rId9" Type="http://schemas.openxmlformats.org/officeDocument/2006/relationships/image" Target="media/image-gXlY_GKx8vw-tqgVr1FXa.jpeg" TargetMode="Internal"/>
  <Relationship Id="rId10" Type="http://schemas.openxmlformats.org/officeDocument/2006/relationships/hyperlink" Target="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