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基于 YOLO 的工地安全帽</w:t>
        <w:br/>
        <w:t>佩戴检测实验方案</w:t>
      </w:r>
    </w:p>
    <w:p>
      <w:pPr>
        <w:pStyle w:val="Subtitle"/>
      </w:pPr>
      <w:r>
        <w:t>目标检测课程作业    2026年10月15日</w:t>
      </w:r>
    </w:p>
    <w:p>
      <w:r>
        <w:t>本实验使用 Hard Hat Workers 数据集和 YOLO26n 预训练模型，识别工地画面中的戴安全帽与未戴安全帽目标。实验完成数据处理、模型训练、独立测试及图片和视频监测演示，重点分析未戴安全帽目标的漏检与误检。</w:t>
      </w:r>
    </w:p>
    <w:p>
      <w:pPr>
        <w:pStyle w:val="Heading1"/>
      </w:pPr>
      <w:r>
        <w:t>1 实验目标与范围</w:t>
      </w:r>
    </w:p>
    <w:p>
      <w:r>
        <w:t>完成一套两类目标检测模型，输出目标位置、佩戴状态和置信度；在独立测试集上评价识别效果，并实现可保存结果的监测程序。课程实验采用单模型方案，使用默认训练增强，不设置模型对比、速度测试或部署优化。</w:t>
      </w:r>
    </w:p>
    <w:p>
      <w:r>
        <w:t>检测范围限定为画面中可辨认的安全帽佩戴状态。帽带是否扣紧、人员身份识别和跨帧累计人数不纳入本次实验。头部不可见或未被检出时，不直接判为未戴安全帽。</w:t>
      </w:r>
    </w:p>
    <w:p>
      <w:pPr>
        <w:pStyle w:val="Heading1"/>
      </w:pPr>
      <w:r>
        <w:t>2 数据来源与类别定义</w:t>
      </w:r>
    </w:p>
    <w:p>
      <w:r>
        <w:t>采用 Hard Hat Workers 未经离线增强的版本，原项目约有 7000 张图片，含 head、helmet、person 等标注，并提供仅保留 head 和 helmet 的版本 [1]。下载时记录版本号、导出日期及原始文件清单；清洗后的实际数量以统计结果为准。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10" w:type="dxa"/>
          <w:right w:w="110" w:type="dxa"/>
        </w:tblCellMar>
      </w:tblPr>
      <w:tblGrid>
        <w:gridCol w:w="792"/>
        <w:gridCol w:w="1872"/>
        <w:gridCol w:w="7330"/>
      </w:tblGrid>
      <w:tr>
        <w:trPr>
          <w:tblHeader/>
          <w:cantSplit/>
        </w:trPr>
        <w:tc>
          <w:tcPr>
            <w:tcW w:type="dxa" w:w="792"/>
            <w:shd w:fill="E5EDF3"/>
            <w:vAlign w:val="center"/>
          </w:tcPr>
          <w:p>
            <w:pPr>
              <w:keepNext w:val="0"/>
              <w:spacing w:line="290" w:lineRule="exact" w:after="0"/>
              <w:jc w:val="center"/>
            </w:pPr>
            <w:r>
              <w:rPr>
                <w:b/>
                <w:sz w:val="21"/>
              </w:rPr>
              <w:t>编号</w:t>
            </w:r>
          </w:p>
        </w:tc>
        <w:tc>
          <w:tcPr>
            <w:tcW w:type="dxa" w:w="1872"/>
            <w:shd w:fill="E5EDF3"/>
            <w:vAlign w:val="center"/>
          </w:tcPr>
          <w:p>
            <w:pPr>
              <w:keepNext w:val="0"/>
              <w:spacing w:line="290" w:lineRule="exact" w:after="0"/>
              <w:jc w:val="left"/>
            </w:pPr>
            <w:r>
              <w:rPr>
                <w:b/>
                <w:sz w:val="21"/>
              </w:rPr>
              <w:t>统一类别</w:t>
            </w:r>
          </w:p>
        </w:tc>
        <w:tc>
          <w:tcPr>
            <w:tcW w:type="dxa" w:w="7330"/>
            <w:shd w:fill="E5EDF3"/>
            <w:vAlign w:val="center"/>
          </w:tcPr>
          <w:p>
            <w:pPr>
              <w:keepNext w:val="0"/>
              <w:spacing w:line="290" w:lineRule="exact" w:after="0"/>
              <w:jc w:val="left"/>
            </w:pPr>
            <w:r>
              <w:rPr>
                <w:b/>
                <w:sz w:val="21"/>
              </w:rPr>
              <w:t>标注含义与处理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keepNext w:val="0"/>
              <w:spacing w:line="290" w:lineRule="exact" w:after="0"/>
              <w:jc w:val="center"/>
            </w:pPr>
            <w:r>
              <w:rPr>
                <w:b w:val="0"/>
                <w:sz w:val="21"/>
              </w:rPr>
              <w:t>0</w:t>
            </w:r>
          </w:p>
        </w:tc>
        <w:tc>
          <w:tcPr>
            <w:tcW w:type="dxa" w:w="1872"/>
            <w:vAlign w:val="center"/>
          </w:tcPr>
          <w:p>
            <w:pPr>
              <w:keepNext w:val="0"/>
              <w:spacing w:line="290" w:lineRule="exact" w:after="0"/>
              <w:jc w:val="left"/>
            </w:pPr>
            <w:r>
              <w:rPr>
                <w:b w:val="0"/>
                <w:sz w:val="21"/>
              </w:rPr>
              <w:t>helmet</w:t>
            </w:r>
          </w:p>
        </w:tc>
        <w:tc>
          <w:tcPr>
            <w:tcW w:type="dxa" w:w="7330"/>
            <w:vAlign w:val="center"/>
          </w:tcPr>
          <w:p>
            <w:pPr>
              <w:keepNext w:val="0"/>
              <w:spacing w:line="290" w:lineRule="exact" w:after="0"/>
              <w:jc w:val="left"/>
            </w:pPr>
            <w:r>
              <w:rPr>
                <w:b w:val="0"/>
                <w:sz w:val="21"/>
              </w:rPr>
              <w:t>佩戴安全帽目标，沿用核对后的原 helmet 标注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keepNext w:val="0"/>
              <w:spacing w:line="290" w:lineRule="exact" w:after="0"/>
              <w:jc w:val="center"/>
            </w:pPr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1872"/>
            <w:vAlign w:val="center"/>
          </w:tcPr>
          <w:p>
            <w:pPr>
              <w:keepNext w:val="0"/>
              <w:spacing w:line="290" w:lineRule="exact" w:after="0"/>
              <w:jc w:val="left"/>
            </w:pPr>
            <w:r>
              <w:rPr>
                <w:b w:val="0"/>
                <w:sz w:val="21"/>
              </w:rPr>
              <w:t>no_helmet</w:t>
            </w:r>
          </w:p>
        </w:tc>
        <w:tc>
          <w:tcPr>
            <w:tcW w:type="dxa" w:w="7330"/>
            <w:vAlign w:val="center"/>
          </w:tcPr>
          <w:p>
            <w:pPr>
              <w:keepNext w:val="0"/>
              <w:spacing w:line="290" w:lineRule="exact" w:after="0"/>
              <w:jc w:val="left"/>
            </w:pPr>
            <w:r>
              <w:rPr>
                <w:b w:val="0"/>
                <w:sz w:val="21"/>
              </w:rPr>
              <w:t>未戴安全帽的头部，由原 head 类映射</w:t>
            </w:r>
          </w:p>
        </w:tc>
      </w:tr>
    </w:tbl>
    <w:p>
      <w:pPr>
        <w:spacing w:after="0"/>
      </w:pPr>
    </w:p>
    <w:p>
      <w:r>
        <w:t>先抽查约 100 张图片，确认两类语义及检测框范围，重点核对普通帽子、手持安全帽和放置安全帽的样例。语义不符或漏标的图片先修正；无法确认时移出本次实验数据。person 为人员类别，不能直接映射成 no_helmet。</w:t>
      </w:r>
    </w:p>
    <w:p>
      <w:pPr>
        <w:pStyle w:val="Heading1"/>
      </w:pPr>
      <w:r>
        <w:t>3 数据清洗与划分</w:t>
      </w:r>
    </w:p>
    <w:p>
      <w:r>
        <w:t>检查损坏图片、无效坐标、重复及近似图片，统一为 YOLO 格式。删除无关类别标注后，保留有效的背景图片，避免只训练有目标的画面。分别统计每个集合的图片数，以及两类目标框数量，检查类别是否严重失衡。</w:t>
      </w:r>
    </w:p>
    <w:p>
      <w:r>
        <w:t>按约 70% 训练集、20% 验证集、10% 测试集划分。若使用现成划分，先核查跨集合重复；同一视频的相邻帧、同一原图的衍生图片和明显重复场景归入同一集合，必要时按组重新划分。验证集用于选模型与阈值，测试集留到方案确定后评估。</w:t>
      </w:r>
    </w:p>
    <w:p>
      <w:r>
        <w:br w:type="page"/>
      </w:r>
    </w:p>
    <w:p>
      <w:pPr>
        <w:pStyle w:val="Heading1"/>
      </w:pPr>
      <w:r>
        <w:t>4 实验环境与训练参数</w:t>
      </w:r>
    </w:p>
    <w:p>
      <w:r>
        <w:t>使用 Python、PyTorch、Ultralytics 和 OpenCV。选择相互兼容的稳定版本，保存环境依赖文件，并记录操作系统、Python 与框架版本、训练设备及内存或显存情况。训练时间按实际设备记录，不预设完成时长。</w:t>
      </w:r>
    </w:p>
    <w:p>
      <w:r>
        <w:t>从 yolo26n.pt 预训练权重微调全部网络参数，将输出类别设置为两类。数据路径、类别编号与名称在统一的数据集配置文件中维护。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10" w:type="dxa"/>
          <w:right w:w="110" w:type="dxa"/>
        </w:tblCellMar>
      </w:tblPr>
      <w:tblGrid>
        <w:gridCol w:w="2376"/>
        <w:gridCol w:w="7618"/>
      </w:tblGrid>
      <w:tr>
        <w:trPr>
          <w:tblHeader/>
          <w:cantSplit/>
        </w:trPr>
        <w:tc>
          <w:tcPr>
            <w:tcW w:type="dxa" w:w="2376"/>
            <w:shd w:fill="E5EDF3"/>
            <w:vAlign w:val="center"/>
          </w:tcPr>
          <w:p>
            <w:pPr>
              <w:keepNext w:val="0"/>
              <w:spacing w:line="290" w:lineRule="exact" w:after="0"/>
              <w:jc w:val="left"/>
            </w:pPr>
            <w:r>
              <w:rPr>
                <w:b/>
                <w:sz w:val="21"/>
              </w:rPr>
              <w:t>参数</w:t>
            </w:r>
          </w:p>
        </w:tc>
        <w:tc>
          <w:tcPr>
            <w:tcW w:type="dxa" w:w="7618"/>
            <w:shd w:fill="E5EDF3"/>
            <w:vAlign w:val="center"/>
          </w:tcPr>
          <w:p>
            <w:pPr>
              <w:keepNext w:val="0"/>
              <w:spacing w:line="290" w:lineRule="exact" w:after="0"/>
              <w:jc w:val="left"/>
            </w:pPr>
            <w:r>
              <w:rPr>
                <w:b/>
                <w:sz w:val="21"/>
              </w:rPr>
              <w:t>计划设置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keepNext w:val="0"/>
              <w:spacing w:line="290" w:lineRule="exact" w:after="0"/>
              <w:jc w:val="left"/>
            </w:pPr>
            <w:r>
              <w:rPr>
                <w:b w:val="0"/>
                <w:sz w:val="21"/>
              </w:rPr>
              <w:t>模型与初始权重</w:t>
            </w:r>
          </w:p>
        </w:tc>
        <w:tc>
          <w:tcPr>
            <w:tcW w:type="dxa" w:w="7618"/>
            <w:vAlign w:val="center"/>
          </w:tcPr>
          <w:p>
            <w:pPr>
              <w:keepNext w:val="0"/>
              <w:spacing w:line="290" w:lineRule="exact" w:after="0"/>
              <w:jc w:val="left"/>
            </w:pPr>
            <w:r>
              <w:rPr>
                <w:b w:val="0"/>
                <w:sz w:val="21"/>
              </w:rPr>
              <w:t>YOLO26n    yolo26n.pt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keepNext w:val="0"/>
              <w:spacing w:line="290" w:lineRule="exact" w:after="0"/>
              <w:jc w:val="left"/>
            </w:pPr>
            <w:r>
              <w:rPr>
                <w:b w:val="0"/>
                <w:sz w:val="21"/>
              </w:rPr>
              <w:t>输入尺寸</w:t>
            </w:r>
          </w:p>
        </w:tc>
        <w:tc>
          <w:tcPr>
            <w:tcW w:type="dxa" w:w="7618"/>
            <w:vAlign w:val="center"/>
          </w:tcPr>
          <w:p>
            <w:pPr>
              <w:keepNext w:val="0"/>
              <w:spacing w:line="290" w:lineRule="exact" w:after="0"/>
              <w:jc w:val="left"/>
            </w:pPr>
            <w:r>
              <w:rPr>
                <w:b w:val="0"/>
                <w:sz w:val="21"/>
              </w:rPr>
              <w:t>640 × 640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keepNext w:val="0"/>
              <w:spacing w:line="290" w:lineRule="exact" w:after="0"/>
              <w:jc w:val="left"/>
            </w:pPr>
            <w:r>
              <w:rPr>
                <w:b w:val="0"/>
                <w:sz w:val="21"/>
              </w:rPr>
              <w:t>最大训练轮数</w:t>
            </w:r>
          </w:p>
        </w:tc>
        <w:tc>
          <w:tcPr>
            <w:tcW w:type="dxa" w:w="7618"/>
            <w:vAlign w:val="center"/>
          </w:tcPr>
          <w:p>
            <w:pPr>
              <w:keepNext w:val="0"/>
              <w:spacing w:line="290" w:lineRule="exact" w:after="0"/>
              <w:jc w:val="left"/>
            </w:pPr>
            <w:r>
              <w:rPr>
                <w:b w:val="0"/>
                <w:sz w:val="21"/>
              </w:rPr>
              <w:t>100 epochs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keepNext w:val="0"/>
              <w:spacing w:line="290" w:lineRule="exact" w:after="0"/>
              <w:jc w:val="left"/>
            </w:pPr>
            <w:r>
              <w:rPr>
                <w:b w:val="0"/>
                <w:sz w:val="21"/>
              </w:rPr>
              <w:t>Batch size</w:t>
            </w:r>
          </w:p>
        </w:tc>
        <w:tc>
          <w:tcPr>
            <w:tcW w:type="dxa" w:w="7618"/>
            <w:vAlign w:val="center"/>
          </w:tcPr>
          <w:p>
            <w:pPr>
              <w:keepNext w:val="0"/>
              <w:spacing w:line="290" w:lineRule="exact" w:after="0"/>
              <w:jc w:val="left"/>
            </w:pPr>
            <w:r>
              <w:rPr>
                <w:b w:val="0"/>
                <w:sz w:val="21"/>
              </w:rPr>
              <w:t>初始为 16，设备内存不足时调小并记录实际值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keepNext w:val="0"/>
              <w:spacing w:line="290" w:lineRule="exact" w:after="0"/>
              <w:jc w:val="left"/>
            </w:pPr>
            <w:r>
              <w:rPr>
                <w:b w:val="0"/>
                <w:sz w:val="21"/>
              </w:rPr>
              <w:t>提前停止</w:t>
            </w:r>
          </w:p>
        </w:tc>
        <w:tc>
          <w:tcPr>
            <w:tcW w:type="dxa" w:w="7618"/>
            <w:vAlign w:val="center"/>
          </w:tcPr>
          <w:p>
            <w:pPr>
              <w:keepNext w:val="0"/>
              <w:spacing w:line="290" w:lineRule="exact" w:after="0"/>
              <w:jc w:val="left"/>
            </w:pPr>
            <w:r>
              <w:rPr>
                <w:b w:val="0"/>
                <w:sz w:val="21"/>
              </w:rPr>
              <w:t>patience 为 20，监测验证集 fitness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keepNext w:val="0"/>
              <w:spacing w:line="290" w:lineRule="exact" w:after="0"/>
              <w:jc w:val="left"/>
            </w:pPr>
            <w:r>
              <w:rPr>
                <w:b w:val="0"/>
                <w:sz w:val="21"/>
              </w:rPr>
              <w:t>随机种子</w:t>
            </w:r>
          </w:p>
        </w:tc>
        <w:tc>
          <w:tcPr>
            <w:tcW w:type="dxa" w:w="7618"/>
            <w:vAlign w:val="center"/>
          </w:tcPr>
          <w:p>
            <w:pPr>
              <w:keepNext w:val="0"/>
              <w:spacing w:line="290" w:lineRule="exact" w:after="0"/>
              <w:jc w:val="left"/>
            </w:pPr>
            <w:r>
              <w:rPr>
                <w:b w:val="0"/>
                <w:sz w:val="21"/>
              </w:rPr>
              <w:t>42，固定数据划分并保留运行配置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keepNext w:val="0"/>
              <w:spacing w:line="290" w:lineRule="exact" w:after="0"/>
              <w:jc w:val="left"/>
            </w:pPr>
            <w:r>
              <w:rPr>
                <w:b w:val="0"/>
                <w:sz w:val="21"/>
              </w:rPr>
              <w:t>优化器与学习率</w:t>
            </w:r>
          </w:p>
        </w:tc>
        <w:tc>
          <w:tcPr>
            <w:tcW w:type="dxa" w:w="7618"/>
            <w:vAlign w:val="center"/>
          </w:tcPr>
          <w:p>
            <w:pPr>
              <w:keepNext w:val="0"/>
              <w:spacing w:line="290" w:lineRule="exact" w:after="0"/>
              <w:jc w:val="left"/>
            </w:pPr>
            <w:r>
              <w:rPr>
                <w:b w:val="0"/>
                <w:sz w:val="21"/>
              </w:rPr>
              <w:t>使用当前框架默认设置，保存实际解析后的配置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keepNext w:val="0"/>
              <w:spacing w:line="290" w:lineRule="exact" w:after="0"/>
              <w:jc w:val="left"/>
            </w:pPr>
            <w:r>
              <w:rPr>
                <w:b w:val="0"/>
                <w:sz w:val="21"/>
              </w:rPr>
              <w:t>数据增强</w:t>
            </w:r>
          </w:p>
        </w:tc>
        <w:tc>
          <w:tcPr>
            <w:tcW w:type="dxa" w:w="7618"/>
            <w:vAlign w:val="center"/>
          </w:tcPr>
          <w:p>
            <w:pPr>
              <w:keepNext w:val="0"/>
              <w:spacing w:line="290" w:lineRule="exact" w:after="0"/>
              <w:jc w:val="left"/>
            </w:pPr>
            <w:r>
              <w:rPr>
                <w:b w:val="0"/>
                <w:sz w:val="21"/>
              </w:rPr>
              <w:t>仅训练阶段使用当前框架默认增强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keepNext w:val="0"/>
              <w:spacing w:line="290" w:lineRule="exact" w:after="0"/>
              <w:jc w:val="left"/>
            </w:pPr>
            <w:r>
              <w:rPr>
                <w:b w:val="0"/>
                <w:sz w:val="21"/>
              </w:rPr>
              <w:t>最佳权重</w:t>
            </w:r>
          </w:p>
        </w:tc>
        <w:tc>
          <w:tcPr>
            <w:tcW w:type="dxa" w:w="7618"/>
            <w:vAlign w:val="center"/>
          </w:tcPr>
          <w:p>
            <w:pPr>
              <w:keepNext w:val="0"/>
              <w:spacing w:line="290" w:lineRule="exact" w:after="0"/>
              <w:jc w:val="left"/>
            </w:pPr>
            <w:r>
              <w:rPr>
                <w:b w:val="0"/>
                <w:sz w:val="21"/>
              </w:rPr>
              <w:t>按验证集 fitness 保存 best.pt</w:t>
            </w:r>
          </w:p>
        </w:tc>
      </w:tr>
    </w:tbl>
    <w:p>
      <w:pPr>
        <w:spacing w:after="0"/>
      </w:pPr>
    </w:p>
    <w:p>
      <w:r>
        <w:t>默认训练增强通过颜色扰动、缩放和平移等方式增加训练变化，缓解过拟合。增强在训练时执行，不另行扩充原始样本统计；验证和测试阶段使用固定预处理，不执行随机训练增强。</w:t>
      </w:r>
    </w:p>
    <w:p>
      <w:pPr>
        <w:pStyle w:val="Heading1"/>
      </w:pPr>
      <w:r>
        <w:t>5 训练实施步骤</w:t>
      </w:r>
    </w:p>
    <w:p>
      <w:pPr>
        <w:pStyle w:val="ListNumber"/>
      </w:pPr>
      <w:r>
        <w:t>核对数据配置，确认类别顺序为 helmet 和 no_helmet。可视化若干标注图片，检查坐标和类别映射。</w:t>
      </w:r>
    </w:p>
    <w:p>
      <w:pPr>
        <w:pStyle w:val="ListNumber"/>
      </w:pPr>
      <w:r>
        <w:t>用少量数据试运行 1 至 3 轮，确认数据加载、损失计算和预测框正常。试运行权重不作为最终结果。</w:t>
      </w:r>
    </w:p>
    <w:p>
      <w:pPr>
        <w:pStyle w:val="ListNumber"/>
      </w:pPr>
      <w:r>
        <w:t>从预训练权重重新启动正式训练，保存完整参数、日志、损失曲线、验证指标和最佳权重。</w:t>
      </w:r>
    </w:p>
    <w:p>
      <w:pPr>
        <w:pStyle w:val="ListNumber"/>
      </w:pPr>
      <w:r>
        <w:t>在验证集上检查未戴帽目标的漏检与误检，确定演示使用的置信度阈值，记录选择理由。</w:t>
      </w:r>
    </w:p>
    <w:p>
      <w:pPr>
        <w:pStyle w:val="ListNumber"/>
      </w:pPr>
      <w:r>
        <w:t>冻结最终权重和推理配置，再对独立测试集评估。若据此修改训练方案，重新使用该测试集所得结果应说明其局限。</w:t>
      </w:r>
    </w:p>
    <w:p>
      <w:r>
        <w:t>保留运行目录中的训练参数、结果表、曲线和权重文件。续训或修改参数时使用新的运行名称，避免覆盖已记录的实验。</w:t>
      </w:r>
    </w:p>
    <w:p>
      <w:r>
        <w:br w:type="page"/>
      </w:r>
    </w:p>
    <w:p>
      <w:pPr>
        <w:pStyle w:val="Heading1"/>
      </w:pPr>
      <w:r>
        <w:t>6 测试方法与评价指标</w:t>
      </w:r>
    </w:p>
    <w:p>
      <w:r>
        <w:t>使用最终 best.pt 在固定测试集上评估，报告两类各自的检测结果及总体指标。数值由实际运行产生；本方案不预填实验结果，也不把训练集上的效果作为模型泛化能力的证据。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10" w:type="dxa"/>
          <w:right w:w="110" w:type="dxa"/>
        </w:tblCellMar>
      </w:tblPr>
      <w:tblGrid>
        <w:gridCol w:w="2160"/>
        <w:gridCol w:w="7834"/>
      </w:tblGrid>
      <w:tr>
        <w:trPr>
          <w:tblHeader/>
          <w:cantSplit/>
        </w:trPr>
        <w:tc>
          <w:tcPr>
            <w:tcW w:type="dxa" w:w="2160"/>
            <w:shd w:fill="E5EDF3"/>
            <w:vAlign w:val="center"/>
          </w:tcPr>
          <w:p>
            <w:pPr>
              <w:keepNext w:val="0"/>
              <w:spacing w:line="290" w:lineRule="exact" w:after="0"/>
              <w:jc w:val="left"/>
            </w:pPr>
            <w:r>
              <w:rPr>
                <w:b/>
                <w:sz w:val="21"/>
              </w:rPr>
              <w:t>指标</w:t>
            </w:r>
          </w:p>
        </w:tc>
        <w:tc>
          <w:tcPr>
            <w:tcW w:type="dxa" w:w="7834"/>
            <w:shd w:fill="E5EDF3"/>
            <w:vAlign w:val="center"/>
          </w:tcPr>
          <w:p>
            <w:pPr>
              <w:keepNext w:val="0"/>
              <w:spacing w:line="290" w:lineRule="exact" w:after="0"/>
              <w:jc w:val="left"/>
            </w:pPr>
            <w:r>
              <w:rPr>
                <w:b/>
                <w:sz w:val="21"/>
              </w:rPr>
              <w:t>记录与解释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keepNext w:val="0"/>
              <w:spacing w:line="290" w:lineRule="exact" w:after="0"/>
              <w:jc w:val="left"/>
            </w:pPr>
            <w:r>
              <w:rPr>
                <w:b w:val="0"/>
                <w:sz w:val="21"/>
              </w:rPr>
              <w:t>各类 Precision</w:t>
            </w:r>
          </w:p>
        </w:tc>
        <w:tc>
          <w:tcPr>
            <w:tcW w:type="dxa" w:w="7834"/>
            <w:vAlign w:val="center"/>
          </w:tcPr>
          <w:p>
            <w:pPr>
              <w:keepNext w:val="0"/>
              <w:spacing w:line="290" w:lineRule="exact" w:after="0"/>
              <w:jc w:val="left"/>
            </w:pPr>
            <w:r>
              <w:rPr>
                <w:b w:val="0"/>
                <w:sz w:val="21"/>
              </w:rPr>
              <w:t>判断为某一类的目标中，实际正确的比例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keepNext w:val="0"/>
              <w:spacing w:line="290" w:lineRule="exact" w:after="0"/>
              <w:jc w:val="left"/>
            </w:pPr>
            <w:r>
              <w:rPr>
                <w:b w:val="0"/>
                <w:sz w:val="21"/>
              </w:rPr>
              <w:t>各类 Recall</w:t>
            </w:r>
          </w:p>
        </w:tc>
        <w:tc>
          <w:tcPr>
            <w:tcW w:type="dxa" w:w="7834"/>
            <w:vAlign w:val="center"/>
          </w:tcPr>
          <w:p>
            <w:pPr>
              <w:keepNext w:val="0"/>
              <w:spacing w:line="290" w:lineRule="exact" w:after="0"/>
              <w:jc w:val="left"/>
            </w:pPr>
            <w:r>
              <w:rPr>
                <w:b w:val="0"/>
                <w:sz w:val="21"/>
              </w:rPr>
              <w:t>实际属于某一类的目标中，被正确检出的比例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keepNext w:val="0"/>
              <w:spacing w:line="290" w:lineRule="exact" w:after="0"/>
              <w:jc w:val="left"/>
            </w:pPr>
            <w:r>
              <w:rPr>
                <w:b w:val="0"/>
                <w:sz w:val="21"/>
              </w:rPr>
              <w:t>各类 AP@50</w:t>
            </w:r>
          </w:p>
        </w:tc>
        <w:tc>
          <w:tcPr>
            <w:tcW w:type="dxa" w:w="7834"/>
            <w:vAlign w:val="center"/>
          </w:tcPr>
          <w:p>
            <w:pPr>
              <w:keepNext w:val="0"/>
              <w:spacing w:line="290" w:lineRule="exact" w:after="0"/>
              <w:jc w:val="left"/>
            </w:pPr>
            <w:r>
              <w:rPr>
                <w:b w:val="0"/>
                <w:sz w:val="21"/>
              </w:rPr>
              <w:t>IoU 阈值为 0.5 时，各类精确率与召回率曲线下的面积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keepNext w:val="0"/>
              <w:spacing w:line="290" w:lineRule="exact" w:after="0"/>
              <w:jc w:val="left"/>
            </w:pPr>
            <w:r>
              <w:rPr>
                <w:b w:val="0"/>
                <w:sz w:val="21"/>
              </w:rPr>
              <w:t>总体 mAP@50</w:t>
            </w:r>
          </w:p>
        </w:tc>
        <w:tc>
          <w:tcPr>
            <w:tcW w:type="dxa" w:w="7834"/>
            <w:vAlign w:val="center"/>
          </w:tcPr>
          <w:p>
            <w:pPr>
              <w:keepNext w:val="0"/>
              <w:spacing w:line="290" w:lineRule="exact" w:after="0"/>
              <w:jc w:val="left"/>
            </w:pPr>
            <w:r>
              <w:rPr>
                <w:b w:val="0"/>
                <w:sz w:val="21"/>
              </w:rPr>
              <w:t>两类 AP@50 的平均值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keepNext w:val="0"/>
              <w:spacing w:line="290" w:lineRule="exact" w:after="0"/>
              <w:jc w:val="left"/>
            </w:pPr>
            <w:r>
              <w:rPr>
                <w:b w:val="0"/>
                <w:sz w:val="21"/>
              </w:rPr>
              <w:t>总体 mAP@50–95</w:t>
            </w:r>
          </w:p>
        </w:tc>
        <w:tc>
          <w:tcPr>
            <w:tcW w:type="dxa" w:w="7834"/>
            <w:vAlign w:val="center"/>
          </w:tcPr>
          <w:p>
            <w:pPr>
              <w:keepNext w:val="0"/>
              <w:spacing w:line="290" w:lineRule="exact" w:after="0"/>
              <w:jc w:val="left"/>
            </w:pPr>
            <w:r>
              <w:rPr>
                <w:b w:val="0"/>
                <w:sz w:val="21"/>
              </w:rPr>
              <w:t>多个 IoU 阈值下的平均检测效果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keepNext w:val="0"/>
              <w:spacing w:line="290" w:lineRule="exact" w:after="0"/>
              <w:jc w:val="left"/>
            </w:pPr>
            <w:r>
              <w:rPr>
                <w:b w:val="0"/>
                <w:sz w:val="21"/>
              </w:rPr>
              <w:t>混淆矩阵</w:t>
            </w:r>
          </w:p>
        </w:tc>
        <w:tc>
          <w:tcPr>
            <w:tcW w:type="dxa" w:w="7834"/>
            <w:vAlign w:val="center"/>
          </w:tcPr>
          <w:p>
            <w:pPr>
              <w:keepNext w:val="0"/>
              <w:spacing w:line="290" w:lineRule="exact" w:after="0"/>
              <w:jc w:val="left"/>
            </w:pPr>
            <w:r>
              <w:rPr>
                <w:b w:val="0"/>
                <w:sz w:val="21"/>
              </w:rPr>
              <w:t>结合样例检查类别混淆、漏检和背景误检</w:t>
            </w:r>
          </w:p>
        </w:tc>
      </w:tr>
    </w:tbl>
    <w:p>
      <w:pPr>
        <w:spacing w:after="0"/>
      </w:pPr>
    </w:p>
    <w:p>
      <w:r>
        <w:t>单独讨论 no_helmet 的 Precision 和 Recall，说明系统报出的未戴帽目标有多可靠，以及实际未戴帽目标漏掉了多少。报告同时保存评价程序的阈值与配置；AP 按框架标准流程计算，演示阈值与评价口径分别记录。</w:t>
      </w:r>
    </w:p>
    <w:p>
      <w:pPr>
        <w:pStyle w:val="Heading1"/>
      </w:pPr>
      <w:r>
        <w:t>7 场景与错误分析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10" w:type="dxa"/>
          <w:right w:w="110" w:type="dxa"/>
        </w:tblCellMar>
      </w:tblPr>
      <w:tblGrid>
        <w:gridCol w:w="2376"/>
        <w:gridCol w:w="7618"/>
      </w:tblGrid>
      <w:tr>
        <w:trPr>
          <w:tblHeader/>
          <w:cantSplit/>
        </w:trPr>
        <w:tc>
          <w:tcPr>
            <w:tcW w:type="dxa" w:w="2376"/>
            <w:shd w:fill="E5EDF3"/>
            <w:vAlign w:val="center"/>
          </w:tcPr>
          <w:p>
            <w:pPr>
              <w:keepNext w:val="0"/>
              <w:spacing w:line="290" w:lineRule="exact" w:after="0"/>
              <w:jc w:val="left"/>
            </w:pPr>
            <w:r>
              <w:rPr>
                <w:b/>
                <w:sz w:val="21"/>
              </w:rPr>
              <w:t>场景</w:t>
            </w:r>
          </w:p>
        </w:tc>
        <w:tc>
          <w:tcPr>
            <w:tcW w:type="dxa" w:w="7618"/>
            <w:shd w:fill="E5EDF3"/>
            <w:vAlign w:val="center"/>
          </w:tcPr>
          <w:p>
            <w:pPr>
              <w:keepNext w:val="0"/>
              <w:spacing w:line="290" w:lineRule="exact" w:after="0"/>
              <w:jc w:val="left"/>
            </w:pPr>
            <w:r>
              <w:rPr>
                <w:b/>
                <w:sz w:val="21"/>
              </w:rPr>
              <w:t>主要检查内容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keepNext w:val="0"/>
              <w:spacing w:line="290" w:lineRule="exact" w:after="0"/>
              <w:jc w:val="left"/>
            </w:pPr>
            <w:r>
              <w:rPr>
                <w:b w:val="0"/>
                <w:sz w:val="21"/>
              </w:rPr>
              <w:t>远距离与小目标</w:t>
            </w:r>
          </w:p>
        </w:tc>
        <w:tc>
          <w:tcPr>
            <w:tcW w:type="dxa" w:w="7618"/>
            <w:vAlign w:val="center"/>
          </w:tcPr>
          <w:p>
            <w:pPr>
              <w:keepNext w:val="0"/>
              <w:spacing w:line="290" w:lineRule="exact" w:after="0"/>
              <w:jc w:val="left"/>
            </w:pPr>
            <w:r>
              <w:rPr>
                <w:b w:val="0"/>
                <w:sz w:val="21"/>
              </w:rPr>
              <w:t>头部或安全帽较小时是否漏检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keepNext w:val="0"/>
              <w:spacing w:line="290" w:lineRule="exact" w:after="0"/>
              <w:jc w:val="left"/>
            </w:pPr>
            <w:r>
              <w:rPr>
                <w:b w:val="0"/>
                <w:sz w:val="21"/>
              </w:rPr>
              <w:t>多人密集与遮挡</w:t>
            </w:r>
          </w:p>
        </w:tc>
        <w:tc>
          <w:tcPr>
            <w:tcW w:type="dxa" w:w="7618"/>
            <w:vAlign w:val="center"/>
          </w:tcPr>
          <w:p>
            <w:pPr>
              <w:keepNext w:val="0"/>
              <w:spacing w:line="290" w:lineRule="exact" w:after="0"/>
              <w:jc w:val="left"/>
            </w:pPr>
            <w:r>
              <w:rPr>
                <w:b w:val="0"/>
                <w:sz w:val="21"/>
              </w:rPr>
              <w:t>是否漏检、重复检测或错分佩戴状态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keepNext w:val="0"/>
              <w:spacing w:line="290" w:lineRule="exact" w:after="0"/>
              <w:jc w:val="left"/>
            </w:pPr>
            <w:r>
              <w:rPr>
                <w:b w:val="0"/>
                <w:sz w:val="21"/>
              </w:rPr>
              <w:t>阴影与逆光</w:t>
            </w:r>
          </w:p>
        </w:tc>
        <w:tc>
          <w:tcPr>
            <w:tcW w:type="dxa" w:w="7618"/>
            <w:vAlign w:val="center"/>
          </w:tcPr>
          <w:p>
            <w:pPr>
              <w:keepNext w:val="0"/>
              <w:spacing w:line="290" w:lineRule="exact" w:after="0"/>
              <w:jc w:val="left"/>
            </w:pPr>
            <w:r>
              <w:rPr>
                <w:b w:val="0"/>
                <w:sz w:val="21"/>
              </w:rPr>
              <w:t>光照变化是否导致置信度降低或误判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keepNext w:val="0"/>
              <w:spacing w:line="290" w:lineRule="exact" w:after="0"/>
              <w:jc w:val="left"/>
            </w:pPr>
            <w:r>
              <w:rPr>
                <w:b w:val="0"/>
                <w:sz w:val="21"/>
              </w:rPr>
              <w:t>普通帽子与手持安全帽</w:t>
            </w:r>
          </w:p>
        </w:tc>
        <w:tc>
          <w:tcPr>
            <w:tcW w:type="dxa" w:w="7618"/>
            <w:vAlign w:val="center"/>
          </w:tcPr>
          <w:p>
            <w:pPr>
              <w:keepNext w:val="0"/>
              <w:spacing w:line="290" w:lineRule="exact" w:after="0"/>
              <w:jc w:val="left"/>
            </w:pPr>
            <w:r>
              <w:rPr>
                <w:b w:val="0"/>
                <w:sz w:val="21"/>
              </w:rPr>
              <w:t>是否把非佩戴状态误识别为佩戴安全帽</w:t>
            </w:r>
          </w:p>
        </w:tc>
      </w:tr>
    </w:tbl>
    <w:p>
      <w:pPr>
        <w:spacing w:after="0"/>
      </w:pPr>
    </w:p>
    <w:p>
      <w:r>
        <w:t>每类场景整理代表性成功和失败样例，标明真实状态、预测结果及可能原因。没有真实样本覆盖的场景不宣称已验证。额外工地视频应独立于训练数据；未做人工标注的视频用于定性展示，不用于声称定量准确率。</w:t>
      </w:r>
    </w:p>
    <w:p>
      <w:pPr>
        <w:pStyle w:val="Heading1"/>
      </w:pPr>
      <w:r>
        <w:t>8 监测程序功能</w:t>
      </w:r>
    </w:p>
    <w:p>
      <w:r>
        <w:t>程序读取图片或本地视频，逐帧调用模型：以绿框标出戴安全帽目标，以红框标出未戴安全帽目标，同时显示类别、置信度和当前画面两类数量，并保存标注后的图片或视频。摄像头接入作为可选功能。</w:t>
      </w:r>
    </w:p>
    <w:p>
      <w:r>
        <w:t>画面提示采用“检测到未戴安全帽”，结果反映模型对可见目标的判断。计数为当前帧检测数，同一人员在不同帧中出现不累计为新人员；未检出的头部不自动归为未戴帽。</w:t>
      </w:r>
    </w:p>
    <w:p>
      <w:r>
        <w:br w:type="page"/>
      </w:r>
    </w:p>
    <w:p>
      <w:pPr>
        <w:pStyle w:val="Heading1"/>
      </w:pPr>
      <w:r>
        <w:t>9 实施顺序与阶段验收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10" w:type="dxa"/>
          <w:right w:w="110" w:type="dxa"/>
        </w:tblCellMar>
      </w:tblPr>
      <w:tblGrid>
        <w:gridCol w:w="1440"/>
        <w:gridCol w:w="3672"/>
        <w:gridCol w:w="4882"/>
      </w:tblGrid>
      <w:tr>
        <w:trPr>
          <w:tblHeader/>
          <w:cantSplit/>
        </w:trPr>
        <w:tc>
          <w:tcPr>
            <w:tcW w:type="dxa" w:w="1440"/>
            <w:shd w:fill="E5EDF3"/>
            <w:vAlign w:val="center"/>
          </w:tcPr>
          <w:p>
            <w:pPr>
              <w:keepNext w:val="0"/>
              <w:spacing w:line="290" w:lineRule="exact" w:after="0"/>
              <w:jc w:val="left"/>
            </w:pPr>
            <w:r>
              <w:rPr>
                <w:b/>
                <w:sz w:val="21"/>
              </w:rPr>
              <w:t>阶段</w:t>
            </w:r>
          </w:p>
        </w:tc>
        <w:tc>
          <w:tcPr>
            <w:tcW w:type="dxa" w:w="3672"/>
            <w:shd w:fill="E5EDF3"/>
            <w:vAlign w:val="center"/>
          </w:tcPr>
          <w:p>
            <w:pPr>
              <w:keepNext w:val="0"/>
              <w:spacing w:line="290" w:lineRule="exact" w:after="0"/>
              <w:jc w:val="left"/>
            </w:pPr>
            <w:r>
              <w:rPr>
                <w:b/>
                <w:sz w:val="21"/>
              </w:rPr>
              <w:t>主要工作</w:t>
            </w:r>
          </w:p>
        </w:tc>
        <w:tc>
          <w:tcPr>
            <w:tcW w:type="dxa" w:w="4882"/>
            <w:shd w:fill="E5EDF3"/>
            <w:vAlign w:val="center"/>
          </w:tcPr>
          <w:p>
            <w:pPr>
              <w:keepNext w:val="0"/>
              <w:spacing w:line="290" w:lineRule="exact" w:after="0"/>
              <w:jc w:val="left"/>
            </w:pPr>
            <w:r>
              <w:rPr>
                <w:b/>
                <w:sz w:val="21"/>
              </w:rPr>
              <w:t>完成依据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90" w:lineRule="exact" w:after="0"/>
              <w:jc w:val="left"/>
            </w:pPr>
            <w:r>
              <w:rPr>
                <w:b w:val="0"/>
                <w:sz w:val="21"/>
              </w:rPr>
              <w:t>一 数据准备</w:t>
            </w:r>
          </w:p>
        </w:tc>
        <w:tc>
          <w:tcPr>
            <w:tcW w:type="dxa" w:w="3672"/>
            <w:vAlign w:val="center"/>
          </w:tcPr>
          <w:p>
            <w:pPr>
              <w:keepNext w:val="0"/>
              <w:spacing w:line="290" w:lineRule="exact" w:after="0"/>
              <w:jc w:val="left"/>
            </w:pPr>
            <w:r>
              <w:rPr>
                <w:b w:val="0"/>
                <w:sz w:val="21"/>
              </w:rPr>
              <w:t>下载、抽查、清洗、映射、分组划分</w:t>
            </w:r>
          </w:p>
        </w:tc>
        <w:tc>
          <w:tcPr>
            <w:tcW w:type="dxa" w:w="4882"/>
            <w:vAlign w:val="center"/>
          </w:tcPr>
          <w:p>
            <w:pPr>
              <w:keepNext w:val="0"/>
              <w:spacing w:line="290" w:lineRule="exact" w:after="0"/>
              <w:jc w:val="left"/>
            </w:pPr>
            <w:r>
              <w:rPr>
                <w:b w:val="0"/>
                <w:sz w:val="21"/>
              </w:rPr>
              <w:t>类别语义明确，划分清单与两类框数可核查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90" w:lineRule="exact" w:after="0"/>
              <w:jc w:val="left"/>
            </w:pPr>
            <w:r>
              <w:rPr>
                <w:b w:val="0"/>
                <w:sz w:val="21"/>
              </w:rPr>
              <w:t>二 试运行</w:t>
            </w:r>
          </w:p>
        </w:tc>
        <w:tc>
          <w:tcPr>
            <w:tcW w:type="dxa" w:w="3672"/>
            <w:vAlign w:val="center"/>
          </w:tcPr>
          <w:p>
            <w:pPr>
              <w:keepNext w:val="0"/>
              <w:spacing w:line="290" w:lineRule="exact" w:after="0"/>
              <w:jc w:val="left"/>
            </w:pPr>
            <w:r>
              <w:rPr>
                <w:b w:val="0"/>
                <w:sz w:val="21"/>
              </w:rPr>
              <w:t>少量数据试训练并检查可视化</w:t>
            </w:r>
          </w:p>
        </w:tc>
        <w:tc>
          <w:tcPr>
            <w:tcW w:type="dxa" w:w="4882"/>
            <w:vAlign w:val="center"/>
          </w:tcPr>
          <w:p>
            <w:pPr>
              <w:keepNext w:val="0"/>
              <w:spacing w:line="290" w:lineRule="exact" w:after="0"/>
              <w:jc w:val="left"/>
            </w:pPr>
            <w:r>
              <w:rPr>
                <w:b w:val="0"/>
                <w:sz w:val="21"/>
              </w:rPr>
              <w:t>数据可加载，检测框与类别无明显配置错误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90" w:lineRule="exact" w:after="0"/>
              <w:jc w:val="left"/>
            </w:pPr>
            <w:r>
              <w:rPr>
                <w:b w:val="0"/>
                <w:sz w:val="21"/>
              </w:rPr>
              <w:t>三 正式训练</w:t>
            </w:r>
          </w:p>
        </w:tc>
        <w:tc>
          <w:tcPr>
            <w:tcW w:type="dxa" w:w="3672"/>
            <w:vAlign w:val="center"/>
          </w:tcPr>
          <w:p>
            <w:pPr>
              <w:keepNext w:val="0"/>
              <w:spacing w:line="290" w:lineRule="exact" w:after="0"/>
              <w:jc w:val="left"/>
            </w:pPr>
            <w:r>
              <w:rPr>
                <w:b w:val="0"/>
                <w:sz w:val="21"/>
              </w:rPr>
              <w:t>单模型微调与验证集选权重</w:t>
            </w:r>
          </w:p>
        </w:tc>
        <w:tc>
          <w:tcPr>
            <w:tcW w:type="dxa" w:w="4882"/>
            <w:vAlign w:val="center"/>
          </w:tcPr>
          <w:p>
            <w:pPr>
              <w:keepNext w:val="0"/>
              <w:spacing w:line="290" w:lineRule="exact" w:after="0"/>
              <w:jc w:val="left"/>
            </w:pPr>
            <w:r>
              <w:rPr>
                <w:b w:val="0"/>
                <w:sz w:val="21"/>
              </w:rPr>
              <w:t>保留 best.pt、参数、日志及训练曲线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90" w:lineRule="exact" w:after="0"/>
              <w:jc w:val="left"/>
            </w:pPr>
            <w:r>
              <w:rPr>
                <w:b w:val="0"/>
                <w:sz w:val="21"/>
              </w:rPr>
              <w:t>四 独立测试</w:t>
            </w:r>
          </w:p>
        </w:tc>
        <w:tc>
          <w:tcPr>
            <w:tcW w:type="dxa" w:w="3672"/>
            <w:vAlign w:val="center"/>
          </w:tcPr>
          <w:p>
            <w:pPr>
              <w:keepNext w:val="0"/>
              <w:spacing w:line="290" w:lineRule="exact" w:after="0"/>
              <w:jc w:val="left"/>
            </w:pPr>
            <w:r>
              <w:rPr>
                <w:b w:val="0"/>
                <w:sz w:val="21"/>
              </w:rPr>
              <w:t>测试集评价和错误样例分析</w:t>
            </w:r>
          </w:p>
        </w:tc>
        <w:tc>
          <w:tcPr>
            <w:tcW w:type="dxa" w:w="4882"/>
            <w:vAlign w:val="center"/>
          </w:tcPr>
          <w:p>
            <w:pPr>
              <w:keepNext w:val="0"/>
              <w:spacing w:line="290" w:lineRule="exact" w:after="0"/>
              <w:jc w:val="left"/>
            </w:pPr>
            <w:r>
              <w:rPr>
                <w:b w:val="0"/>
                <w:sz w:val="21"/>
              </w:rPr>
              <w:t>两类指标、总体指标及失败案例齐全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keepNext w:val="0"/>
              <w:spacing w:line="290" w:lineRule="exact" w:after="0"/>
              <w:jc w:val="left"/>
            </w:pPr>
            <w:r>
              <w:rPr>
                <w:b w:val="0"/>
                <w:sz w:val="21"/>
              </w:rPr>
              <w:t>五 应用交付</w:t>
            </w:r>
          </w:p>
        </w:tc>
        <w:tc>
          <w:tcPr>
            <w:tcW w:type="dxa" w:w="3672"/>
            <w:vAlign w:val="center"/>
          </w:tcPr>
          <w:p>
            <w:pPr>
              <w:keepNext w:val="0"/>
              <w:spacing w:line="290" w:lineRule="exact" w:after="0"/>
              <w:jc w:val="left"/>
            </w:pPr>
            <w:r>
              <w:rPr>
                <w:b w:val="0"/>
                <w:sz w:val="21"/>
              </w:rPr>
              <w:t>图片和视频监测、保存结果</w:t>
            </w:r>
          </w:p>
        </w:tc>
        <w:tc>
          <w:tcPr>
            <w:tcW w:type="dxa" w:w="4882"/>
            <w:vAlign w:val="center"/>
          </w:tcPr>
          <w:p>
            <w:pPr>
              <w:keepNext w:val="0"/>
              <w:spacing w:line="290" w:lineRule="exact" w:after="0"/>
              <w:jc w:val="left"/>
            </w:pPr>
            <w:r>
              <w:rPr>
                <w:b w:val="0"/>
                <w:sz w:val="21"/>
              </w:rPr>
              <w:t>按说明能复现预测并播放演示结果</w:t>
            </w:r>
          </w:p>
        </w:tc>
      </w:tr>
    </w:tbl>
    <w:p>
      <w:pPr>
        <w:spacing w:after="0"/>
      </w:pPr>
    </w:p>
    <w:p>
      <w:r>
        <w:t>按照以上顺序推进，数据准备与试运行通过后再投入正式训练。若发现标注或类别映射问题，先修正数据并重新训练，再更新评价结果。</w:t>
      </w:r>
    </w:p>
    <w:p>
      <w:pPr>
        <w:pStyle w:val="Heading1"/>
      </w:pPr>
      <w:r>
        <w:t>10 最终交付清单</w:t>
      </w:r>
    </w:p>
    <w:p>
      <w:pPr>
        <w:pStyle w:val="ListBullet"/>
      </w:pPr>
      <w:r>
        <w:t>实验报告：包含实验目的、数据来源、标注处理、训练设置、实测指标、监测展示及局限。</w:t>
      </w:r>
    </w:p>
    <w:p>
      <w:pPr>
        <w:pStyle w:val="ListBullet"/>
      </w:pPr>
      <w:r>
        <w:t>复现材料：数据版本与划分清单、类别统计、环境依赖、训练与预测入口、运行说明。</w:t>
      </w:r>
    </w:p>
    <w:p>
      <w:pPr>
        <w:pStyle w:val="ListBullet"/>
      </w:pPr>
      <w:r>
        <w:t>模型材料：best.pt，以及对应的训练参数、日志、结果表和损失曲线。</w:t>
      </w:r>
    </w:p>
    <w:p>
      <w:pPr>
        <w:pStyle w:val="ListBullet"/>
      </w:pPr>
      <w:r>
        <w:t>评价材料：两类 Precision、Recall、AP@50，总体 mAP@50 与 mAP@50–95，混淆矩阵和代表性错误样例。</w:t>
      </w:r>
    </w:p>
    <w:p>
      <w:pPr>
        <w:pStyle w:val="ListBullet"/>
      </w:pPr>
      <w:r>
        <w:t>演示材料：可运行的图片与视频检测程序、检测结果图片，以及一段能体现两类状态的演示视频。</w:t>
      </w:r>
    </w:p>
    <w:p>
      <w:r>
        <w:t>验收时应能按运行说明加载指定权重，在独立图片或视频中显示两类检测框并保存结果；报告中的指标与保留的评价文件一致。若存在类别失衡、标注歧义或特定场景漏检，应如实记录。</w:t>
      </w:r>
    </w:p>
    <w:p>
      <w:pPr>
        <w:pStyle w:val="Heading1"/>
      </w:pPr>
      <w:r>
        <w:t>11 参考资料</w:t>
      </w:r>
    </w:p>
    <w:p>
      <w:pPr>
        <w:spacing w:after="60"/>
      </w:pPr>
      <w:r>
        <w:rPr>
          <w:sz w:val="19"/>
        </w:rPr>
        <w:t>[1] Hard Hat Workers 数据集。约 7000 张原始图片及多个数据版本。</w:t>
      </w:r>
    </w:p>
    <w:p>
      <w:pPr>
        <w:spacing w:after="60"/>
      </w:pPr>
      <w:r>
        <w:rPr>
          <w:sz w:val="19"/>
        </w:rPr>
        <w:t>https://universe.roboflow.com/joseph-nelson/hard-hat-workers</w:t>
      </w:r>
    </w:p>
    <w:p>
      <w:pPr>
        <w:spacing w:after="60"/>
      </w:pPr>
      <w:r>
        <w:rPr>
          <w:sz w:val="19"/>
        </w:rPr>
        <w:t>[2] Ultralytics Train 模式文档。训练设置、检查点与提前停止。</w:t>
      </w:r>
    </w:p>
    <w:p>
      <w:pPr>
        <w:spacing w:after="60"/>
      </w:pPr>
      <w:r>
        <w:rPr>
          <w:sz w:val="19"/>
        </w:rPr>
        <w:t>https://docs.ultralytics.com/modes/train/</w:t>
      </w:r>
    </w:p>
    <w:p>
      <w:pPr>
        <w:spacing w:after="60"/>
      </w:pPr>
      <w:r>
        <w:rPr>
          <w:sz w:val="19"/>
        </w:rPr>
        <w:t>[3] Ultralytics Val 模式文档。目标检测评价及结果解释。</w:t>
      </w:r>
    </w:p>
    <w:p>
      <w:pPr>
        <w:spacing w:after="60"/>
      </w:pPr>
      <w:r>
        <w:rPr>
          <w:sz w:val="19"/>
        </w:rPr>
        <w:t>https://docs.ultralytics.com/modes/val/</w:t>
      </w:r>
    </w:p>
    <w:sectPr w:rsidR="00FC693F" w:rsidRPr="0006063C" w:rsidSect="00034616">
      <w:footerReference w:type="default" r:id="rId9"/>
      <w:pgSz w:w="12240" w:h="15840"/>
      <w:pgMar w:top="979" w:right="1123" w:bottom="936" w:left="1123" w:header="720" w:footer="432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fldSimple w:instr="PAGE"/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0" w:lineRule="exact" w:after="100"/>
      <w:snapToGrid w:val="0"/>
    </w:pPr>
    <w:rPr>
      <w:rFonts w:ascii="Arial" w:hAnsi="Arial" w:eastAsia="Noto Sans CJK SC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 w:line="380" w:lineRule="exact"/>
      <w:outlineLvl w:val="0"/>
      <w:snapToGrid w:val="0"/>
    </w:pPr>
    <w:rPr>
      <w:rFonts w:ascii="Arial" w:hAnsi="Arial" w:eastAsia="Noto Sans CJK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 w:line="380" w:lineRule="exact"/>
      <w:outlineLvl w:val="1"/>
      <w:snapToGrid w:val="0"/>
    </w:pPr>
    <w:rPr>
      <w:rFonts w:ascii="Arial" w:hAnsi="Arial" w:eastAsia="Noto Sans CJK SC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snapToGrid w:val="0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snapToGrid w:val="0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snapToGrid w:val="0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snapToGrid w:val="0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snapToGrid w:val="0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snapToGrid w:val="0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snapToGrid w:val="0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  <w:snapToGrid w:val="0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560" w:lineRule="exact"/>
      <w:contextualSpacing/>
      <w:snapToGrid w:val="0"/>
    </w:pPr>
    <w:rPr>
      <w:rFonts w:ascii="Arial" w:hAnsi="Arial" w:eastAsia="Noto Sans CJK SC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60"/>
      <w:snapToGrid w:val="0"/>
    </w:pPr>
    <w:rPr>
      <w:rFonts w:ascii="Arial" w:hAnsi="Arial" w:eastAsia="Noto Sans CJK SC"/>
      <w:b w:val="0"/>
      <w:i/>
      <w:iCs/>
      <w:color w:val="00000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snapToGrid w:val="0"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snapToGrid w:val="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snapToGrid w:val="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snapToGrid w:val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snapToGrid w:val="0"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snapToGrid w:val="0"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snapToGrid w:val="0"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30" w:lineRule="exact" w:after="80"/>
      <w:contextualSpacing/>
      <w:snapToGrid w:val="0"/>
    </w:pPr>
    <w:rPr>
      <w:rFonts w:ascii="Arial" w:hAnsi="Arial" w:eastAsia="Noto Sans CJK SC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snapToGrid w:val="0"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snapToGrid w:val="0"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30" w:lineRule="exact" w:after="80"/>
      <w:contextualSpacing/>
      <w:snapToGrid w:val="0"/>
    </w:pPr>
    <w:rPr>
      <w:rFonts w:ascii="Arial" w:hAnsi="Arial" w:eastAsia="Noto Sans CJK SC"/>
      <w:b w:val="0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snapToGrid w:val="0"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snapToGrid w:val="0"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snapToGrid w:val="0"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snapToGrid w:val="0"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snapToGrid w:val="0"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napToGrid w:val="0"/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napToGrid w:val="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after="80"/>
      <w:snapToGrid w:val="0"/>
    </w:pPr>
    <w:rPr>
      <w:rFonts w:ascii="Arial" w:hAnsi="Arial" w:eastAsia="Noto Sans CJK SC"/>
      <w:b w:val="0"/>
      <w:bCs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  <w:snapToGrid w:val="0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snapToGrid w:val="0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基于YOLO的工地安全帽佩戴检测实验方案</dc:title>
  <dc:subject>目标检测课程实验方案与交付要求</dc:subject>
  <dc:creator/>
  <cp:keywords>YOLO26n, Hard Hat Workers, 安全帽, 目标检测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