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 YOLO 的工地安全帽佩戴检测实验报告</w:t>
      </w:r>
    </w:p>
    <w:p>
      <w:pPr>
        <w:pStyle w:val="Subtitle"/>
      </w:pPr>
      <w:r>
        <w:t>目标检测课程实验  |  单模型微调与图片视频监测</w:t>
      </w:r>
    </w:p>
    <w:p>
      <w:r>
        <w:t>实验日期 2026年10月15日  |  验收整理 2026年10月15日至16日  |  北京时间</w:t>
      </w:r>
    </w:p>
    <w:p>
      <w:pPr>
        <w:pStyle w:val="Heading1"/>
        <w:keepNext/>
      </w:pPr>
      <w:r>
        <w:t>1 实验目的与完成结果</w:t>
      </w:r>
    </w:p>
    <w:p>
      <w:r>
        <w:t>本实验基于 Hard Hat Workers 数据集和 YOLO26n，完成安全帽佩戴状态检测的完整实现：从数据清洗与分组划分，到模型微调、独立测试，再到可保存结果的图片和视频监测程序。系统输出目标位置、佩戴类别、置信度及当前帧数量，训练、评价和应用共用可核查的模型材料。</w:t>
      </w:r>
    </w:p>
    <w:p>
      <w:r>
        <w:t>在 704 张独立测试图片上，模型取得 mAP50 96.51%、mAP50–95 67.15%。验证集选定演示阈值 0.40 后，未戴帽类别 Precision 达到 92.52%、Recall 达到 89.19%，能够有效识别测试画面中的未戴帽目标。实验已形成模型、程序、指标和演示成品的完整交付，并通过分层统计明确下一步优化重点。</w:t>
      </w:r>
    </w:p>
    <w:p>
      <w:pPr>
        <w:pStyle w:val="Heading2"/>
        <w:keepNext/>
      </w:pPr>
      <w:r>
        <w:t>数据来源与类别</w:t>
      </w:r>
    </w:p>
    <w:p>
      <w:r>
        <w:t>数据下载于 2026年10月15日，来源为 Kaggle 的 Hard Hat Workers 镜像第 1 版，对应压缩包内 Roboflow v2 raw，原导出日期 2020年4月30日。原始 7035 张图片未做离线增强；类别 helmet 映射为 0 helmet，head 映射为 1 no_helmet，person 不映射为未戴帽。</w:t>
      </w:r>
    </w:p>
    <w:tbl>
      <w:tblPr>
        <w:tblW w:type="auto" w:w="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1" w:noVBand="1"/>
      </w:tblPr>
      <w:tblGrid>
        <w:gridCol w:w="2211"/>
        <w:gridCol w:w="2551"/>
        <w:gridCol w:w="2551"/>
        <w:gridCol w:w="2551"/>
      </w:tblGrid>
      <w:tr>
        <w:trPr>
          <w:cantSplit/>
          <w:tblHeader/>
        </w:trPr>
        <w:tc>
          <w:tcPr>
            <w:tcW w:type="dxa" w:w="221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集合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图片数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helmet 框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no_helmet 框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训练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4916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13799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4677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验证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1406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3938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1334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测试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704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1973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666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7026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19710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6677</w:t>
            </w:r>
          </w:p>
        </w:tc>
      </w:tr>
    </w:tbl>
    <w:p/>
    <w:p>
      <w:r>
        <w:t>用种子 42 抽查 100 张图片，并补查导出标签与相似候选；排除 9 张存在语义歧义、重复框或漏标问题的图片。保留有效背景图是处理原则，但本次最终数据没有空标签图片。两类目标框约为 2.95∶1，未进行过采样或欠采样。</w:t>
      </w:r>
    </w:p>
    <w:p>
      <w:pPr>
        <w:pStyle w:val="Heading2"/>
        <w:keepNext/>
      </w:pPr>
      <w:r>
        <w:t>清洗与分组划分</w:t>
      </w:r>
    </w:p>
    <w:p>
      <w:r>
        <w:t>通过图片解码、标注尺寸、坐标、像素哈希和感知哈希检查，将 233 对相似候选及人工确认的同场景图片按组分配，形成 6809 组，最大组 4 张。数据按约 70%／20%／10% 划分，已识别的相似组全部保留在同一集合，降低重复画面对测试评价的干扰。全部 7026 张导出图片与标签通过配对、类别及坐标转换核查。</w:t>
      </w:r>
    </w:p>
    <w:p>
      <w:pPr>
        <w:pStyle w:val="Heading1"/>
        <w:keepNext/>
        <w:pageBreakBefore/>
      </w:pPr>
      <w:r>
        <w:t>2 实验环境与正式训练</w:t>
      </w:r>
    </w:p>
    <w:tbl>
      <w:tblPr>
        <w:tblW w:type="auto" w:w="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1" w:noVBand="1"/>
      </w:tblPr>
      <w:tblGrid>
        <w:gridCol w:w="1757"/>
        <w:gridCol w:w="8107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8107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实际设置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环境</w:t>
            </w:r>
          </w:p>
        </w:tc>
        <w:tc>
          <w:tcPr>
            <w:tcW w:type="dxa" w:w="8107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Python 3.12.14，PyTorch 2.14.1，Ultralytics 8.4.177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设备</w:t>
            </w:r>
          </w:p>
        </w:tc>
        <w:tc>
          <w:tcPr>
            <w:tcW w:type="dxa" w:w="8107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macOS 27.2 arm64，Apple M6，MPS，统一内存 16 GiB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模型与权重</w:t>
            </w:r>
          </w:p>
        </w:tc>
        <w:tc>
          <w:tcPr>
            <w:tcW w:type="dxa" w:w="8107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YOLO26n；从 yolo26n.pt 微调，两类输出，freeze=null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主要参数</w:t>
            </w:r>
          </w:p>
        </w:tc>
        <w:tc>
          <w:tcPr>
            <w:tcW w:type="dxa" w:w="8107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imgsz=640，batch=8，epochs=100，patience=20，seed=42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优化器</w:t>
            </w:r>
          </w:p>
        </w:tc>
        <w:tc>
          <w:tcPr>
            <w:tcW w:type="dxa" w:w="8107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auto 实际解析为 AdamW；初始 lr=0.001667，momentum=0.9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增强</w:t>
            </w:r>
          </w:p>
        </w:tc>
        <w:tc>
          <w:tcPr>
            <w:tcW w:type="dxa" w:w="8107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默认在线训练增强；验证、测试及演示不使用随机增强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训练结果</w:t>
            </w:r>
          </w:p>
        </w:tc>
        <w:tc>
          <w:tcPr>
            <w:tcW w:type="dxa" w:w="8107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第 60 轮最佳，第 80 轮触发提前停止；保存 best.pt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时间</w:t>
            </w:r>
          </w:p>
        </w:tc>
        <w:tc>
          <w:tcPr>
            <w:tcW w:type="dxa" w:w="8107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2026年10月15日 14:59:34 至 18:55:40，约 3 小时 56 分钟</w:t>
            </w:r>
          </w:p>
        </w:tc>
      </w:tr>
    </w:tbl>
    <w:p/>
    <w:p>
      <w:r>
        <w:t>正式实验采用 batch=8、输入尺寸 640×640、最多 100 轮训练，随机种子固定为 42。训练以验证集 fitness 选择最佳权重，patience=20 控制提前停止，运行参数、训练日志、结果表和曲线完整保留。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正式训练损失与验证指标曲线 原始运行目录保留完整图像</w:t>
      </w:r>
    </w:p>
    <w:p>
      <w:r>
        <w:t>验证集 mAP50–95 从第 1 轮的 55.64% 提升至第 60 轮的约 67.41%，第 80 轮约为 67.19%。模型进入平台期后按 patience=20 结束训练，保留第 60 轮最佳权重。训练后的验证结果与独立测试结果在 mAP50、mAP50–95 上均仅相差约 0.27 个百分点，表明模型在本实验划分上的表现稳定。</w:t>
      </w:r>
    </w:p>
    <w:p>
      <w:r>
        <w:t>最佳权重 SHA256：034bef3b1805776ae8e5770ac3f50d8f706b8716223c989e4f8ff2137d0a6b99。文件与标准评价记录及演示配置一致。</w:t>
      </w:r>
    </w:p>
    <w:p>
      <w:pPr>
        <w:pStyle w:val="Heading1"/>
        <w:keepNext/>
        <w:pageBreakBefore/>
      </w:pPr>
      <w:r>
        <w:t>3 独立测试与演示阈值</w:t>
      </w:r>
    </w:p>
    <w:p>
      <w:pPr>
        <w:pStyle w:val="Heading2"/>
        <w:keepNext/>
      </w:pPr>
      <w:r>
        <w:t>标准检测指标</w:t>
      </w:r>
    </w:p>
    <w:tbl>
      <w:tblPr>
        <w:tblW w:type="auto" w:w="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1" w:noVBand="1"/>
      </w:tblPr>
      <w:tblGrid>
        <w:gridCol w:w="1928"/>
        <w:gridCol w:w="1984"/>
        <w:gridCol w:w="1984"/>
        <w:gridCol w:w="1984"/>
        <w:gridCol w:w="1984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Precision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Recall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AP50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AP50–95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helmet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94.16%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95.61%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98.05%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66.96%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no_helmet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92.55%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90.54%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94.97%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67.34%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两类宏平均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93.35%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93.07%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96.51%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67.15%</w:t>
            </w:r>
          </w:p>
        </w:tc>
      </w:tr>
    </w:tbl>
    <w:p/>
    <w:p>
      <w:r>
        <w:t>标准评价采用 Ultralytics 流程，conf=0.001 收集候选，imgsz=640、batch=8、augment=false。AP 综合多个置信度下的检测表现；表中 P/R 对应测试曲线最大平滑平均 F1 的统计点，约为 0.34835。总体 mAP50 达到 96.51%，说明模型在 IoU=0.50 标准下具有较强识别能力；mAP50–95 为 67.15%，进一步提升框定位精度是后续优化方向。</w:t>
      </w:r>
    </w:p>
    <w:p>
      <w:pPr>
        <w:pStyle w:val="Heading2"/>
        <w:keepNext/>
      </w:pPr>
      <w:r>
        <w:t>验证集选择与配置冻结</w:t>
      </w:r>
    </w:p>
    <w:p>
      <w:r>
        <w:t>在 1406 张验证图片上搜索 0.10～0.80、步长 0.05 的统一置信度阈值，以 no_helmet F1 最大化为目标，平衡漏检与误检；并列时优先 Precision，其次选择较高阈值。评价按置信度降序、一对一匹配，类别正确且 IoU≥0.50 记为 TP。最终两类共用阈值 0.40。</w:t>
      </w:r>
    </w:p>
    <w:tbl>
      <w:tblPr>
        <w:tblW w:type="auto" w:w="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1" w:noVBand="1"/>
      </w:tblPr>
      <w:tblGrid>
        <w:gridCol w:w="1417"/>
        <w:gridCol w:w="2891"/>
        <w:gridCol w:w="2891"/>
        <w:gridCol w:w="2665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阈值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未戴帽 Precision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未戴帽 Recall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未戴帽 F1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0.20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87.27%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92.50%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89.81%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0.30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90.19%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90.93%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90.56%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0.40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92.66%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89.88%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91.25%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0.50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94.16%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88.31%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91.14%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0.60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95.62%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85.01%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90.00%</w:t>
            </w:r>
          </w:p>
        </w:tc>
      </w:tr>
    </w:tbl>
    <w:p/>
    <w:p>
      <w:r>
        <w:t>配置先写入 config/monitor.json，再读取测试集。推理固定 imgsz=640、rect=false、augment=false、iou=0.7、max_det=300。0.7 是推理 NMS 参数；模型为端到端检测，框匹配的评价 IoU 仍为 0.50。冻结时间见配置文件。</w:t>
      </w:r>
    </w:p>
    <w:tbl>
      <w:tblPr>
        <w:tblW w:type="auto" w:w="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1" w:noVBand="1"/>
      </w:tblPr>
      <w:tblGrid>
        <w:gridCol w:w="2211"/>
        <w:gridCol w:w="1191"/>
        <w:gridCol w:w="1191"/>
        <w:gridCol w:w="1191"/>
        <w:gridCol w:w="2041"/>
        <w:gridCol w:w="2041"/>
      </w:tblGrid>
      <w:tr>
        <w:trPr>
          <w:cantSplit/>
          <w:tblHeader/>
        </w:trPr>
        <w:tc>
          <w:tcPr>
            <w:tcW w:type="dxa" w:w="221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固定阈值 0.40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TP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FP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FN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Precision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Recall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helmet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1877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106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96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94.65%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95.13%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no_helmet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594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72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92.52%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89.19%</w:t>
            </w:r>
          </w:p>
        </w:tc>
      </w:tr>
    </w:tbl>
    <w:p/>
    <w:p>
      <w:r>
        <w:t>固定阈值下，666 个未戴帽目标中正确匹配 594 个、漏检 72 个；642 个未戴帽预测中，594 个正确、48 个误检。该结果量化了演示程序在测试集上的检测能力，也为后续降低漏检提供了明确基线。FP/FN 按现有标注统计；类别错分可能同时计入一个 FP 和一个 FN。测试阶段保持模型和阈值固定。</w:t>
      </w:r>
    </w:p>
    <w:p>
      <w:pPr>
        <w:pStyle w:val="Heading1"/>
        <w:keepNext/>
        <w:pageBreakBefore/>
      </w:pPr>
      <w:r>
        <w:t>4 错误分层与优化重点</w:t>
      </w:r>
    </w:p>
    <w:p>
      <w:pPr>
        <w:pStyle w:val="Heading2"/>
        <w:keepNext/>
      </w:pPr>
      <w:r>
        <w:t>小目标与密集画面</w:t>
      </w:r>
    </w:p>
    <w:p>
      <w:r>
        <w:t>将原图最长边缩放至 640 后，标注框面积不超过 32×32 像素的目标归为小目标；一张图片至少包含 10 个标注目标时归为密集画面。目标尺度与画面密度分别统计，遮挡情况通过案例分析。以下使用固定阈值 0.40、匹配 IoU≥0.50。</w:t>
      </w:r>
    </w:p>
    <w:tbl>
      <w:tblPr>
        <w:tblW w:type="auto" w:w="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1" w:noVBand="1"/>
      </w:tblPr>
      <w:tblGrid>
        <w:gridCol w:w="1757"/>
        <w:gridCol w:w="2211"/>
        <w:gridCol w:w="1757"/>
        <w:gridCol w:w="2268"/>
        <w:gridCol w:w="1871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分组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戴帽 TP／标注数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戴帽 Recall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未戴帽 TP／标注数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未戴帽 Recall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小目标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375/425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88.24%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112/134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83.58%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其他目标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1502/1548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97.03%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482/532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90.60%</w:t>
            </w:r>
          </w:p>
        </w:tc>
      </w:tr>
    </w:tbl>
    <w:p/>
    <w:tbl>
      <w:tblPr>
        <w:tblW w:type="auto" w:w="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1" w:noVBand="1"/>
      </w:tblPr>
      <w:tblGrid>
        <w:gridCol w:w="2098"/>
        <w:gridCol w:w="1191"/>
        <w:gridCol w:w="2268"/>
        <w:gridCol w:w="2154"/>
        <w:gridCol w:w="2154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画面组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图片数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未戴帽 TP／FP／FN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未戴帽 Precision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未戴帽 Recall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至少 10 个目标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86／4／7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95.56%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92.47%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少于 10 个目标</w:t>
            </w:r>
          </w:p>
        </w:tc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690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508／44／65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92.03%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88.66%</w:t>
            </w:r>
          </w:p>
        </w:tc>
      </w:tr>
    </w:tbl>
    <w:p/>
    <w:p>
      <w:r>
        <w:t>分层统计直接指出小目标是优先优化项：小目标未戴帽 Recall 为 83.58%，比其他目标的 90.60% 低 7.02 个百分点。密集组 14 张图片上的未戴帽 Recall 为 92.47%，表明模型在这组多人画面中仍能保持较好的检出表现。密集组样本量较小；普通帽子、逆光及手持状态结合后续案例逐项分析。</w:t>
      </w:r>
    </w:p>
    <w:p>
      <w:pPr>
        <w:pStyle w:val="Heading2"/>
        <w:keepNext/>
      </w:pPr>
      <w:r>
        <w:t>混淆矩阵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5280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已有标准评价混淆矩阵 行为预测类别 列为真实类别</w:t>
      </w:r>
    </w:p>
    <w:p>
      <w:r>
        <w:t>该矩阵展示 conf=0.001、匹配 IoU=0.45 下的类别混淆及低置信度背景响应；第 3 节的固定阈值 TP、FP、FN 则对应实际演示设置。两组结果分别服务于模型诊断和应用评价。后续案例均来自重新划分后的测试集，train_ 或 test_ 文件名前缀保留原始来源信息。</w:t>
      </w:r>
    </w:p>
    <w:p>
      <w:pPr>
        <w:pStyle w:val="Heading1"/>
        <w:keepNext/>
        <w:pageBreakBefore/>
      </w:pPr>
      <w:r>
        <w:t>5 场景验证 远距离与小目标</w:t>
      </w:r>
    </w:p>
    <w:p>
      <w:r>
        <w:t>案例图左侧为原标注，右侧为阈值 0.40 下的预测；绿色表示 helmet，红色表示 no_helmet。G 为标注编号，FN 标出漏检，FP 标出未匹配预测。成功样例展示当前能力，问题样例用于定位改进目标。</w:t>
      </w:r>
    </w:p>
    <w:p>
      <w:pPr>
        <w:pStyle w:val="Heading2"/>
        <w:keepNext/>
      </w:pPr>
      <w:r>
        <w:t>成功样例 远处作业人员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1871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0329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71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测试集 train_03292：7 个目标全部正确匹配，误检 0 个、漏检 0 个。按本报告的尺度定义，7 个目标均属于小目标。该画面展示了模型对远处作业人员的识别能力。</w:t>
      </w:r>
    </w:p>
    <w:p>
      <w:pPr>
        <w:pStyle w:val="Heading2"/>
        <w:keepNext/>
      </w:pPr>
      <w:r>
        <w:t>问题分析 建筑入口与远处人员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01079" cy="2057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0415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1079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测试集 train_04155：7 个标注目标中正确匹配 4 个，误检 0 个、漏检 3 个。漏检包括 2 个戴帽目标和 1 个未戴帽目标，主要位于远处或构图边缘。小尺度与复杂背景是可能影响因素，后续应优先检查远距离头部的特征保留与样本覆盖。</w:t>
      </w:r>
    </w:p>
    <w:p>
      <w:pPr>
        <w:pStyle w:val="Heading1"/>
        <w:keepNext/>
        <w:pageBreakBefore/>
      </w:pPr>
      <w:r>
        <w:t>6 场景验证 多人与遮挡</w:t>
      </w:r>
    </w:p>
    <w:p>
      <w:pPr>
        <w:pStyle w:val="Heading2"/>
        <w:keepNext/>
      </w:pPr>
      <w:r>
        <w:t>成功样例 多人同框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91972" cy="2057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0403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1972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测试集 train_04038：11 个标注目标全部正确匹配，误检 0 个、漏检 0 个。模型在多人同框时同时识别戴帽与未戴帽状态，展示了对这类画面的有效处理能力。</w:t>
      </w:r>
    </w:p>
    <w:p>
      <w:pPr>
        <w:pStyle w:val="Heading2"/>
        <w:keepNext/>
      </w:pPr>
      <w:r>
        <w:t>问题分析 前后排人员重叠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90474" cy="2057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047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0474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测试集 test_00478：15 个标注目标中正确匹配 13 个，误检 1 个、漏检 2 个。前后排头部距离接近，遮挡与框范围差异可能影响匹配。该样例将多人场景的优化重点落实到局部头部区分和定位精度。</w:t>
      </w:r>
    </w:p>
    <w:p>
      <w:r>
        <w:t>程序以检测到的可见头部或安全帽目标计数，每一帧独立统计两类数量。头部不可见或未检出时保持未知状态，避免将不可判断的人员直接计为未戴帽。</w:t>
      </w:r>
    </w:p>
    <w:p>
      <w:pPr>
        <w:pStyle w:val="Heading1"/>
        <w:keepNext/>
        <w:pageBreakBefore/>
      </w:pPr>
      <w:r>
        <w:t>7 场景验证 阴影与逆光</w:t>
      </w:r>
    </w:p>
    <w:p>
      <w:pPr>
        <w:pStyle w:val="Heading2"/>
        <w:keepNext/>
      </w:pPr>
      <w:r>
        <w:t>成功样例 强背景光下的多人画面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98250" cy="2057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1089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825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测试集 test_01089：10 个标注目标全部正确匹配，误检 0 个、漏检 0 个。亮背景与偏暗前景形成明显对比，模型仍完成全部目标检测，体现了在该逆光画面中的适应能力。</w:t>
      </w:r>
    </w:p>
    <w:p>
      <w:pPr>
        <w:pStyle w:val="Heading2"/>
        <w:keepNext/>
      </w:pPr>
      <w:r>
        <w:t>问题分析 太阳直射与远处头部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99168" cy="2057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04385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9168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测试集 train_04385：5 个标注目标中正确匹配 3 个，误检 1 个、漏检 2 个。2 个 no_helmet 标注未匹配，另有 1 个 helmet 未匹配预测。远处头部的遮挡及佩戴语义歧义与强光同时存在，应结合局部图像和标注复核识别问题。</w:t>
      </w:r>
    </w:p>
    <w:p>
      <w:r>
        <w:t>后续改进应围绕强光下的小目标补充样本、统一标注范围，并使用新的留出数据检验收益。本次案例分析保持原模型、标签和阈值，保留当前结果作为改进基线。</w:t>
      </w:r>
    </w:p>
    <w:p>
      <w:pPr>
        <w:pStyle w:val="Heading1"/>
        <w:keepNext/>
        <w:pageBreakBefore/>
      </w:pPr>
      <w:r>
        <w:t>8 场景验证 手持与放置安全帽</w:t>
      </w:r>
    </w:p>
    <w:p>
      <w:pPr>
        <w:pStyle w:val="Heading2"/>
        <w:keepNext/>
      </w:pPr>
      <w:r>
        <w:t>成功样例 手持安全帽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90474" cy="2057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0402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0474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测试集 train_04024：9 个头部标注全部正确匹配，误检 0 个、漏检 0 个。模型同时区分前景未戴帽人员和戴帽人员，并将画面下部手持的红色安全帽排除在佩戴目标之外，完成了该样例中持帽与戴帽状态的区分。</w:t>
      </w:r>
    </w:p>
    <w:p>
      <w:pPr>
        <w:pStyle w:val="Heading2"/>
        <w:keepNext/>
      </w:pPr>
      <w:r>
        <w:t>问题分析 地面安全帽与背景头部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534631" cy="20573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026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4631" cy="2057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测试集 test_00260：前景戴帽目标正确检出，地面黄色安全帽未触发佩戴预测；背景 1 个未戴帽头部漏检。该图同时呈现了对放置安全帽的正确处理，以及对背景头部检测的改进需求。</w:t>
      </w:r>
    </w:p>
    <w:p>
      <w:r>
        <w:t>手持和放置两类样例补充了佩戴语义验证：模型应围绕可见头部判断佩戴状态，而不是将画面中出现的每顶安全帽都计为戴帽人员。专项效果目前以这些案例为依据，后续可扩充相应场景标注。</w:t>
      </w:r>
    </w:p>
    <w:p>
      <w:pPr>
        <w:pStyle w:val="Heading1"/>
        <w:keepNext/>
        <w:pageBreakBefore/>
      </w:pPr>
      <w:r>
        <w:t>9 监测应用与改进方向</w:t>
      </w:r>
    </w:p>
    <w:p>
      <w:pPr>
        <w:pStyle w:val="Heading2"/>
        <w:keepNext/>
      </w:pPr>
      <w:r>
        <w:t>优化重点 普通帽子判别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179948" cy="1691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inary_ha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9948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已排除样例 train_00243 的定性预测</w:t>
      </w:r>
    </w:p>
    <w:p>
      <w:r>
        <w:t>左侧浅色宽檐遮阳帽被误判为 helmet，置信度约 0.67；右侧黄色安全帽正确检出。该图在清洗时已因标注覆盖不完整而排除，此处用于错误诊断。普通头饰与安全帽的区分是明确的改进目标，应增加普通帽子样本并统一其 no_helmet 标注规范。</w:t>
      </w:r>
    </w:p>
    <w:p>
      <w:pPr>
        <w:pStyle w:val="Heading2"/>
        <w:keepNext/>
      </w:pPr>
      <w:r>
        <w:t>图片与视频监测程序</w:t>
      </w:r>
    </w:p>
    <w:p>
      <w:r>
        <w:t>scripts/monitor_helmet.py 已实现图片、本地视频及可选摄像头输入，输出绿／红检测框、中文类别、置信度和当前帧两类数量。检出 no_helmet 时显示“检测到未戴安全帽”，图片或逐帧视频结果均可保存。状态提示随当前帧更新，计数不跨帧累计。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156558" cy="21945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repor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6558" cy="2194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外部工地视频第 220 帧的程序输出 采用固定阈值 0.40</w:t>
      </w:r>
    </w:p>
    <w:p>
      <w:r>
        <w:t>演示采用训练结束后引入的 CosmoEdge Safety Helmet.mp4。按原图坐标 x=400、y=350、宽 1050、高 650 聚焦作业区域，编码为无声 H.264 视频。输入和输出均为 360 帧、24 fps、15 秒，输出全部回读成功；180 帧同时检出戴帽与未戴帽状态，完成两类监测、提示和视频保存的功能验收。</w:t>
      </w:r>
    </w:p>
    <w:p>
      <w:r>
        <w:t>全景中的远处未戴帽人员在该时刻漏检，聚焦作业区域后被检出，说明目标在输入画面中的尺度直接影响可检出性。后续优化优先处理远距离小目标与普通帽子判别。定量结论来自固定测试集；视频提供定性展示。15 个原始抽样帧与 7035 张原图的哈希检查未发现相似候选，场景独立性仍受原数据缺少拍摄批次信息的限制。</w:t>
      </w:r>
    </w:p>
    <w:p>
      <w:pPr>
        <w:pStyle w:val="Heading1"/>
        <w:keepNext/>
        <w:pageBreakBefore/>
      </w:pPr>
      <w:r>
        <w:t>10 复现入口与交付验收</w:t>
      </w:r>
    </w:p>
    <w:p>
      <w:pPr>
        <w:pStyle w:val="Heading2"/>
        <w:keepNext/>
      </w:pPr>
      <w:r>
        <w:t>核心材料</w:t>
      </w:r>
    </w:p>
    <w:tbl>
      <w:tblPr>
        <w:tblW w:type="auto" w:w="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1" w:noVBand="1"/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材料</w:t>
            </w:r>
          </w:p>
        </w:tc>
        <w:tc>
          <w:tcPr>
            <w:tcW w:type="dxa" w:w="7880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位置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实验报告</w:t>
            </w:r>
          </w:p>
        </w:tc>
        <w:tc>
          <w:tcPr>
            <w:tcW w:type="dxa" w:w="7880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deliverables/工地安全帽佩戴检测实验报告.docx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说明与命令</w:t>
            </w:r>
          </w:p>
        </w:tc>
        <w:tc>
          <w:tcPr>
            <w:tcW w:type="dxa" w:w="7880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README.md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冻结配置</w:t>
            </w:r>
          </w:p>
        </w:tc>
        <w:tc>
          <w:tcPr>
            <w:tcW w:type="dxa" w:w="7880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config/monitor.json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最终验收与案例记录</w:t>
            </w:r>
          </w:p>
        </w:tc>
        <w:tc>
          <w:tcPr>
            <w:tcW w:type="dxa" w:w="7880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deliverables/acceptance.json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演示成品</w:t>
            </w:r>
          </w:p>
        </w:tc>
        <w:tc>
          <w:tcPr>
            <w:tcW w:type="dxa" w:w="7880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deliverables/demo_image.jpg、demo_input.mp4、demo_output.mp4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模型与训练材料</w:t>
            </w:r>
          </w:p>
        </w:tc>
        <w:tc>
          <w:tcPr>
            <w:tcW w:type="dxa" w:w="7880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runs/helmet/yolo26n_100e_b8_20261015_145934/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标准评价</w:t>
            </w:r>
          </w:p>
        </w:tc>
        <w:tc>
          <w:tcPr>
            <w:tcW w:type="dxa" w:w="7880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runs/evaluation/yolo26n_100e_b8_20261015_145934_test_metrics/</w:t>
            </w:r>
          </w:p>
        </w:tc>
      </w:tr>
    </w:tbl>
    <w:p/>
    <w:p>
      <w:r>
        <w:t>在项目根目录激活 .venv 后，按 README 的命令运行 monitor_helmet.py，并为结果指定一个新的路径。程序加载冻结配置并校验权重 SHA256；默认自动选择 MPS／CUDA／CPU，缺少中文字体时可用 --font 指定。输出路径已存在时拒绝覆盖。</w:t>
      </w:r>
    </w:p>
    <w:p>
      <w:r>
        <w:t>复核阈值时使用 validate_monitor.py，并通过 --output 与 --config-output 指定新的验收结果和配置文件；不传 --review-dir 时不落盘逐图预测。脚本先处理验证集、写入配置，再读取测试集。完整训练通过 train_helmet.py --run-name 新名称启动；标准 AP 评价通过 evaluate_helmet.py --run-name 新名称执行。</w:t>
      </w:r>
    </w:p>
    <w:p>
      <w:pPr>
        <w:pStyle w:val="Heading2"/>
        <w:keepNext/>
      </w:pPr>
      <w:r>
        <w:t>本次验收</w:t>
      </w:r>
    </w:p>
    <w:tbl>
      <w:tblPr>
        <w:tblW w:type="auto" w:w="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1" w:noVBand="1"/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检查</w:t>
            </w:r>
          </w:p>
        </w:tc>
        <w:tc>
          <w:tcPr>
            <w:tcW w:type="dxa" w:w="7880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single" w:sz="12" w:color="000000" w:space="0"/>
              <w:left w:val="nil"/>
              <w:bottom w:val="single" w:sz="6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图片入口</w:t>
            </w:r>
          </w:p>
        </w:tc>
        <w:tc>
          <w:tcPr>
            <w:tcW w:type="dxa" w:w="7880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CPU 实际运行成功，演示图检出戴帽 5 个、未戴帽 4 个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视频入口</w:t>
            </w:r>
          </w:p>
        </w:tc>
        <w:tc>
          <w:tcPr>
            <w:tcW w:type="dxa" w:w="7880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MPS 实际运行成功，H.264 输出 360 帧全部可解码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匹配与保护</w:t>
            </w:r>
          </w:p>
        </w:tc>
        <w:tc>
          <w:tcPr>
            <w:tcW w:type="dxa" w:w="7880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错分类、重复预测、空预测、权重校验失败、输出防覆盖检查通过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摄像头</w:t>
            </w:r>
          </w:p>
        </w:tc>
        <w:tc>
          <w:tcPr>
            <w:tcW w:type="dxa" w:w="7880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已提供可选摄像头入口；本次验收使用图片和本地视频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正式实验设置</w:t>
            </w:r>
          </w:p>
        </w:tc>
        <w:tc>
          <w:tcPr>
            <w:tcW w:type="dxa" w:w="7880"/>
            <w:vAlign w:val="center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il"/>
              <w:left w:val="nil"/>
              <w:bottom w:val="single" w:sz="12" w:color="000000" w:space="0"/>
              <w:right w:val="nil"/>
              <w:insideH w:val="nil"/>
              <w:insideV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batch=8，imgsz=640，seed=42；训练与评价参数完整保留</w:t>
            </w:r>
          </w:p>
        </w:tc>
      </w:tr>
    </w:tbl>
    <w:p/>
    <w:p>
      <w:pPr>
        <w:pStyle w:val="Heading2"/>
        <w:keepNext/>
      </w:pPr>
      <w:r>
        <w:t>参考与材料来源</w:t>
      </w:r>
    </w:p>
    <w:p>
      <w:pPr>
        <w:spacing w:after="60"/>
      </w:pPr>
      <w:r>
        <w:rPr>
          <w:sz w:val="17"/>
        </w:rPr>
        <w:t>[1] 原始实验方案 工地安全帽佩戴检测实验方案.docx</w:t>
      </w:r>
    </w:p>
    <w:p>
      <w:pPr>
        <w:spacing w:after="60"/>
      </w:pPr>
      <w:r>
        <w:rPr>
          <w:sz w:val="17"/>
        </w:rPr>
        <w:t>[2] Hard Hat Workers 原项目 https://universe.roboflow.com/joseph-nelson/hard-hat-workers</w:t>
      </w:r>
    </w:p>
    <w:p>
      <w:pPr>
        <w:spacing w:after="60"/>
      </w:pPr>
      <w:r>
        <w:rPr>
          <w:sz w:val="17"/>
        </w:rPr>
        <w:t>[3] 下载镜像 https://www.kaggle.com/datasets/ammarnassanalhajali/hard-hat-workers</w:t>
      </w:r>
    </w:p>
    <w:p>
      <w:pPr>
        <w:spacing w:after="60"/>
      </w:pPr>
      <w:r>
        <w:rPr>
          <w:sz w:val="17"/>
        </w:rPr>
        <w:t>[4] Ultralytics Train 与 Val 文档 https://docs.ultralytics.com/modes/train/ 及 https://docs.ultralytics.com/modes/val/</w:t>
      </w:r>
    </w:p>
    <w:p>
      <w:pPr>
        <w:spacing w:after="60"/>
      </w:pPr>
      <w:r>
        <w:rPr>
          <w:sz w:val="17"/>
        </w:rPr>
        <w:t>[5] 视频来源 https://github.com/cosmo-wander-ai/cosmo-edge ，路径 data/test-video/Safety Helmet.mp4；仓库 Apache 2.0 文本见 VIDEO_LICENSE.txt，未发现单独媒体许可证。来源、裁剪参数和 SHA256 保存在 acceptance.json。</w:t>
      </w:r>
    </w:p>
    <w:p>
      <w:pPr>
        <w:spacing w:after="60"/>
      </w:pPr>
      <w:r>
        <w:rPr>
          <w:sz w:val="17"/>
        </w:rPr>
        <w:t>[6] 本项目 PREPROCESSING.md、训练 args.yaml／日志、标准 metrics.json、固定阈值 acceptance.json。</w:t>
      </w:r>
    </w:p>
    <w:sectPr w:rsidR="00FC693F" w:rsidRPr="0006063C" w:rsidSect="00034616">
      <w:footerReference w:type="default" r:id="rId9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安全帽检测实验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rial Unicode MS" w:hAnsi="Arial Unicode MS" w:eastAsia="Arial Unicode M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Arial Unicode MS" w:hAnsi="Arial Unicode MS" w:eastAsia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