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436.5pt;height:32.5pt;mso-position-horizontal-relative:char;mso-position-vertical-relative:line" coordorigin="0,0" coordsize="8730,650">
            <v:line style="position:absolute" from="0,642" to="8730,642" stroked="true" strokeweight=".72pt" strokecolor="#000000">
              <v:stroke dashstyle="solid"/>
            </v:line>
            <v:shape style="position:absolute;left:6528;top:0;width:2160;height:629" type="#_x0000_t75" stroked="false">
              <v:imagedata r:id="rId5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8730;height:65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18"/>
                      </w:rPr>
                    </w:pPr>
                  </w:p>
                  <w:p>
                    <w:pPr>
                      <w:spacing w:before="108"/>
                      <w:ind w:left="3444" w:right="3445" w:firstLine="0"/>
                      <w:jc w:val="center"/>
                      <w:rPr>
                        <w:rFonts w:ascii="华文宋体" w:eastAsia="华文宋体" w:hint="eastAsia"/>
                        <w:sz w:val="18"/>
                      </w:rPr>
                    </w:pPr>
                    <w:r>
                      <w:rPr>
                        <w:rFonts w:ascii="华文宋体" w:eastAsia="华文宋体" w:hint="eastAsia"/>
                        <w:color w:val="000007"/>
                        <w:sz w:val="18"/>
                      </w:rPr>
                      <w:t>泰隆银行策略调优报告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spacing w:before="5"/>
      </w:pPr>
      <w:r>
        <w:rPr>
          <w:color w:val="000007"/>
        </w:rPr>
        <w:t>泰隆银行</w:t>
      </w:r>
    </w:p>
    <w:p>
      <w:pPr>
        <w:spacing w:line="753" w:lineRule="exact" w:before="0"/>
        <w:ind w:left="2" w:right="0" w:firstLine="0"/>
        <w:jc w:val="center"/>
        <w:rPr>
          <w:rFonts w:ascii="Microsoft JhengHei" w:eastAsia="Microsoft JhengHei" w:hint="eastAsia"/>
          <w:b/>
          <w:sz w:val="48"/>
        </w:rPr>
      </w:pPr>
      <w:r>
        <w:rPr>
          <w:rFonts w:ascii="Microsoft JhengHei" w:eastAsia="Microsoft JhengHei" w:hint="eastAsia"/>
          <w:b/>
          <w:color w:val="000007"/>
          <w:sz w:val="48"/>
        </w:rPr>
        <w:t>交易反欺诈策略调优报告</w:t>
      </w:r>
    </w:p>
    <w:p>
      <w:pPr>
        <w:spacing w:after="0" w:line="753" w:lineRule="exact"/>
        <w:jc w:val="center"/>
        <w:rPr>
          <w:rFonts w:ascii="Microsoft JhengHei" w:eastAsia="Microsoft JhengHei" w:hint="eastAsia"/>
          <w:sz w:val="48"/>
        </w:rPr>
        <w:sectPr>
          <w:type w:val="continuous"/>
          <w:pgSz w:w="11910" w:h="16840"/>
          <w:pgMar w:top="620" w:bottom="280" w:left="1480" w:right="1480"/>
        </w:sectPr>
      </w:pPr>
    </w:p>
    <w:p>
      <w:pPr>
        <w:pStyle w:val="BodyText"/>
        <w:spacing w:before="18"/>
        <w:rPr>
          <w:rFonts w:ascii="Microsoft JhengHei"/>
          <w:b/>
          <w:sz w:val="9"/>
        </w:rPr>
      </w:pPr>
    </w:p>
    <w:p>
      <w:pPr>
        <w:spacing w:before="54"/>
        <w:ind w:left="0" w:right="0" w:firstLine="0"/>
        <w:jc w:val="center"/>
        <w:rPr>
          <w:sz w:val="32"/>
        </w:rPr>
      </w:pPr>
      <w:r>
        <w:rPr>
          <w:sz w:val="32"/>
        </w:rPr>
        <w:t>修订记录</w:t>
      </w:r>
    </w:p>
    <w:p>
      <w:pPr>
        <w:pStyle w:val="BodyText"/>
        <w:spacing w:before="3"/>
        <w:rPr>
          <w:sz w:val="8"/>
        </w:rPr>
      </w:pPr>
    </w:p>
    <w:tbl>
      <w:tblPr>
        <w:tblW w:w="0" w:type="auto"/>
        <w:jc w:val="left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6"/>
        <w:gridCol w:w="1257"/>
        <w:gridCol w:w="3252"/>
        <w:gridCol w:w="992"/>
        <w:gridCol w:w="1008"/>
        <w:gridCol w:w="887"/>
      </w:tblGrid>
      <w:tr>
        <w:trPr>
          <w:trHeight w:val="395" w:hRule="atLeast"/>
        </w:trPr>
        <w:tc>
          <w:tcPr>
            <w:tcW w:w="906" w:type="dxa"/>
            <w:shd w:val="clear" w:color="auto" w:fill="D9D9D9"/>
          </w:tcPr>
          <w:p>
            <w:pPr>
              <w:pStyle w:val="TableParagraph"/>
              <w:spacing w:before="44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color w:val="000007"/>
                <w:w w:val="95"/>
                <w:sz w:val="24"/>
              </w:rPr>
              <w:t>版本</w:t>
            </w:r>
          </w:p>
        </w:tc>
        <w:tc>
          <w:tcPr>
            <w:tcW w:w="1257" w:type="dxa"/>
            <w:shd w:val="clear" w:color="auto" w:fill="D9D9D9"/>
          </w:tcPr>
          <w:p>
            <w:pPr>
              <w:pStyle w:val="TableParagraph"/>
              <w:spacing w:before="44"/>
              <w:ind w:left="16"/>
              <w:jc w:val="center"/>
              <w:rPr>
                <w:b/>
                <w:sz w:val="24"/>
              </w:rPr>
            </w:pPr>
            <w:r>
              <w:rPr>
                <w:b/>
                <w:color w:val="000007"/>
                <w:sz w:val="24"/>
              </w:rPr>
              <w:t>修订日期</w:t>
            </w:r>
          </w:p>
        </w:tc>
        <w:tc>
          <w:tcPr>
            <w:tcW w:w="3252" w:type="dxa"/>
            <w:shd w:val="clear" w:color="auto" w:fill="D9D9D9"/>
          </w:tcPr>
          <w:p>
            <w:pPr>
              <w:pStyle w:val="TableParagraph"/>
              <w:spacing w:before="44"/>
              <w:ind w:left="1123" w:right="1109"/>
              <w:jc w:val="center"/>
              <w:rPr>
                <w:b/>
                <w:sz w:val="24"/>
              </w:rPr>
            </w:pPr>
            <w:r>
              <w:rPr>
                <w:b/>
                <w:color w:val="000007"/>
                <w:sz w:val="24"/>
              </w:rPr>
              <w:t>修订说明</w:t>
            </w:r>
          </w:p>
        </w:tc>
        <w:tc>
          <w:tcPr>
            <w:tcW w:w="992" w:type="dxa"/>
            <w:shd w:val="clear" w:color="auto" w:fill="D9D9D9"/>
          </w:tcPr>
          <w:p>
            <w:pPr>
              <w:pStyle w:val="TableParagraph"/>
              <w:spacing w:before="44"/>
              <w:ind w:left="136"/>
              <w:rPr>
                <w:b/>
                <w:sz w:val="24"/>
              </w:rPr>
            </w:pPr>
            <w:r>
              <w:rPr>
                <w:b/>
                <w:color w:val="000007"/>
                <w:sz w:val="24"/>
              </w:rPr>
              <w:t>编写人</w:t>
            </w:r>
          </w:p>
        </w:tc>
        <w:tc>
          <w:tcPr>
            <w:tcW w:w="1008" w:type="dxa"/>
            <w:shd w:val="clear" w:color="auto" w:fill="D9D9D9"/>
          </w:tcPr>
          <w:p>
            <w:pPr>
              <w:pStyle w:val="TableParagraph"/>
              <w:spacing w:before="44"/>
              <w:ind w:left="143"/>
              <w:rPr>
                <w:b/>
                <w:sz w:val="24"/>
              </w:rPr>
            </w:pPr>
            <w:r>
              <w:rPr>
                <w:b/>
                <w:color w:val="000007"/>
                <w:sz w:val="24"/>
              </w:rPr>
              <w:t>审核人</w:t>
            </w:r>
          </w:p>
        </w:tc>
        <w:tc>
          <w:tcPr>
            <w:tcW w:w="887" w:type="dxa"/>
            <w:shd w:val="clear" w:color="auto" w:fill="D9D9D9"/>
          </w:tcPr>
          <w:p>
            <w:pPr>
              <w:pStyle w:val="TableParagraph"/>
              <w:spacing w:before="44"/>
              <w:ind w:left="83"/>
              <w:rPr>
                <w:b/>
                <w:sz w:val="24"/>
              </w:rPr>
            </w:pPr>
            <w:r>
              <w:rPr>
                <w:b/>
                <w:color w:val="000007"/>
                <w:sz w:val="24"/>
              </w:rPr>
              <w:t>批准人</w:t>
            </w:r>
          </w:p>
        </w:tc>
      </w:tr>
      <w:tr>
        <w:trPr>
          <w:trHeight w:val="431" w:hRule="atLeast"/>
        </w:trPr>
        <w:tc>
          <w:tcPr>
            <w:tcW w:w="906" w:type="dxa"/>
          </w:tcPr>
          <w:p>
            <w:pPr>
              <w:pStyle w:val="TableParagraph"/>
              <w:spacing w:before="61"/>
              <w:ind w:right="197"/>
              <w:jc w:val="right"/>
              <w:rPr>
                <w:sz w:val="24"/>
              </w:rPr>
            </w:pPr>
            <w:r>
              <w:rPr>
                <w:color w:val="000007"/>
                <w:sz w:val="24"/>
              </w:rPr>
              <w:t>V1.0</w:t>
            </w:r>
          </w:p>
        </w:tc>
        <w:tc>
          <w:tcPr>
            <w:tcW w:w="1257" w:type="dxa"/>
          </w:tcPr>
          <w:p>
            <w:pPr>
              <w:pStyle w:val="TableParagraph"/>
              <w:spacing w:before="61"/>
              <w:ind w:left="14"/>
              <w:jc w:val="center"/>
              <w:rPr>
                <w:sz w:val="24"/>
              </w:rPr>
            </w:pPr>
            <w:r>
              <w:rPr>
                <w:color w:val="000007"/>
                <w:sz w:val="24"/>
              </w:rPr>
              <w:t>2021/04/02</w:t>
            </w:r>
          </w:p>
        </w:tc>
        <w:tc>
          <w:tcPr>
            <w:tcW w:w="3252" w:type="dxa"/>
          </w:tcPr>
          <w:p>
            <w:pPr>
              <w:pStyle w:val="TableParagraph"/>
              <w:spacing w:before="61"/>
              <w:ind w:left="1121" w:right="1109"/>
              <w:jc w:val="center"/>
              <w:rPr>
                <w:sz w:val="24"/>
              </w:rPr>
            </w:pPr>
            <w:r>
              <w:rPr>
                <w:color w:val="000007"/>
                <w:sz w:val="24"/>
              </w:rPr>
              <w:t>新建</w:t>
            </w:r>
          </w:p>
        </w:tc>
        <w:tc>
          <w:tcPr>
            <w:tcW w:w="9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8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78" w:hRule="atLeast"/>
        </w:trPr>
        <w:tc>
          <w:tcPr>
            <w:tcW w:w="90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8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75" w:hRule="atLeast"/>
        </w:trPr>
        <w:tc>
          <w:tcPr>
            <w:tcW w:w="90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8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90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8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74" w:hRule="atLeast"/>
        </w:trPr>
        <w:tc>
          <w:tcPr>
            <w:tcW w:w="90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5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5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8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3157802</wp:posOffset>
            </wp:positionH>
            <wp:positionV relativeFrom="paragraph">
              <wp:posOffset>268515</wp:posOffset>
            </wp:positionV>
            <wp:extent cx="924005" cy="914400"/>
            <wp:effectExtent l="0" t="0" r="0" b="0"/>
            <wp:wrapTopAndBottom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00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headerReference w:type="default" r:id="rId6"/>
          <w:pgSz w:w="11910" w:h="16840"/>
          <w:pgMar w:header="811" w:footer="0" w:top="1300" w:bottom="280" w:left="1480" w:right="1480"/>
        </w:sectPr>
      </w:pPr>
    </w:p>
    <w:p>
      <w:pPr>
        <w:pStyle w:val="BodyText"/>
        <w:spacing w:before="4"/>
        <w:rPr>
          <w:sz w:val="14"/>
        </w:rPr>
      </w:pPr>
    </w:p>
    <w:p>
      <w:pPr>
        <w:tabs>
          <w:tab w:pos="1118" w:val="left" w:leader="none"/>
        </w:tabs>
        <w:spacing w:before="54"/>
        <w:ind w:left="477" w:right="0" w:firstLine="0"/>
        <w:jc w:val="center"/>
        <w:rPr>
          <w:sz w:val="32"/>
        </w:rPr>
      </w:pPr>
      <w:r>
        <w:rPr>
          <w:color w:val="000007"/>
          <w:sz w:val="32"/>
        </w:rPr>
        <w:t>目</w:t>
        <w:tab/>
        <w:t>录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240" w:val="left" w:leader="none"/>
              <w:tab w:pos="8727" w:val="right" w:leader="dot"/>
            </w:tabs>
            <w:spacing w:line="240" w:lineRule="auto" w:before="109" w:after="0"/>
            <w:ind w:left="348" w:right="107" w:hanging="349"/>
            <w:jc w:val="right"/>
            <w:rPr>
              <w:rFonts w:ascii="Arial" w:eastAsia="Arial"/>
            </w:rPr>
          </w:pPr>
          <w:hyperlink w:history="true" w:anchor="_bookmark0">
            <w:r>
              <w:rPr>
                <w:color w:val="000007"/>
              </w:rPr>
              <w:t>规则优化背景及目标需求</w:t>
              <w:tab/>
            </w:r>
            <w:r>
              <w:rPr>
                <w:rFonts w:ascii="Arial" w:eastAsia="Arial"/>
                <w:color w:val="000007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480" w:val="left" w:leader="none"/>
              <w:tab w:pos="8250" w:val="right" w:leader="dot"/>
            </w:tabs>
            <w:spacing w:line="240" w:lineRule="auto" w:before="36" w:after="0"/>
            <w:ind w:left="1068" w:right="104" w:hanging="1069"/>
            <w:jc w:val="right"/>
            <w:rPr>
              <w:rFonts w:ascii="Arial" w:eastAsia="Arial"/>
            </w:rPr>
          </w:pPr>
          <w:hyperlink w:history="true" w:anchor="_bookmark1">
            <w:r>
              <w:rPr>
                <w:color w:val="000007"/>
              </w:rPr>
              <w:t>背景</w:t>
              <w:tab/>
            </w:r>
            <w:r>
              <w:rPr>
                <w:rFonts w:ascii="Arial" w:eastAsia="Arial"/>
                <w:color w:val="000007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480" w:val="left" w:leader="none"/>
              <w:tab w:pos="8250" w:val="right" w:leader="dot"/>
            </w:tabs>
            <w:spacing w:line="240" w:lineRule="auto" w:before="67" w:after="0"/>
            <w:ind w:left="1068" w:right="104" w:hanging="1069"/>
            <w:jc w:val="right"/>
            <w:rPr>
              <w:rFonts w:ascii="Arial" w:eastAsia="Arial"/>
            </w:rPr>
          </w:pPr>
          <w:hyperlink w:history="true" w:anchor="_bookmark1">
            <w:r>
              <w:rPr>
                <w:color w:val="000007"/>
              </w:rPr>
              <w:t>目标需求</w:t>
              <w:tab/>
            </w:r>
            <w:r>
              <w:rPr>
                <w:rFonts w:ascii="Arial" w:eastAsia="Arial"/>
                <w:color w:val="000007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40" w:val="left" w:leader="none"/>
              <w:tab w:pos="8730" w:val="right" w:leader="dot"/>
            </w:tabs>
            <w:spacing w:line="240" w:lineRule="auto" w:before="33" w:after="0"/>
            <w:ind w:left="348" w:right="104" w:hanging="349"/>
            <w:jc w:val="right"/>
            <w:rPr>
              <w:rFonts w:ascii="Arial" w:eastAsia="Arial"/>
            </w:rPr>
          </w:pPr>
          <w:hyperlink w:history="true" w:anchor="_bookmark0">
            <w:r>
              <w:rPr>
                <w:color w:val="000007"/>
              </w:rPr>
              <w:t>调优数据使用</w:t>
              <w:tab/>
            </w:r>
            <w:r>
              <w:rPr>
                <w:rFonts w:ascii="Arial" w:eastAsia="Arial"/>
                <w:color w:val="000007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40" w:val="left" w:leader="none"/>
              <w:tab w:pos="8730" w:val="right" w:leader="dot"/>
            </w:tabs>
            <w:spacing w:line="240" w:lineRule="auto" w:before="5" w:after="0"/>
            <w:ind w:left="348" w:right="104" w:hanging="349"/>
            <w:jc w:val="right"/>
            <w:rPr>
              <w:rFonts w:ascii="Arial" w:eastAsia="Arial"/>
            </w:rPr>
          </w:pPr>
          <w:hyperlink w:history="true" w:anchor="_bookmark2">
            <w:r>
              <w:rPr>
                <w:color w:val="000007"/>
              </w:rPr>
              <w:t>渠道调用详情</w:t>
              <w:tab/>
            </w:r>
            <w:r>
              <w:rPr>
                <w:rFonts w:ascii="Arial" w:eastAsia="Arial"/>
                <w:color w:val="000007"/>
              </w:rPr>
              <w:t>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480" w:val="left" w:leader="none"/>
              <w:tab w:pos="8250" w:val="right" w:leader="dot"/>
            </w:tabs>
            <w:spacing w:line="240" w:lineRule="auto" w:before="35" w:after="0"/>
            <w:ind w:left="1068" w:right="104" w:hanging="1069"/>
            <w:jc w:val="right"/>
            <w:rPr>
              <w:rFonts w:ascii="Arial" w:eastAsia="Arial"/>
            </w:rPr>
          </w:pPr>
          <w:hyperlink w:history="true" w:anchor="_bookmark3">
            <w:r>
              <w:rPr>
                <w:color w:val="000007"/>
              </w:rPr>
              <w:t>手机银行风险概况</w:t>
              <w:tab/>
            </w:r>
            <w:r>
              <w:rPr>
                <w:rFonts w:ascii="Arial" w:eastAsia="Arial"/>
                <w:color w:val="000007"/>
              </w:rPr>
              <w:t>5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720" w:val="left" w:leader="none"/>
              <w:tab w:pos="7770" w:val="right" w:leader="dot"/>
            </w:tabs>
            <w:spacing w:line="240" w:lineRule="auto" w:before="70" w:after="0"/>
            <w:ind w:left="1788" w:right="104" w:hanging="1789"/>
            <w:jc w:val="right"/>
            <w:rPr>
              <w:rFonts w:ascii="Arial" w:eastAsia="Arial"/>
            </w:rPr>
          </w:pPr>
          <w:hyperlink w:history="true" w:anchor="_bookmark4">
            <w:r>
              <w:rPr>
                <w:color w:val="000007"/>
              </w:rPr>
              <w:t>近</w:t>
            </w:r>
            <w:r>
              <w:rPr>
                <w:color w:val="000007"/>
                <w:spacing w:val="-60"/>
              </w:rPr>
              <w:t> </w:t>
            </w:r>
            <w:r>
              <w:rPr>
                <w:color w:val="000007"/>
              </w:rPr>
              <w:t>90</w:t>
            </w:r>
            <w:r>
              <w:rPr>
                <w:color w:val="000007"/>
                <w:spacing w:val="-60"/>
              </w:rPr>
              <w:t> </w:t>
            </w:r>
            <w:r>
              <w:rPr>
                <w:color w:val="000007"/>
              </w:rPr>
              <w:t>天全场景调用量及风险趋势分析</w:t>
              <w:tab/>
            </w:r>
            <w:r>
              <w:rPr>
                <w:rFonts w:ascii="Arial" w:eastAsia="Arial"/>
                <w:color w:val="000007"/>
              </w:rPr>
              <w:t>5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720" w:val="left" w:leader="none"/>
              <w:tab w:pos="7770" w:val="right" w:leader="dot"/>
            </w:tabs>
            <w:spacing w:line="240" w:lineRule="auto" w:before="64" w:after="0"/>
            <w:ind w:left="1788" w:right="104" w:hanging="1789"/>
            <w:jc w:val="right"/>
            <w:rPr>
              <w:rFonts w:ascii="Arial" w:eastAsia="Arial"/>
            </w:rPr>
          </w:pPr>
          <w:r>
            <w:rPr>
              <w:color w:val="000007"/>
            </w:rPr>
            <w:t>近</w:t>
          </w:r>
          <w:r>
            <w:rPr>
              <w:color w:val="000007"/>
              <w:spacing w:val="-60"/>
            </w:rPr>
            <w:t> </w:t>
          </w:r>
          <w:r>
            <w:rPr>
              <w:color w:val="000007"/>
            </w:rPr>
            <w:t>90</w:t>
          </w:r>
          <w:r>
            <w:rPr>
              <w:color w:val="000007"/>
              <w:spacing w:val="-60"/>
            </w:rPr>
            <w:t> </w:t>
          </w:r>
          <w:r>
            <w:rPr>
              <w:color w:val="000007"/>
            </w:rPr>
            <w:t>天各事件调用量及风险趋势分析</w:t>
            <w:tab/>
          </w:r>
          <w:r>
            <w:rPr>
              <w:rFonts w:ascii="Arial" w:eastAsia="Arial"/>
              <w:color w:val="000007"/>
            </w:rPr>
            <w:t>6</w:t>
          </w:r>
        </w:p>
        <w:p>
          <w:pPr>
            <w:pStyle w:val="TOC2"/>
            <w:numPr>
              <w:ilvl w:val="2"/>
              <w:numId w:val="1"/>
            </w:numPr>
            <w:tabs>
              <w:tab w:pos="720" w:val="left" w:leader="none"/>
              <w:tab w:pos="7769" w:val="right" w:leader="dot"/>
            </w:tabs>
            <w:spacing w:line="240" w:lineRule="auto" w:before="70" w:after="0"/>
            <w:ind w:left="1788" w:right="105" w:hanging="1789"/>
            <w:jc w:val="right"/>
            <w:rPr>
              <w:rFonts w:ascii="Arial" w:eastAsia="Arial"/>
            </w:rPr>
          </w:pPr>
          <w:r>
            <w:rPr>
              <w:color w:val="000007"/>
            </w:rPr>
            <w:t>近</w:t>
          </w:r>
          <w:r>
            <w:rPr>
              <w:color w:val="000007"/>
              <w:spacing w:val="-60"/>
            </w:rPr>
            <w:t> </w:t>
          </w:r>
          <w:r>
            <w:rPr>
              <w:color w:val="000007"/>
            </w:rPr>
            <w:t>90</w:t>
          </w:r>
          <w:r>
            <w:rPr>
              <w:color w:val="000007"/>
              <w:spacing w:val="-60"/>
            </w:rPr>
            <w:t> </w:t>
          </w:r>
          <w:r>
            <w:rPr>
              <w:color w:val="000007"/>
            </w:rPr>
            <w:t>天风险决策分析</w:t>
            <w:tab/>
          </w:r>
          <w:r>
            <w:rPr>
              <w:rFonts w:ascii="Arial" w:eastAsia="Arial"/>
              <w:color w:val="000007"/>
            </w:rPr>
            <w:t>13</w:t>
          </w:r>
        </w:p>
        <w:p>
          <w:pPr>
            <w:pStyle w:val="TOC2"/>
            <w:numPr>
              <w:ilvl w:val="2"/>
              <w:numId w:val="1"/>
            </w:numPr>
            <w:tabs>
              <w:tab w:pos="720" w:val="left" w:leader="none"/>
              <w:tab w:pos="7769" w:val="right" w:leader="dot"/>
            </w:tabs>
            <w:spacing w:line="240" w:lineRule="auto" w:before="66" w:after="0"/>
            <w:ind w:left="1788" w:right="105" w:hanging="1789"/>
            <w:jc w:val="right"/>
            <w:rPr>
              <w:rFonts w:ascii="Arial" w:eastAsia="Arial"/>
            </w:rPr>
          </w:pPr>
          <w:r>
            <w:rPr>
              <w:color w:val="000007"/>
            </w:rPr>
            <w:t>近</w:t>
          </w:r>
          <w:r>
            <w:rPr>
              <w:color w:val="000007"/>
              <w:spacing w:val="-60"/>
            </w:rPr>
            <w:t> </w:t>
          </w:r>
          <w:r>
            <w:rPr>
              <w:color w:val="000007"/>
            </w:rPr>
            <w:t>90</w:t>
          </w:r>
          <w:r>
            <w:rPr>
              <w:color w:val="000007"/>
              <w:spacing w:val="-60"/>
            </w:rPr>
            <w:t> </w:t>
          </w:r>
          <w:r>
            <w:rPr>
              <w:color w:val="000007"/>
            </w:rPr>
            <w:t>天各事件类型风险决策分析</w:t>
            <w:tab/>
          </w:r>
          <w:r>
            <w:rPr>
              <w:rFonts w:ascii="Arial" w:eastAsia="Arial"/>
              <w:color w:val="000007"/>
            </w:rPr>
            <w:t>13</w:t>
          </w:r>
        </w:p>
        <w:p>
          <w:pPr>
            <w:pStyle w:val="TOC2"/>
            <w:numPr>
              <w:ilvl w:val="1"/>
              <w:numId w:val="1"/>
            </w:numPr>
            <w:tabs>
              <w:tab w:pos="480" w:val="left" w:leader="none"/>
              <w:tab w:pos="8249" w:val="right" w:leader="dot"/>
            </w:tabs>
            <w:spacing w:line="240" w:lineRule="auto" w:before="65" w:after="0"/>
            <w:ind w:left="1068" w:right="105" w:hanging="1069"/>
            <w:jc w:val="right"/>
            <w:rPr>
              <w:rFonts w:ascii="Arial" w:eastAsia="Arial"/>
            </w:rPr>
          </w:pPr>
          <w:r>
            <w:rPr>
              <w:color w:val="000007"/>
            </w:rPr>
            <w:t>个人网银风险概况</w:t>
            <w:tab/>
          </w:r>
          <w:r>
            <w:rPr>
              <w:rFonts w:ascii="Arial" w:eastAsia="Arial"/>
              <w:color w:val="000007"/>
            </w:rPr>
            <w:t>14</w:t>
          </w:r>
        </w:p>
        <w:p>
          <w:pPr>
            <w:pStyle w:val="TOC2"/>
            <w:numPr>
              <w:ilvl w:val="2"/>
              <w:numId w:val="1"/>
            </w:numPr>
            <w:tabs>
              <w:tab w:pos="720" w:val="left" w:leader="none"/>
              <w:tab w:pos="7769" w:val="right" w:leader="dot"/>
            </w:tabs>
            <w:spacing w:line="240" w:lineRule="auto" w:before="69" w:after="0"/>
            <w:ind w:left="1788" w:right="105" w:hanging="1789"/>
            <w:jc w:val="right"/>
            <w:rPr>
              <w:rFonts w:ascii="Arial" w:eastAsia="Arial"/>
            </w:rPr>
          </w:pPr>
          <w:r>
            <w:rPr>
              <w:color w:val="000007"/>
            </w:rPr>
            <w:t>近</w:t>
          </w:r>
          <w:r>
            <w:rPr>
              <w:color w:val="000007"/>
              <w:spacing w:val="-60"/>
            </w:rPr>
            <w:t> </w:t>
          </w:r>
          <w:r>
            <w:rPr>
              <w:color w:val="000007"/>
            </w:rPr>
            <w:t>90</w:t>
          </w:r>
          <w:r>
            <w:rPr>
              <w:color w:val="000007"/>
              <w:spacing w:val="-60"/>
            </w:rPr>
            <w:t> </w:t>
          </w:r>
          <w:r>
            <w:rPr>
              <w:color w:val="000007"/>
            </w:rPr>
            <w:t>天全场景调用量及风险趋势分析</w:t>
            <w:tab/>
          </w:r>
          <w:r>
            <w:rPr>
              <w:rFonts w:ascii="Arial" w:eastAsia="Arial"/>
              <w:color w:val="000007"/>
            </w:rPr>
            <w:t>14</w:t>
          </w:r>
        </w:p>
        <w:p>
          <w:pPr>
            <w:pStyle w:val="TOC2"/>
            <w:numPr>
              <w:ilvl w:val="2"/>
              <w:numId w:val="1"/>
            </w:numPr>
            <w:tabs>
              <w:tab w:pos="720" w:val="left" w:leader="none"/>
              <w:tab w:pos="7769" w:val="right" w:leader="dot"/>
            </w:tabs>
            <w:spacing w:line="240" w:lineRule="auto" w:before="65" w:after="0"/>
            <w:ind w:left="1788" w:right="105" w:hanging="1789"/>
            <w:jc w:val="right"/>
            <w:rPr>
              <w:rFonts w:ascii="Arial" w:eastAsia="Arial"/>
            </w:rPr>
          </w:pPr>
          <w:r>
            <w:rPr>
              <w:color w:val="000007"/>
            </w:rPr>
            <w:t>近</w:t>
          </w:r>
          <w:r>
            <w:rPr>
              <w:color w:val="000007"/>
              <w:spacing w:val="-60"/>
            </w:rPr>
            <w:t> </w:t>
          </w:r>
          <w:r>
            <w:rPr>
              <w:color w:val="000007"/>
            </w:rPr>
            <w:t>90</w:t>
          </w:r>
          <w:r>
            <w:rPr>
              <w:color w:val="000007"/>
              <w:spacing w:val="-60"/>
            </w:rPr>
            <w:t> </w:t>
          </w:r>
          <w:r>
            <w:rPr>
              <w:color w:val="000007"/>
            </w:rPr>
            <w:t>天各事件调用量及风险趋势分析</w:t>
            <w:tab/>
          </w:r>
          <w:r>
            <w:rPr>
              <w:rFonts w:ascii="Arial" w:eastAsia="Arial"/>
              <w:color w:val="000007"/>
            </w:rPr>
            <w:t>15</w:t>
          </w:r>
        </w:p>
        <w:p>
          <w:pPr>
            <w:pStyle w:val="TOC2"/>
            <w:numPr>
              <w:ilvl w:val="2"/>
              <w:numId w:val="1"/>
            </w:numPr>
            <w:tabs>
              <w:tab w:pos="720" w:val="left" w:leader="none"/>
              <w:tab w:pos="7769" w:val="right" w:leader="dot"/>
            </w:tabs>
            <w:spacing w:line="240" w:lineRule="auto" w:before="67" w:after="0"/>
            <w:ind w:left="1788" w:right="105" w:hanging="1789"/>
            <w:jc w:val="right"/>
            <w:rPr>
              <w:rFonts w:ascii="Arial" w:eastAsia="Arial"/>
            </w:rPr>
          </w:pPr>
          <w:r>
            <w:rPr>
              <w:color w:val="000007"/>
            </w:rPr>
            <w:t>近</w:t>
          </w:r>
          <w:r>
            <w:rPr>
              <w:color w:val="000007"/>
              <w:spacing w:val="-60"/>
            </w:rPr>
            <w:t> </w:t>
          </w:r>
          <w:r>
            <w:rPr>
              <w:color w:val="000007"/>
            </w:rPr>
            <w:t>90</w:t>
          </w:r>
          <w:r>
            <w:rPr>
              <w:color w:val="000007"/>
              <w:spacing w:val="-60"/>
            </w:rPr>
            <w:t> </w:t>
          </w:r>
          <w:r>
            <w:rPr>
              <w:color w:val="000007"/>
            </w:rPr>
            <w:t>天风险决策分析</w:t>
            <w:tab/>
          </w:r>
          <w:r>
            <w:rPr>
              <w:rFonts w:ascii="Arial" w:eastAsia="Arial"/>
              <w:color w:val="000007"/>
            </w:rPr>
            <w:t>20</w:t>
          </w:r>
        </w:p>
        <w:p>
          <w:pPr>
            <w:pStyle w:val="TOC2"/>
            <w:numPr>
              <w:ilvl w:val="2"/>
              <w:numId w:val="1"/>
            </w:numPr>
            <w:tabs>
              <w:tab w:pos="720" w:val="left" w:leader="none"/>
              <w:tab w:pos="7769" w:val="right" w:leader="dot"/>
            </w:tabs>
            <w:spacing w:line="240" w:lineRule="auto" w:before="69" w:after="0"/>
            <w:ind w:left="1788" w:right="105" w:hanging="1789"/>
            <w:jc w:val="right"/>
            <w:rPr>
              <w:rFonts w:ascii="Arial" w:eastAsia="Arial"/>
            </w:rPr>
          </w:pPr>
          <w:r>
            <w:rPr>
              <w:color w:val="000007"/>
            </w:rPr>
            <w:t>近</w:t>
          </w:r>
          <w:r>
            <w:rPr>
              <w:color w:val="000007"/>
              <w:spacing w:val="-60"/>
            </w:rPr>
            <w:t> </w:t>
          </w:r>
          <w:r>
            <w:rPr>
              <w:color w:val="000007"/>
            </w:rPr>
            <w:t>90</w:t>
          </w:r>
          <w:r>
            <w:rPr>
              <w:color w:val="000007"/>
              <w:spacing w:val="-60"/>
            </w:rPr>
            <w:t> </w:t>
          </w:r>
          <w:r>
            <w:rPr>
              <w:color w:val="000007"/>
            </w:rPr>
            <w:t>天各事件类型风险决策分析</w:t>
            <w:tab/>
          </w:r>
          <w:r>
            <w:rPr>
              <w:rFonts w:ascii="Arial" w:eastAsia="Arial"/>
              <w:color w:val="000007"/>
            </w:rPr>
            <w:t>20</w:t>
          </w:r>
        </w:p>
        <w:p>
          <w:pPr>
            <w:pStyle w:val="TOC1"/>
            <w:numPr>
              <w:ilvl w:val="0"/>
              <w:numId w:val="1"/>
            </w:numPr>
            <w:tabs>
              <w:tab w:pos="240" w:val="left" w:leader="none"/>
              <w:tab w:pos="8729" w:val="right" w:leader="dot"/>
            </w:tabs>
            <w:spacing w:line="240" w:lineRule="auto" w:before="33" w:after="0"/>
            <w:ind w:left="348" w:right="105" w:hanging="349"/>
            <w:jc w:val="right"/>
            <w:rPr>
              <w:rFonts w:ascii="Arial" w:eastAsia="Arial"/>
            </w:rPr>
          </w:pPr>
          <w:r>
            <w:rPr>
              <w:color w:val="000007"/>
            </w:rPr>
            <w:t>数据质量分析</w:t>
            <w:tab/>
          </w:r>
          <w:r>
            <w:rPr>
              <w:rFonts w:ascii="Arial" w:eastAsia="Arial"/>
              <w:color w:val="000007"/>
            </w:rPr>
            <w:t>21</w:t>
          </w:r>
        </w:p>
        <w:p>
          <w:pPr>
            <w:pStyle w:val="TOC2"/>
            <w:numPr>
              <w:ilvl w:val="1"/>
              <w:numId w:val="1"/>
            </w:numPr>
            <w:tabs>
              <w:tab w:pos="480" w:val="left" w:leader="none"/>
              <w:tab w:pos="8249" w:val="right" w:leader="dot"/>
            </w:tabs>
            <w:spacing w:line="240" w:lineRule="auto" w:before="36" w:after="0"/>
            <w:ind w:left="1068" w:right="105" w:hanging="1069"/>
            <w:jc w:val="right"/>
            <w:rPr>
              <w:rFonts w:ascii="Arial" w:eastAsia="Arial"/>
            </w:rPr>
          </w:pPr>
          <w:r>
            <w:rPr>
              <w:color w:val="000007"/>
            </w:rPr>
            <w:t>规则入参关键字段获取率</w:t>
            <w:tab/>
          </w:r>
          <w:r>
            <w:rPr>
              <w:rFonts w:ascii="Arial" w:eastAsia="Arial"/>
              <w:color w:val="000007"/>
            </w:rPr>
            <w:t>21</w:t>
          </w:r>
        </w:p>
        <w:p>
          <w:pPr>
            <w:pStyle w:val="TOC1"/>
            <w:numPr>
              <w:ilvl w:val="0"/>
              <w:numId w:val="1"/>
            </w:numPr>
            <w:tabs>
              <w:tab w:pos="240" w:val="left" w:leader="none"/>
              <w:tab w:pos="8729" w:val="right" w:leader="dot"/>
            </w:tabs>
            <w:spacing w:line="240" w:lineRule="auto" w:before="38" w:after="0"/>
            <w:ind w:left="348" w:right="105" w:hanging="349"/>
            <w:jc w:val="right"/>
            <w:rPr>
              <w:rFonts w:ascii="Arial" w:eastAsia="Arial"/>
            </w:rPr>
          </w:pPr>
          <w:r>
            <w:rPr>
              <w:color w:val="000007"/>
            </w:rPr>
            <w:t>规则命中情况</w:t>
            <w:tab/>
          </w:r>
          <w:r>
            <w:rPr>
              <w:rFonts w:ascii="Arial" w:eastAsia="Arial"/>
              <w:color w:val="000007"/>
            </w:rPr>
            <w:t>22</w:t>
          </w:r>
        </w:p>
        <w:p>
          <w:pPr>
            <w:pStyle w:val="TOC2"/>
            <w:numPr>
              <w:ilvl w:val="1"/>
              <w:numId w:val="1"/>
            </w:numPr>
            <w:tabs>
              <w:tab w:pos="480" w:val="left" w:leader="none"/>
              <w:tab w:pos="8249" w:val="right" w:leader="dot"/>
            </w:tabs>
            <w:spacing w:line="240" w:lineRule="auto" w:before="36" w:after="0"/>
            <w:ind w:left="1068" w:right="105" w:hanging="1069"/>
            <w:jc w:val="right"/>
            <w:rPr>
              <w:rFonts w:ascii="Arial" w:eastAsia="Arial"/>
            </w:rPr>
          </w:pPr>
          <w:r>
            <w:rPr>
              <w:color w:val="000007"/>
            </w:rPr>
            <w:t>手机银行规则触发情况</w:t>
            <w:tab/>
          </w:r>
          <w:r>
            <w:rPr>
              <w:rFonts w:ascii="Arial" w:eastAsia="Arial"/>
              <w:color w:val="000007"/>
            </w:rPr>
            <w:t>22</w:t>
          </w:r>
        </w:p>
        <w:p>
          <w:pPr>
            <w:pStyle w:val="TOC2"/>
            <w:numPr>
              <w:ilvl w:val="1"/>
              <w:numId w:val="1"/>
            </w:numPr>
            <w:tabs>
              <w:tab w:pos="480" w:val="left" w:leader="none"/>
              <w:tab w:pos="8249" w:val="right" w:leader="dot"/>
            </w:tabs>
            <w:spacing w:line="240" w:lineRule="auto" w:before="64" w:after="0"/>
            <w:ind w:left="1068" w:right="105" w:hanging="1069"/>
            <w:jc w:val="right"/>
            <w:rPr>
              <w:rFonts w:ascii="Arial" w:eastAsia="Arial"/>
            </w:rPr>
          </w:pPr>
          <w:r>
            <w:rPr>
              <w:color w:val="000007"/>
            </w:rPr>
            <w:t>个人网银规则触发情况</w:t>
            <w:tab/>
          </w:r>
          <w:r>
            <w:rPr>
              <w:rFonts w:ascii="Arial" w:eastAsia="Arial"/>
              <w:color w:val="000007"/>
            </w:rPr>
            <w:t>23</w:t>
          </w:r>
        </w:p>
        <w:p>
          <w:pPr>
            <w:pStyle w:val="TOC1"/>
            <w:numPr>
              <w:ilvl w:val="0"/>
              <w:numId w:val="1"/>
            </w:numPr>
            <w:tabs>
              <w:tab w:pos="240" w:val="left" w:leader="none"/>
              <w:tab w:pos="8729" w:val="right" w:leader="dot"/>
            </w:tabs>
            <w:spacing w:line="240" w:lineRule="auto" w:before="36" w:after="0"/>
            <w:ind w:left="348" w:right="105" w:hanging="349"/>
            <w:jc w:val="right"/>
            <w:rPr>
              <w:rFonts w:ascii="Arial" w:eastAsia="Arial"/>
            </w:rPr>
          </w:pPr>
          <w:r>
            <w:rPr>
              <w:color w:val="000007"/>
            </w:rPr>
            <w:t>规则优化</w:t>
            <w:tab/>
          </w:r>
          <w:r>
            <w:rPr>
              <w:rFonts w:ascii="Arial" w:eastAsia="Arial"/>
              <w:color w:val="000007"/>
            </w:rPr>
            <w:t>23</w:t>
          </w:r>
        </w:p>
        <w:p>
          <w:pPr>
            <w:pStyle w:val="TOC2"/>
            <w:numPr>
              <w:ilvl w:val="1"/>
              <w:numId w:val="1"/>
            </w:numPr>
            <w:tabs>
              <w:tab w:pos="480" w:val="left" w:leader="none"/>
              <w:tab w:pos="8249" w:val="right" w:leader="dot"/>
            </w:tabs>
            <w:spacing w:line="240" w:lineRule="auto" w:before="36" w:after="0"/>
            <w:ind w:left="1068" w:right="105" w:hanging="1069"/>
            <w:jc w:val="right"/>
            <w:rPr>
              <w:rFonts w:ascii="Arial" w:eastAsia="Arial"/>
            </w:rPr>
          </w:pPr>
          <w:r>
            <w:rPr>
              <w:color w:val="000007"/>
            </w:rPr>
            <w:t>各场景规则优化</w:t>
            <w:tab/>
          </w:r>
          <w:r>
            <w:rPr>
              <w:rFonts w:ascii="Arial" w:eastAsia="Arial"/>
              <w:color w:val="000007"/>
            </w:rPr>
            <w:t>23</w:t>
          </w:r>
        </w:p>
        <w:p>
          <w:pPr>
            <w:pStyle w:val="TOC2"/>
            <w:numPr>
              <w:ilvl w:val="2"/>
              <w:numId w:val="1"/>
            </w:numPr>
            <w:tabs>
              <w:tab w:pos="720" w:val="left" w:leader="none"/>
              <w:tab w:pos="7769" w:val="right" w:leader="dot"/>
            </w:tabs>
            <w:spacing w:line="240" w:lineRule="auto" w:before="69" w:after="0"/>
            <w:ind w:left="1788" w:right="105" w:hanging="1789"/>
            <w:jc w:val="right"/>
            <w:rPr>
              <w:rFonts w:ascii="Arial" w:eastAsia="Arial"/>
            </w:rPr>
          </w:pPr>
          <w:r>
            <w:rPr>
              <w:color w:val="000007"/>
            </w:rPr>
            <w:t>新增规则</w:t>
            <w:tab/>
          </w:r>
          <w:r>
            <w:rPr>
              <w:rFonts w:ascii="Arial" w:eastAsia="Arial"/>
              <w:color w:val="000007"/>
            </w:rPr>
            <w:t>23</w:t>
          </w:r>
        </w:p>
        <w:p>
          <w:pPr>
            <w:pStyle w:val="TOC2"/>
            <w:numPr>
              <w:ilvl w:val="2"/>
              <w:numId w:val="1"/>
            </w:numPr>
            <w:tabs>
              <w:tab w:pos="720" w:val="left" w:leader="none"/>
              <w:tab w:pos="7769" w:val="right" w:leader="dot"/>
            </w:tabs>
            <w:spacing w:line="240" w:lineRule="auto" w:before="64" w:after="0"/>
            <w:ind w:left="1788" w:right="105" w:hanging="1789"/>
            <w:jc w:val="right"/>
            <w:rPr>
              <w:rFonts w:ascii="Arial" w:eastAsia="Arial"/>
            </w:rPr>
          </w:pPr>
          <w:r>
            <w:rPr>
              <w:color w:val="000007"/>
            </w:rPr>
            <w:t>调整规则</w:t>
            <w:tab/>
          </w:r>
          <w:r>
            <w:rPr>
              <w:rFonts w:ascii="Arial" w:eastAsia="Arial"/>
              <w:color w:val="000007"/>
            </w:rPr>
            <w:t>27</w:t>
          </w:r>
        </w:p>
        <w:p>
          <w:pPr>
            <w:pStyle w:val="TOC2"/>
            <w:numPr>
              <w:ilvl w:val="2"/>
              <w:numId w:val="1"/>
            </w:numPr>
            <w:tabs>
              <w:tab w:pos="720" w:val="left" w:leader="none"/>
              <w:tab w:pos="7769" w:val="right" w:leader="dot"/>
            </w:tabs>
            <w:spacing w:line="240" w:lineRule="auto" w:before="70" w:after="0"/>
            <w:ind w:left="1788" w:right="105" w:hanging="1789"/>
            <w:jc w:val="right"/>
            <w:rPr>
              <w:rFonts w:ascii="Arial" w:eastAsia="Arial"/>
            </w:rPr>
          </w:pPr>
          <w:r>
            <w:rPr>
              <w:color w:val="000007"/>
            </w:rPr>
            <w:t>下线规则</w:t>
            <w:tab/>
          </w:r>
          <w:r>
            <w:rPr>
              <w:rFonts w:ascii="Arial" w:eastAsia="Arial"/>
              <w:color w:val="000007"/>
            </w:rPr>
            <w:t>33</w:t>
          </w:r>
        </w:p>
        <w:p>
          <w:pPr>
            <w:pStyle w:val="TOC1"/>
            <w:numPr>
              <w:ilvl w:val="0"/>
              <w:numId w:val="1"/>
            </w:numPr>
            <w:tabs>
              <w:tab w:pos="240" w:val="left" w:leader="none"/>
              <w:tab w:pos="8729" w:val="right" w:leader="dot"/>
            </w:tabs>
            <w:spacing w:line="240" w:lineRule="auto" w:before="35" w:after="0"/>
            <w:ind w:left="348" w:right="105" w:hanging="349"/>
            <w:jc w:val="right"/>
            <w:rPr>
              <w:rFonts w:ascii="Arial" w:eastAsia="Arial"/>
            </w:rPr>
          </w:pPr>
          <w:r>
            <w:rPr>
              <w:color w:val="000007"/>
            </w:rPr>
            <w:t>优化规则优化效果总结</w:t>
            <w:tab/>
          </w:r>
          <w:r>
            <w:rPr>
              <w:rFonts w:ascii="Arial" w:eastAsia="Arial"/>
              <w:color w:val="000007"/>
            </w:rPr>
            <w:t>34</w:t>
          </w:r>
        </w:p>
        <w:p>
          <w:pPr>
            <w:pStyle w:val="TOC2"/>
            <w:numPr>
              <w:ilvl w:val="1"/>
              <w:numId w:val="1"/>
            </w:numPr>
            <w:tabs>
              <w:tab w:pos="480" w:val="left" w:leader="none"/>
              <w:tab w:pos="8249" w:val="right" w:leader="dot"/>
            </w:tabs>
            <w:spacing w:line="240" w:lineRule="auto" w:before="34" w:after="0"/>
            <w:ind w:left="1068" w:right="105" w:hanging="1069"/>
            <w:jc w:val="right"/>
            <w:rPr>
              <w:rFonts w:ascii="Arial" w:eastAsia="Arial"/>
            </w:rPr>
          </w:pPr>
          <w:r>
            <w:rPr>
              <w:color w:val="000007"/>
            </w:rPr>
            <w:t>优化规则及对应调整项汇总</w:t>
            <w:tab/>
          </w:r>
          <w:r>
            <w:rPr>
              <w:rFonts w:ascii="Arial" w:eastAsia="Arial"/>
              <w:color w:val="000007"/>
            </w:rPr>
            <w:t>34</w:t>
          </w:r>
        </w:p>
        <w:p>
          <w:pPr>
            <w:pStyle w:val="TOC2"/>
            <w:numPr>
              <w:ilvl w:val="1"/>
              <w:numId w:val="1"/>
            </w:numPr>
            <w:tabs>
              <w:tab w:pos="480" w:val="left" w:leader="none"/>
              <w:tab w:pos="8249" w:val="right" w:leader="dot"/>
            </w:tabs>
            <w:spacing w:line="240" w:lineRule="auto" w:before="69" w:after="0"/>
            <w:ind w:left="1068" w:right="105" w:hanging="1069"/>
            <w:jc w:val="right"/>
            <w:rPr>
              <w:rFonts w:ascii="Arial" w:eastAsia="Arial"/>
            </w:rPr>
          </w:pPr>
          <w:r>
            <w:rPr>
              <w:color w:val="000007"/>
            </w:rPr>
            <w:t>优化后策略整体效果预期</w:t>
            <w:tab/>
          </w:r>
          <w:r>
            <w:rPr>
              <w:rFonts w:ascii="Arial" w:eastAsia="Arial"/>
              <w:color w:val="000007"/>
            </w:rPr>
            <w:t>34</w:t>
          </w:r>
        </w:p>
        <w:p>
          <w:pPr>
            <w:pStyle w:val="TOC2"/>
            <w:numPr>
              <w:ilvl w:val="1"/>
              <w:numId w:val="1"/>
            </w:numPr>
            <w:tabs>
              <w:tab w:pos="480" w:val="left" w:leader="none"/>
              <w:tab w:pos="8249" w:val="right" w:leader="dot"/>
            </w:tabs>
            <w:spacing w:line="240" w:lineRule="auto" w:before="67" w:after="0"/>
            <w:ind w:left="1068" w:right="105" w:hanging="1069"/>
            <w:jc w:val="right"/>
            <w:rPr>
              <w:rFonts w:ascii="Arial" w:eastAsia="Arial"/>
            </w:rPr>
          </w:pPr>
          <w:r>
            <w:rPr>
              <w:color w:val="000007"/>
            </w:rPr>
            <w:t>策略运营的后续建议</w:t>
            <w:tab/>
          </w:r>
          <w:r>
            <w:rPr>
              <w:rFonts w:ascii="Arial" w:eastAsia="Arial"/>
              <w:color w:val="000007"/>
            </w:rPr>
            <w:t>34</w:t>
          </w:r>
        </w:p>
      </w:sdtContent>
    </w:sdt>
    <w:p>
      <w:pPr>
        <w:spacing w:after="0" w:line="240" w:lineRule="auto"/>
        <w:jc w:val="right"/>
        <w:rPr>
          <w:rFonts w:ascii="Arial" w:eastAsia="Arial"/>
        </w:rPr>
        <w:sectPr>
          <w:pgSz w:w="11910" w:h="16840"/>
          <w:pgMar w:header="811" w:footer="0" w:top="1300" w:bottom="280" w:left="1480" w:right="1480"/>
        </w:sectPr>
      </w:pPr>
    </w:p>
    <w:p>
      <w:pPr>
        <w:pStyle w:val="Heading2"/>
        <w:numPr>
          <w:ilvl w:val="0"/>
          <w:numId w:val="2"/>
        </w:numPr>
        <w:tabs>
          <w:tab w:pos="739" w:val="left" w:leader="none"/>
          <w:tab w:pos="740" w:val="left" w:leader="none"/>
        </w:tabs>
        <w:spacing w:line="240" w:lineRule="auto" w:before="237" w:after="0"/>
        <w:ind w:left="740" w:right="0" w:hanging="420"/>
        <w:jc w:val="left"/>
      </w:pPr>
      <w:bookmarkStart w:name="1规则优化背景及目标需求" w:id="1"/>
      <w:bookmarkEnd w:id="1"/>
      <w:r>
        <w:rPr>
          <w:b w:val="0"/>
        </w:rPr>
      </w:r>
      <w:bookmarkStart w:name="1.1背景" w:id="2"/>
      <w:bookmarkEnd w:id="2"/>
      <w:r>
        <w:rPr>
          <w:b w:val="0"/>
        </w:rPr>
      </w:r>
      <w:bookmarkStart w:name="1.2目标需求" w:id="3"/>
      <w:bookmarkEnd w:id="3"/>
      <w:r>
        <w:rPr>
          <w:b w:val="0"/>
        </w:rPr>
      </w:r>
      <w:bookmarkStart w:name="2调优数据使用" w:id="4"/>
      <w:bookmarkEnd w:id="4"/>
      <w:r>
        <w:rPr>
          <w:b w:val="0"/>
        </w:rPr>
      </w:r>
      <w:bookmarkStart w:name="_bookmark0" w:id="5"/>
      <w:bookmarkEnd w:id="5"/>
      <w:r>
        <w:rPr>
          <w:b w:val="0"/>
        </w:rPr>
      </w:r>
      <w:bookmarkStart w:name="_bookmark1" w:id="6"/>
      <w:bookmarkEnd w:id="6"/>
      <w:r>
        <w:rPr>
          <w:color w:val="000007"/>
        </w:rPr>
        <w:t>规则优化背景及目标需求</w:t>
      </w:r>
    </w:p>
    <w:p>
      <w:pPr>
        <w:pStyle w:val="Heading3"/>
        <w:numPr>
          <w:ilvl w:val="1"/>
          <w:numId w:val="2"/>
        </w:numPr>
        <w:tabs>
          <w:tab w:pos="896" w:val="left" w:leader="none"/>
        </w:tabs>
        <w:spacing w:line="240" w:lineRule="auto" w:before="110" w:after="0"/>
        <w:ind w:left="896" w:right="0" w:hanging="576"/>
        <w:jc w:val="left"/>
      </w:pPr>
      <w:r>
        <w:rPr/>
        <w:t>背景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spacing w:line="364" w:lineRule="auto"/>
        <w:ind w:left="320" w:right="317" w:firstLine="480"/>
        <w:jc w:val="both"/>
      </w:pPr>
      <w:r>
        <w:rPr>
          <w:color w:val="000007"/>
          <w:spacing w:val="-6"/>
        </w:rPr>
        <w:t>泰隆银行反欺诈系统已正式上线运行半年左右时间，本次优化主要针对手机</w:t>
      </w:r>
      <w:r>
        <w:rPr>
          <w:color w:val="000007"/>
          <w:spacing w:val="-10"/>
        </w:rPr>
        <w:t>银行、个人网银渠道下的规则运行情况进行综合性评估并进行相应调整，使得整</w:t>
      </w:r>
      <w:r>
        <w:rPr>
          <w:color w:val="000007"/>
        </w:rPr>
        <w:t>体策略更好的满足当前业务风控需求。</w:t>
      </w:r>
    </w:p>
    <w:p>
      <w:pPr>
        <w:pStyle w:val="Heading3"/>
        <w:numPr>
          <w:ilvl w:val="1"/>
          <w:numId w:val="2"/>
        </w:numPr>
        <w:tabs>
          <w:tab w:pos="896" w:val="left" w:leader="none"/>
        </w:tabs>
        <w:spacing w:line="309" w:lineRule="exact" w:before="0" w:after="0"/>
        <w:ind w:left="896" w:right="0" w:hanging="576"/>
        <w:jc w:val="left"/>
      </w:pPr>
      <w:r>
        <w:rPr/>
        <w:t>目标需求</w:t>
      </w:r>
    </w:p>
    <w:p>
      <w:pPr>
        <w:pStyle w:val="BodyText"/>
        <w:spacing w:before="4"/>
        <w:rPr>
          <w:b/>
          <w:sz w:val="15"/>
        </w:rPr>
      </w:pPr>
    </w:p>
    <w:tbl>
      <w:tblPr>
        <w:tblW w:w="0" w:type="auto"/>
        <w:jc w:val="left"/>
        <w:tblInd w:w="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7"/>
        <w:gridCol w:w="6607"/>
      </w:tblGrid>
      <w:tr>
        <w:trPr>
          <w:trHeight w:val="467" w:hRule="atLeast"/>
        </w:trPr>
        <w:tc>
          <w:tcPr>
            <w:tcW w:w="8454" w:type="dxa"/>
            <w:gridSpan w:val="2"/>
            <w:shd w:val="clear" w:color="auto" w:fill="E7E6E6"/>
          </w:tcPr>
          <w:p>
            <w:pPr>
              <w:pStyle w:val="TableParagraph"/>
              <w:spacing w:before="81"/>
              <w:ind w:left="3245" w:right="3231"/>
              <w:jc w:val="center"/>
              <w:rPr>
                <w:b/>
                <w:sz w:val="24"/>
              </w:rPr>
            </w:pPr>
            <w:r>
              <w:rPr>
                <w:b/>
                <w:color w:val="000007"/>
                <w:sz w:val="24"/>
              </w:rPr>
              <w:t>规则优化需求明细</w:t>
            </w:r>
          </w:p>
        </w:tc>
      </w:tr>
      <w:tr>
        <w:trPr>
          <w:trHeight w:val="935" w:hRule="atLeast"/>
        </w:trPr>
        <w:tc>
          <w:tcPr>
            <w:tcW w:w="1847" w:type="dxa"/>
          </w:tcPr>
          <w:p>
            <w:pPr>
              <w:pStyle w:val="TableParagraph"/>
              <w:spacing w:before="6"/>
              <w:rPr>
                <w:b/>
                <w:sz w:val="24"/>
              </w:rPr>
            </w:pPr>
          </w:p>
          <w:p>
            <w:pPr>
              <w:pStyle w:val="TableParagraph"/>
              <w:ind w:left="203"/>
              <w:rPr>
                <w:sz w:val="24"/>
              </w:rPr>
            </w:pPr>
            <w:r>
              <w:rPr>
                <w:color w:val="000007"/>
                <w:sz w:val="24"/>
              </w:rPr>
              <w:t>规则调优目标</w:t>
            </w:r>
          </w:p>
        </w:tc>
        <w:tc>
          <w:tcPr>
            <w:tcW w:w="6607" w:type="dxa"/>
          </w:tcPr>
          <w:p>
            <w:pPr>
              <w:pStyle w:val="TableParagraph"/>
              <w:spacing w:before="81"/>
              <w:ind w:left="108"/>
              <w:rPr>
                <w:sz w:val="24"/>
              </w:rPr>
            </w:pPr>
            <w:r>
              <w:rPr>
                <w:color w:val="000007"/>
                <w:sz w:val="24"/>
              </w:rPr>
              <w:t>1、规则健康度诊断</w:t>
            </w:r>
          </w:p>
          <w:p>
            <w:pPr>
              <w:pStyle w:val="TableParagraph"/>
              <w:spacing w:before="161"/>
              <w:ind w:left="108"/>
              <w:rPr>
                <w:sz w:val="24"/>
              </w:rPr>
            </w:pPr>
            <w:r>
              <w:rPr>
                <w:color w:val="000007"/>
                <w:sz w:val="24"/>
              </w:rPr>
              <w:t>2、对整体拒绝率、预警率进行优化</w:t>
            </w:r>
          </w:p>
        </w:tc>
      </w:tr>
      <w:tr>
        <w:trPr>
          <w:trHeight w:val="468" w:hRule="atLeast"/>
        </w:trPr>
        <w:tc>
          <w:tcPr>
            <w:tcW w:w="1847" w:type="dxa"/>
          </w:tcPr>
          <w:p>
            <w:pPr>
              <w:pStyle w:val="TableParagraph"/>
              <w:spacing w:before="81"/>
              <w:ind w:left="203"/>
              <w:rPr>
                <w:sz w:val="24"/>
              </w:rPr>
            </w:pPr>
            <w:r>
              <w:rPr>
                <w:color w:val="000007"/>
                <w:sz w:val="24"/>
              </w:rPr>
              <w:t>规则调优类型</w:t>
            </w:r>
          </w:p>
        </w:tc>
        <w:tc>
          <w:tcPr>
            <w:tcW w:w="6607" w:type="dxa"/>
          </w:tcPr>
          <w:p>
            <w:pPr>
              <w:pStyle w:val="TableParagraph"/>
              <w:spacing w:before="81"/>
              <w:ind w:left="108"/>
              <w:rPr>
                <w:sz w:val="24"/>
              </w:rPr>
            </w:pPr>
            <w:r>
              <w:rPr>
                <w:color w:val="000007"/>
                <w:sz w:val="24"/>
              </w:rPr>
              <w:t>常规优化</w:t>
            </w:r>
          </w:p>
        </w:tc>
      </w:tr>
      <w:tr>
        <w:trPr>
          <w:trHeight w:val="467" w:hRule="atLeast"/>
        </w:trPr>
        <w:tc>
          <w:tcPr>
            <w:tcW w:w="1847" w:type="dxa"/>
          </w:tcPr>
          <w:p>
            <w:pPr>
              <w:pStyle w:val="TableParagraph"/>
              <w:spacing w:before="80"/>
              <w:ind w:left="203"/>
              <w:rPr>
                <w:sz w:val="24"/>
              </w:rPr>
            </w:pPr>
            <w:r>
              <w:rPr>
                <w:color w:val="000007"/>
                <w:sz w:val="24"/>
              </w:rPr>
              <w:t>规则调优内容</w:t>
            </w:r>
          </w:p>
        </w:tc>
        <w:tc>
          <w:tcPr>
            <w:tcW w:w="6607" w:type="dxa"/>
          </w:tcPr>
          <w:p>
            <w:pPr>
              <w:pStyle w:val="TableParagraph"/>
              <w:spacing w:before="80"/>
              <w:ind w:left="108"/>
              <w:rPr>
                <w:sz w:val="24"/>
              </w:rPr>
            </w:pPr>
            <w:r>
              <w:rPr>
                <w:color w:val="000007"/>
                <w:sz w:val="24"/>
              </w:rPr>
              <w:t>风险特征补充、阈值调整、权重分调整</w:t>
            </w:r>
          </w:p>
        </w:tc>
      </w:tr>
      <w:tr>
        <w:trPr>
          <w:trHeight w:val="467" w:hRule="atLeast"/>
        </w:trPr>
        <w:tc>
          <w:tcPr>
            <w:tcW w:w="1847" w:type="dxa"/>
          </w:tcPr>
          <w:p>
            <w:pPr>
              <w:pStyle w:val="TableParagraph"/>
              <w:spacing w:before="80"/>
              <w:ind w:left="203"/>
              <w:rPr>
                <w:sz w:val="24"/>
              </w:rPr>
            </w:pPr>
            <w:r>
              <w:rPr>
                <w:color w:val="000007"/>
                <w:sz w:val="24"/>
              </w:rPr>
              <w:t>规则调优方式</w:t>
            </w:r>
          </w:p>
        </w:tc>
        <w:tc>
          <w:tcPr>
            <w:tcW w:w="6607" w:type="dxa"/>
          </w:tcPr>
          <w:p>
            <w:pPr>
              <w:pStyle w:val="TableParagraph"/>
              <w:spacing w:before="80"/>
              <w:ind w:left="108"/>
              <w:rPr>
                <w:sz w:val="24"/>
              </w:rPr>
            </w:pPr>
            <w:r>
              <w:rPr>
                <w:color w:val="000007"/>
                <w:sz w:val="24"/>
              </w:rPr>
              <w:t>专家经验</w:t>
            </w:r>
          </w:p>
        </w:tc>
      </w:tr>
      <w:tr>
        <w:trPr>
          <w:trHeight w:val="468" w:hRule="atLeast"/>
        </w:trPr>
        <w:tc>
          <w:tcPr>
            <w:tcW w:w="1847" w:type="dxa"/>
          </w:tcPr>
          <w:p>
            <w:pPr>
              <w:pStyle w:val="TableParagraph"/>
              <w:spacing w:before="82"/>
              <w:ind w:left="203"/>
              <w:rPr>
                <w:sz w:val="24"/>
              </w:rPr>
            </w:pPr>
            <w:r>
              <w:rPr>
                <w:color w:val="000007"/>
                <w:sz w:val="24"/>
              </w:rPr>
              <w:t>规则调优模式</w:t>
            </w:r>
          </w:p>
        </w:tc>
        <w:tc>
          <w:tcPr>
            <w:tcW w:w="6607" w:type="dxa"/>
          </w:tcPr>
          <w:p>
            <w:pPr>
              <w:pStyle w:val="TableParagraph"/>
              <w:spacing w:before="82"/>
              <w:ind w:left="108"/>
              <w:rPr>
                <w:sz w:val="24"/>
              </w:rPr>
            </w:pPr>
            <w:r>
              <w:rPr>
                <w:color w:val="000007"/>
                <w:sz w:val="24"/>
              </w:rPr>
              <w:t>同盾主导调优</w:t>
            </w:r>
          </w:p>
        </w:tc>
      </w:tr>
    </w:tbl>
    <w:p>
      <w:pPr>
        <w:pStyle w:val="BodyText"/>
        <w:spacing w:before="5"/>
        <w:rPr>
          <w:b/>
          <w:sz w:val="5"/>
        </w:rPr>
      </w:pPr>
    </w:p>
    <w:p>
      <w:pPr>
        <w:spacing w:after="0"/>
        <w:rPr>
          <w:sz w:val="5"/>
        </w:rPr>
        <w:sectPr>
          <w:headerReference w:type="default" r:id="rId8"/>
          <w:pgSz w:w="11910" w:h="16840"/>
          <w:pgMar w:header="811" w:footer="0" w:top="1300" w:bottom="280" w:left="1480" w:right="1480"/>
        </w:sectPr>
      </w:pPr>
    </w:p>
    <w:p>
      <w:pPr>
        <w:pStyle w:val="BodyText"/>
        <w:spacing w:before="2"/>
        <w:rPr>
          <w:b/>
          <w:sz w:val="36"/>
        </w:rPr>
      </w:pPr>
    </w:p>
    <w:p>
      <w:pPr>
        <w:pStyle w:val="Heading2"/>
        <w:numPr>
          <w:ilvl w:val="0"/>
          <w:numId w:val="2"/>
        </w:numPr>
        <w:tabs>
          <w:tab w:pos="739" w:val="left" w:leader="none"/>
          <w:tab w:pos="740" w:val="left" w:leader="none"/>
        </w:tabs>
        <w:spacing w:line="240" w:lineRule="auto" w:before="0" w:after="0"/>
        <w:ind w:left="740" w:right="0" w:hanging="420"/>
        <w:jc w:val="left"/>
      </w:pPr>
      <w:r>
        <w:rPr>
          <w:color w:val="000007"/>
        </w:rPr>
        <w:t>调优数据使用</w:t>
      </w:r>
    </w:p>
    <w:p>
      <w:pPr>
        <w:spacing w:before="53"/>
        <w:ind w:left="320" w:right="0" w:firstLine="0"/>
        <w:jc w:val="left"/>
        <w:rPr>
          <w:sz w:val="18"/>
        </w:rPr>
      </w:pPr>
      <w:r>
        <w:rPr/>
        <w:br w:type="column"/>
      </w:r>
      <w:r>
        <w:rPr>
          <w:color w:val="000007"/>
          <w:sz w:val="18"/>
        </w:rPr>
        <w:t>表 1.1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620" w:bottom="280" w:left="1480" w:right="1480"/>
          <w:cols w:num="2" w:equalWidth="0">
            <w:col w:w="2705" w:space="1195"/>
            <w:col w:w="5050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line="364" w:lineRule="auto" w:before="66"/>
        <w:ind w:left="320" w:right="317" w:firstLine="480"/>
        <w:jc w:val="both"/>
      </w:pPr>
      <w:r>
        <w:rPr/>
        <w:pict>
          <v:shape style="position:absolute;margin-left:84.360001pt;margin-top:69.550011pt;width:426.55pt;height:167.8pt;mso-position-horizontal-relative:page;mso-position-vertical-relative:paragraph;z-index:2516613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80"/>
                    <w:gridCol w:w="1414"/>
                    <w:gridCol w:w="5822"/>
                  </w:tblGrid>
                  <w:tr>
                    <w:trPr>
                      <w:trHeight w:val="467" w:hRule="atLeast"/>
                    </w:trPr>
                    <w:tc>
                      <w:tcPr>
                        <w:tcW w:w="8516" w:type="dxa"/>
                        <w:gridSpan w:val="3"/>
                        <w:shd w:val="clear" w:color="auto" w:fill="E7E6E6"/>
                      </w:tcPr>
                      <w:p>
                        <w:pPr>
                          <w:pStyle w:val="TableParagraph"/>
                          <w:spacing w:before="81"/>
                          <w:ind w:left="3756" w:right="3745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000007"/>
                            <w:sz w:val="24"/>
                          </w:rPr>
                          <w:t>数据来源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2694" w:type="dxa"/>
                        <w:gridSpan w:val="2"/>
                      </w:tcPr>
                      <w:p>
                        <w:pPr>
                          <w:pStyle w:val="TableParagraph"/>
                          <w:spacing w:before="81"/>
                          <w:ind w:left="866"/>
                          <w:rPr>
                            <w:sz w:val="24"/>
                          </w:rPr>
                        </w:pPr>
                        <w:r>
                          <w:rPr>
                            <w:color w:val="000007"/>
                            <w:sz w:val="24"/>
                          </w:rPr>
                          <w:t>覆盖渠道</w:t>
                        </w:r>
                      </w:p>
                    </w:tc>
                    <w:tc>
                      <w:tcPr>
                        <w:tcW w:w="5822" w:type="dxa"/>
                      </w:tcPr>
                      <w:p>
                        <w:pPr>
                          <w:pStyle w:val="TableParagraph"/>
                          <w:spacing w:before="81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color w:val="000007"/>
                            <w:sz w:val="24"/>
                          </w:rPr>
                          <w:t>手机银行渠道、个人网银渠道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2694" w:type="dxa"/>
                        <w:gridSpan w:val="2"/>
                      </w:tcPr>
                      <w:p>
                        <w:pPr>
                          <w:pStyle w:val="TableParagraph"/>
                          <w:spacing w:before="80"/>
                          <w:ind w:left="866"/>
                          <w:rPr>
                            <w:sz w:val="24"/>
                          </w:rPr>
                        </w:pPr>
                        <w:r>
                          <w:rPr>
                            <w:color w:val="000007"/>
                            <w:sz w:val="24"/>
                          </w:rPr>
                          <w:t>数据周期</w:t>
                        </w:r>
                      </w:p>
                    </w:tc>
                    <w:tc>
                      <w:tcPr>
                        <w:tcW w:w="5822" w:type="dxa"/>
                      </w:tcPr>
                      <w:p>
                        <w:pPr>
                          <w:pStyle w:val="TableParagraph"/>
                          <w:spacing w:before="80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color w:val="000007"/>
                            <w:sz w:val="24"/>
                          </w:rPr>
                          <w:t>2021.1.1-2021.3.31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1280" w:type="dxa"/>
                        <w:vMerge w:val="restart"/>
                      </w:tcPr>
                      <w:p>
                        <w:pPr>
                          <w:pStyle w:val="TableParagraph"/>
                          <w:spacing w:before="12"/>
                          <w:rPr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ind w:left="160"/>
                          <w:rPr>
                            <w:sz w:val="24"/>
                          </w:rPr>
                        </w:pPr>
                        <w:r>
                          <w:rPr>
                            <w:color w:val="000007"/>
                            <w:sz w:val="24"/>
                          </w:rPr>
                          <w:t>事件类型</w:t>
                        </w:r>
                      </w:p>
                    </w:tc>
                    <w:tc>
                      <w:tcPr>
                        <w:tcW w:w="1414" w:type="dxa"/>
                      </w:tcPr>
                      <w:p>
                        <w:pPr>
                          <w:pStyle w:val="TableParagraph"/>
                          <w:spacing w:before="80"/>
                          <w:ind w:left="206" w:right="19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000007"/>
                            <w:sz w:val="24"/>
                          </w:rPr>
                          <w:t>个人网银</w:t>
                        </w:r>
                      </w:p>
                    </w:tc>
                    <w:tc>
                      <w:tcPr>
                        <w:tcW w:w="5822" w:type="dxa"/>
                      </w:tcPr>
                      <w:p>
                        <w:pPr>
                          <w:pStyle w:val="TableParagraph"/>
                          <w:spacing w:before="80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color w:val="000007"/>
                            <w:sz w:val="24"/>
                          </w:rPr>
                          <w:t>注册、登录、签约、修改、转账</w:t>
                        </w:r>
                      </w:p>
                    </w:tc>
                  </w:tr>
                  <w:tr>
                    <w:trPr>
                      <w:trHeight w:val="468" w:hRule="atLeast"/>
                    </w:trPr>
                    <w:tc>
                      <w:tcPr>
                        <w:tcW w:w="1280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414" w:type="dxa"/>
                      </w:tcPr>
                      <w:p>
                        <w:pPr>
                          <w:pStyle w:val="TableParagraph"/>
                          <w:spacing w:before="79"/>
                          <w:ind w:left="206" w:right="19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color w:val="000007"/>
                            <w:sz w:val="24"/>
                          </w:rPr>
                          <w:t>手机银行</w:t>
                        </w:r>
                      </w:p>
                    </w:tc>
                    <w:tc>
                      <w:tcPr>
                        <w:tcW w:w="5822" w:type="dxa"/>
                      </w:tcPr>
                      <w:p>
                        <w:pPr>
                          <w:pStyle w:val="TableParagraph"/>
                          <w:spacing w:before="79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color w:val="000007"/>
                            <w:sz w:val="24"/>
                          </w:rPr>
                          <w:t>注册、登录、开户、绑卡、修改、转账、理财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2694" w:type="dxa"/>
                        <w:gridSpan w:val="2"/>
                      </w:tcPr>
                      <w:p>
                        <w:pPr>
                          <w:pStyle w:val="TableParagraph"/>
                          <w:spacing w:before="79"/>
                          <w:ind w:left="746"/>
                          <w:rPr>
                            <w:sz w:val="24"/>
                          </w:rPr>
                        </w:pPr>
                        <w:r>
                          <w:rPr>
                            <w:color w:val="000007"/>
                            <w:sz w:val="24"/>
                          </w:rPr>
                          <w:t>客户端类型</w:t>
                        </w:r>
                      </w:p>
                    </w:tc>
                    <w:tc>
                      <w:tcPr>
                        <w:tcW w:w="5822" w:type="dxa"/>
                      </w:tcPr>
                      <w:p>
                        <w:pPr>
                          <w:pStyle w:val="TableParagraph"/>
                          <w:spacing w:before="79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color w:val="000007"/>
                            <w:sz w:val="24"/>
                          </w:rPr>
                          <w:t>安卓、IOS、PC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2694" w:type="dxa"/>
                        <w:gridSpan w:val="2"/>
                      </w:tcPr>
                      <w:p>
                        <w:pPr>
                          <w:pStyle w:val="TableParagraph"/>
                          <w:spacing w:before="81"/>
                          <w:ind w:left="626"/>
                          <w:rPr>
                            <w:sz w:val="24"/>
                          </w:rPr>
                        </w:pPr>
                        <w:r>
                          <w:rPr>
                            <w:color w:val="000007"/>
                            <w:sz w:val="24"/>
                          </w:rPr>
                          <w:t>是否有黑样本</w:t>
                        </w:r>
                      </w:p>
                    </w:tc>
                    <w:tc>
                      <w:tcPr>
                        <w:tcW w:w="5822" w:type="dxa"/>
                      </w:tcPr>
                      <w:p>
                        <w:pPr>
                          <w:pStyle w:val="TableParagraph"/>
                          <w:spacing w:before="81"/>
                          <w:ind w:left="106"/>
                          <w:rPr>
                            <w:sz w:val="24"/>
                          </w:rPr>
                        </w:pPr>
                        <w:r>
                          <w:rPr>
                            <w:color w:val="000007"/>
                            <w:sz w:val="24"/>
                          </w:rPr>
                          <w:t>无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000007"/>
          <w:spacing w:val="-4"/>
        </w:rPr>
        <w:t>通过反欺诈系统分渠道分事件类型下载近 </w:t>
      </w:r>
      <w:r>
        <w:rPr>
          <w:color w:val="000007"/>
        </w:rPr>
        <w:t>90</w:t>
      </w:r>
      <w:r>
        <w:rPr>
          <w:color w:val="000007"/>
          <w:spacing w:val="-24"/>
        </w:rPr>
        <w:t> 天数据，对数据按 </w:t>
      </w:r>
      <w:r>
        <w:rPr>
          <w:color w:val="000007"/>
        </w:rPr>
        <w:t>2021</w:t>
      </w:r>
      <w:r>
        <w:rPr>
          <w:color w:val="000007"/>
          <w:spacing w:val="-20"/>
        </w:rPr>
        <w:t> 年度自</w:t>
      </w:r>
      <w:r>
        <w:rPr>
          <w:color w:val="000007"/>
          <w:spacing w:val="-8"/>
        </w:rPr>
        <w:t>然周统计策略运营概况，并对整体数据质量做问题剖析，综合评估数据质量是否</w:t>
      </w:r>
      <w:r>
        <w:rPr>
          <w:color w:val="000007"/>
        </w:rPr>
        <w:t>满足规则配置和规则优化的要求。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5"/>
        </w:rPr>
      </w:pPr>
    </w:p>
    <w:p>
      <w:pPr>
        <w:spacing w:before="0"/>
        <w:ind w:left="0" w:right="0" w:firstLine="0"/>
        <w:jc w:val="center"/>
        <w:rPr>
          <w:sz w:val="18"/>
        </w:rPr>
      </w:pPr>
      <w:r>
        <w:rPr>
          <w:color w:val="000007"/>
          <w:sz w:val="18"/>
        </w:rPr>
        <w:t>表 2.1</w:t>
      </w:r>
    </w:p>
    <w:p>
      <w:pPr>
        <w:spacing w:after="0"/>
        <w:jc w:val="center"/>
        <w:rPr>
          <w:sz w:val="18"/>
        </w:rPr>
        <w:sectPr>
          <w:type w:val="continuous"/>
          <w:pgSz w:w="11910" w:h="16840"/>
          <w:pgMar w:top="620" w:bottom="280" w:left="1480" w:right="148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Heading2"/>
        <w:numPr>
          <w:ilvl w:val="0"/>
          <w:numId w:val="2"/>
        </w:numPr>
        <w:tabs>
          <w:tab w:pos="739" w:val="left" w:leader="none"/>
          <w:tab w:pos="740" w:val="left" w:leader="none"/>
        </w:tabs>
        <w:spacing w:line="240" w:lineRule="auto" w:before="54" w:after="0"/>
        <w:ind w:left="740" w:right="0" w:hanging="420"/>
        <w:jc w:val="left"/>
      </w:pPr>
      <w:bookmarkStart w:name="3渠道调用详情" w:id="7"/>
      <w:bookmarkEnd w:id="7"/>
      <w:r>
        <w:rPr>
          <w:b w:val="0"/>
        </w:rPr>
      </w:r>
      <w:bookmarkStart w:name="3.1手机银行风险概况" w:id="8"/>
      <w:bookmarkEnd w:id="8"/>
      <w:r>
        <w:rPr>
          <w:b w:val="0"/>
        </w:rPr>
      </w:r>
      <w:bookmarkStart w:name="_bookmark2" w:id="9"/>
      <w:bookmarkEnd w:id="9"/>
      <w:r>
        <w:rPr>
          <w:b w:val="0"/>
        </w:rPr>
      </w:r>
      <w:bookmarkStart w:name="_bookmark3" w:id="10"/>
      <w:bookmarkEnd w:id="10"/>
      <w:r>
        <w:rPr>
          <w:color w:val="000007"/>
        </w:rPr>
        <w:t>渠道调用详情</w:t>
      </w:r>
    </w:p>
    <w:p>
      <w:pPr>
        <w:pStyle w:val="BodyText"/>
        <w:spacing w:before="3"/>
        <w:rPr>
          <w:b/>
          <w:sz w:val="27"/>
        </w:rPr>
      </w:pPr>
    </w:p>
    <w:p>
      <w:pPr>
        <w:pStyle w:val="Heading3"/>
        <w:numPr>
          <w:ilvl w:val="1"/>
          <w:numId w:val="2"/>
        </w:numPr>
        <w:tabs>
          <w:tab w:pos="896" w:val="left" w:leader="none"/>
        </w:tabs>
        <w:spacing w:line="240" w:lineRule="auto" w:before="0" w:after="0"/>
        <w:ind w:left="896" w:right="0" w:hanging="576"/>
        <w:jc w:val="left"/>
      </w:pPr>
      <w:r>
        <w:rPr/>
        <w:t>手机银行风险概况</w:t>
      </w:r>
    </w:p>
    <w:p>
      <w:pPr>
        <w:pStyle w:val="BodyText"/>
        <w:spacing w:before="2"/>
        <w:rPr>
          <w:b/>
          <w:sz w:val="34"/>
        </w:rPr>
      </w:pPr>
    </w:p>
    <w:p>
      <w:pPr>
        <w:pStyle w:val="ListParagraph"/>
        <w:numPr>
          <w:ilvl w:val="2"/>
          <w:numId w:val="2"/>
        </w:numPr>
        <w:tabs>
          <w:tab w:pos="1220" w:val="left" w:leader="none"/>
        </w:tabs>
        <w:spacing w:line="240" w:lineRule="auto" w:before="0" w:after="0"/>
        <w:ind w:left="1220" w:right="0" w:hanging="720"/>
        <w:jc w:val="left"/>
        <w:rPr>
          <w:b/>
          <w:sz w:val="28"/>
        </w:rPr>
      </w:pPr>
      <w:r>
        <w:rPr>
          <w:b/>
          <w:spacing w:val="-37"/>
          <w:sz w:val="28"/>
        </w:rPr>
        <w:t>近 </w:t>
      </w:r>
      <w:r>
        <w:rPr>
          <w:b/>
          <w:sz w:val="28"/>
        </w:rPr>
        <w:t>90</w:t>
      </w:r>
      <w:r>
        <w:rPr>
          <w:b/>
          <w:spacing w:val="-9"/>
          <w:sz w:val="28"/>
        </w:rPr>
        <w:t> 天全场景调用量及风险趋势分析</w:t>
      </w:r>
    </w:p>
    <w:p>
      <w:pPr>
        <w:pStyle w:val="BodyText"/>
        <w:spacing w:before="4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1123950</wp:posOffset>
            </wp:positionH>
            <wp:positionV relativeFrom="paragraph">
              <wp:posOffset>100671</wp:posOffset>
            </wp:positionV>
            <wp:extent cx="5393955" cy="5556504"/>
            <wp:effectExtent l="0" t="0" r="0" b="0"/>
            <wp:wrapTopAndBottom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955" cy="5556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0"/>
        </w:rPr>
      </w:pPr>
    </w:p>
    <w:p>
      <w:pPr>
        <w:pStyle w:val="BodyText"/>
        <w:spacing w:line="292" w:lineRule="auto"/>
        <w:ind w:left="320" w:right="405" w:firstLine="120"/>
      </w:pPr>
      <w:r>
        <w:rPr>
          <w:color w:val="000007"/>
        </w:rPr>
        <w:t>【趋势解读】1</w:t>
      </w:r>
      <w:r>
        <w:rPr>
          <w:color w:val="000007"/>
          <w:spacing w:val="-9"/>
        </w:rPr>
        <w:t> 月达预警率最高位，原因是受月底理财事件影响，需排查确认</w:t>
      </w:r>
      <w:r>
        <w:rPr>
          <w:color w:val="000007"/>
        </w:rPr>
        <w:t>当日敏感时间段赎回失败异常增多原因。</w:t>
      </w:r>
    </w:p>
    <w:sectPr>
      <w:pgSz w:w="11910" w:h="16840"/>
      <w:pgMar w:header="811" w:footer="0" w:top="1300" w:bottom="280" w:left="1480" w:right="14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icrosoft JhengHei">
    <w:altName w:val="Microsoft JhengHe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仿宋">
    <w:altName w:val="仿宋"/>
    <w:charset w:val="86"/>
    <w:family w:val="modern"/>
    <w:pitch w:val="fixed"/>
  </w:font>
  <w:font w:name="华文宋体">
    <w:altName w:val="华文宋体"/>
    <w:charset w:val="86"/>
    <w:family w:val="auto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9.400002pt;margin-top:40.560024pt;width:436.5pt;height:25pt;mso-position-horizontal-relative:page;mso-position-vertical-relative:page;z-index:-252109824" coordorigin="1588,811" coordsize="8730,500">
          <v:line style="position:absolute" from="1588,1278" to="10318,1278" stroked="true" strokeweight=".72pt" strokecolor="#000000">
            <v:stroke dashstyle="solid"/>
          </v:line>
          <v:shape style="position:absolute;left:8277;top:811;width:1791;height:50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78.440002pt;margin-top:48.910023pt;width:92pt;height:11pt;mso-position-horizontal-relative:page;mso-position-vertical-relative:page;z-index:-252108800" type="#_x0000_t202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rFonts w:ascii="华文宋体" w:eastAsia="华文宋体" w:hint="eastAsia"/>
                    <w:sz w:val="18"/>
                  </w:rPr>
                </w:pPr>
                <w:r>
                  <w:rPr>
                    <w:rFonts w:ascii="华文宋体" w:eastAsia="华文宋体" w:hint="eastAsia"/>
                    <w:color w:val="000007"/>
                    <w:sz w:val="18"/>
                  </w:rPr>
                  <w:t>泰隆银行策略调优报告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90pt;margin-top:40.560024pt;width:424.1pt;height:25pt;mso-position-horizontal-relative:page;mso-position-vertical-relative:page;z-index:-252107776" coordorigin="1800,811" coordsize="8482,500">
          <v:line style="position:absolute" from="1800,1278" to="10106,1278" stroked="true" strokeweight=".72pt" strokecolor="#000000">
            <v:stroke dashstyle="solid"/>
          </v:line>
          <v:shape style="position:absolute;left:8491;top:811;width:1791;height:50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89pt;margin-top:48.910023pt;width:92pt;height:11pt;mso-position-horizontal-relative:page;mso-position-vertical-relative:page;z-index:-252106752" type="#_x0000_t202" filled="false" stroked="false">
          <v:textbox inset="0,0,0,0">
            <w:txbxContent>
              <w:p>
                <w:pPr>
                  <w:spacing w:line="220" w:lineRule="exact" w:before="0"/>
                  <w:ind w:left="20" w:right="0" w:firstLine="0"/>
                  <w:jc w:val="left"/>
                  <w:rPr>
                    <w:rFonts w:ascii="华文宋体" w:eastAsia="华文宋体" w:hint="eastAsia"/>
                    <w:sz w:val="18"/>
                  </w:rPr>
                </w:pPr>
                <w:r>
                  <w:rPr>
                    <w:rFonts w:ascii="华文宋体" w:eastAsia="华文宋体" w:hint="eastAsia"/>
                    <w:color w:val="000007"/>
                    <w:sz w:val="18"/>
                  </w:rPr>
                  <w:t>泰隆银行策略调优报告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"/>
      <w:lvlJc w:val="left"/>
      <w:pPr>
        <w:ind w:left="740" w:hanging="420"/>
        <w:jc w:val="left"/>
      </w:pPr>
      <w:rPr>
        <w:rFonts w:hint="default" w:ascii="仿宋" w:hAnsi="仿宋" w:eastAsia="仿宋" w:cs="仿宋"/>
        <w:b/>
        <w:bCs/>
        <w:color w:val="000007"/>
        <w:w w:val="98"/>
        <w:sz w:val="32"/>
        <w:szCs w:val="32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896" w:hanging="576"/>
        <w:jc w:val="left"/>
      </w:pPr>
      <w:rPr>
        <w:rFonts w:hint="default" w:ascii="仿宋" w:hAnsi="仿宋" w:eastAsia="仿宋" w:cs="仿宋"/>
        <w:b/>
        <w:bCs/>
        <w:spacing w:val="0"/>
        <w:w w:val="99"/>
        <w:sz w:val="30"/>
        <w:szCs w:val="30"/>
        <w:lang w:val="zh-CN" w:eastAsia="zh-CN" w:bidi="zh-CN"/>
      </w:rPr>
    </w:lvl>
    <w:lvl w:ilvl="2">
      <w:start w:val="1"/>
      <w:numFmt w:val="decimal"/>
      <w:lvlText w:val="%1.%2.%3"/>
      <w:lvlJc w:val="left"/>
      <w:pPr>
        <w:ind w:left="1220" w:hanging="720"/>
        <w:jc w:val="left"/>
      </w:pPr>
      <w:rPr>
        <w:rFonts w:hint="default" w:ascii="仿宋" w:hAnsi="仿宋" w:eastAsia="仿宋" w:cs="仿宋"/>
        <w:b/>
        <w:bCs/>
        <w:w w:val="99"/>
        <w:sz w:val="26"/>
        <w:szCs w:val="26"/>
        <w:lang w:val="zh-CN" w:eastAsia="zh-CN" w:bidi="zh-CN"/>
      </w:rPr>
    </w:lvl>
    <w:lvl w:ilvl="3">
      <w:start w:val="0"/>
      <w:numFmt w:val="bullet"/>
      <w:lvlText w:val="•"/>
      <w:lvlJc w:val="left"/>
      <w:pPr>
        <w:ind w:left="2185" w:hanging="7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3151" w:hanging="7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4117" w:hanging="7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5083" w:hanging="7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048" w:hanging="7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014" w:hanging="720"/>
      </w:pPr>
      <w:rPr>
        <w:rFonts w:hint="default"/>
        <w:lang w:val="zh-CN" w:eastAsia="zh-CN" w:bidi="zh-CN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48" w:hanging="240"/>
        <w:jc w:val="left"/>
      </w:pPr>
      <w:rPr>
        <w:rFonts w:hint="default" w:ascii="仿宋" w:hAnsi="仿宋" w:eastAsia="仿宋" w:cs="仿宋"/>
        <w:b/>
        <w:bCs/>
        <w:color w:val="000007"/>
        <w:w w:val="99"/>
        <w:sz w:val="24"/>
        <w:szCs w:val="24"/>
        <w:lang w:val="zh-CN" w:eastAsia="zh-CN" w:bidi="zh-CN"/>
      </w:rPr>
    </w:lvl>
    <w:lvl w:ilvl="1">
      <w:start w:val="1"/>
      <w:numFmt w:val="decimal"/>
      <w:lvlText w:val="%1.%2"/>
      <w:lvlJc w:val="left"/>
      <w:pPr>
        <w:ind w:left="1068" w:hanging="480"/>
        <w:jc w:val="left"/>
      </w:pPr>
      <w:rPr>
        <w:rFonts w:hint="default" w:ascii="仿宋" w:hAnsi="仿宋" w:eastAsia="仿宋" w:cs="仿宋"/>
        <w:color w:val="000007"/>
        <w:w w:val="100"/>
        <w:sz w:val="24"/>
        <w:szCs w:val="24"/>
        <w:lang w:val="zh-CN" w:eastAsia="zh-CN" w:bidi="zh-CN"/>
      </w:rPr>
    </w:lvl>
    <w:lvl w:ilvl="2">
      <w:start w:val="1"/>
      <w:numFmt w:val="decimal"/>
      <w:lvlText w:val="%1.%2.%3"/>
      <w:lvlJc w:val="left"/>
      <w:pPr>
        <w:ind w:left="1788" w:hanging="720"/>
        <w:jc w:val="left"/>
      </w:pPr>
      <w:rPr>
        <w:rFonts w:hint="default" w:ascii="仿宋" w:hAnsi="仿宋" w:eastAsia="仿宋" w:cs="仿宋"/>
        <w:color w:val="000007"/>
        <w:spacing w:val="-60"/>
        <w:w w:val="100"/>
        <w:sz w:val="24"/>
        <w:szCs w:val="24"/>
        <w:lang w:val="zh-CN" w:eastAsia="zh-CN" w:bidi="zh-CN"/>
      </w:rPr>
    </w:lvl>
    <w:lvl w:ilvl="3">
      <w:start w:val="0"/>
      <w:numFmt w:val="bullet"/>
      <w:lvlText w:val="•"/>
      <w:lvlJc w:val="left"/>
      <w:pPr>
        <w:ind w:left="2675" w:hanging="7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3571" w:hanging="7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4467" w:hanging="7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5363" w:hanging="7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6258" w:hanging="7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7154" w:hanging="720"/>
      </w:pPr>
      <w:rPr>
        <w:rFonts w:hint="default"/>
        <w:lang w:val="zh-CN" w:eastAsia="zh-CN" w:bidi="zh-CN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仿宋" w:hAnsi="仿宋" w:eastAsia="仿宋" w:cs="仿宋"/>
      <w:lang w:val="zh-CN" w:eastAsia="zh-CN" w:bidi="zh-CN"/>
    </w:rPr>
  </w:style>
  <w:style w:styleId="TOC1" w:type="paragraph">
    <w:name w:val="TOC 1"/>
    <w:basedOn w:val="Normal"/>
    <w:uiPriority w:val="1"/>
    <w:qFormat/>
    <w:pPr>
      <w:spacing w:before="33"/>
      <w:ind w:left="348" w:right="105" w:hanging="349"/>
      <w:jc w:val="right"/>
    </w:pPr>
    <w:rPr>
      <w:rFonts w:ascii="仿宋" w:hAnsi="仿宋" w:eastAsia="仿宋" w:cs="仿宋"/>
      <w:b/>
      <w:bCs/>
      <w:sz w:val="24"/>
      <w:szCs w:val="24"/>
      <w:lang w:val="zh-CN" w:eastAsia="zh-CN" w:bidi="zh-CN"/>
    </w:rPr>
  </w:style>
  <w:style w:styleId="TOC2" w:type="paragraph">
    <w:name w:val="TOC 2"/>
    <w:basedOn w:val="Normal"/>
    <w:uiPriority w:val="1"/>
    <w:qFormat/>
    <w:pPr>
      <w:spacing w:before="36"/>
      <w:ind w:left="1068" w:right="105" w:hanging="1789"/>
      <w:jc w:val="right"/>
    </w:pPr>
    <w:rPr>
      <w:rFonts w:ascii="仿宋" w:hAnsi="仿宋" w:eastAsia="仿宋" w:cs="仿宋"/>
      <w:sz w:val="24"/>
      <w:szCs w:val="24"/>
      <w:lang w:val="zh-CN" w:eastAsia="zh-CN" w:bidi="zh-CN"/>
    </w:rPr>
  </w:style>
  <w:style w:styleId="BodyText" w:type="paragraph">
    <w:name w:val="Body Text"/>
    <w:basedOn w:val="Normal"/>
    <w:uiPriority w:val="1"/>
    <w:qFormat/>
    <w:pPr/>
    <w:rPr>
      <w:rFonts w:ascii="仿宋" w:hAnsi="仿宋" w:eastAsia="仿宋" w:cs="仿宋"/>
      <w:sz w:val="24"/>
      <w:szCs w:val="24"/>
      <w:lang w:val="zh-CN" w:eastAsia="zh-CN" w:bidi="zh-CN"/>
    </w:rPr>
  </w:style>
  <w:style w:styleId="Heading1" w:type="paragraph">
    <w:name w:val="Heading 1"/>
    <w:basedOn w:val="Normal"/>
    <w:uiPriority w:val="1"/>
    <w:qFormat/>
    <w:pPr>
      <w:spacing w:line="753" w:lineRule="exact"/>
      <w:jc w:val="center"/>
      <w:outlineLvl w:val="1"/>
    </w:pPr>
    <w:rPr>
      <w:rFonts w:ascii="Microsoft JhengHei" w:hAnsi="Microsoft JhengHei" w:eastAsia="Microsoft JhengHei" w:cs="Microsoft JhengHei"/>
      <w:b/>
      <w:bCs/>
      <w:sz w:val="48"/>
      <w:szCs w:val="48"/>
      <w:lang w:val="zh-CN" w:eastAsia="zh-CN" w:bidi="zh-CN"/>
    </w:rPr>
  </w:style>
  <w:style w:styleId="Heading2" w:type="paragraph">
    <w:name w:val="Heading 2"/>
    <w:basedOn w:val="Normal"/>
    <w:uiPriority w:val="1"/>
    <w:qFormat/>
    <w:pPr>
      <w:ind w:left="740" w:hanging="420"/>
      <w:outlineLvl w:val="2"/>
    </w:pPr>
    <w:rPr>
      <w:rFonts w:ascii="仿宋" w:hAnsi="仿宋" w:eastAsia="仿宋" w:cs="仿宋"/>
      <w:b/>
      <w:bCs/>
      <w:sz w:val="32"/>
      <w:szCs w:val="32"/>
      <w:lang w:val="zh-CN" w:eastAsia="zh-CN" w:bidi="zh-CN"/>
    </w:rPr>
  </w:style>
  <w:style w:styleId="Heading3" w:type="paragraph">
    <w:name w:val="Heading 3"/>
    <w:basedOn w:val="Normal"/>
    <w:uiPriority w:val="1"/>
    <w:qFormat/>
    <w:pPr>
      <w:ind w:left="896" w:hanging="576"/>
      <w:outlineLvl w:val="3"/>
    </w:pPr>
    <w:rPr>
      <w:rFonts w:ascii="仿宋" w:hAnsi="仿宋" w:eastAsia="仿宋" w:cs="仿宋"/>
      <w:b/>
      <w:bCs/>
      <w:sz w:val="30"/>
      <w:szCs w:val="30"/>
      <w:lang w:val="zh-CN" w:eastAsia="zh-CN" w:bidi="zh-CN"/>
    </w:rPr>
  </w:style>
  <w:style w:styleId="ListParagraph" w:type="paragraph">
    <w:name w:val="List Paragraph"/>
    <w:basedOn w:val="Normal"/>
    <w:uiPriority w:val="1"/>
    <w:qFormat/>
    <w:pPr>
      <w:spacing w:before="36"/>
      <w:ind w:left="1068" w:right="105" w:hanging="1789"/>
      <w:jc w:val="right"/>
    </w:pPr>
    <w:rPr>
      <w:rFonts w:ascii="仿宋" w:hAnsi="仿宋" w:eastAsia="仿宋" w:cs="仿宋"/>
      <w:lang w:val="zh-CN" w:eastAsia="zh-CN" w:bidi="zh-CN"/>
    </w:rPr>
  </w:style>
  <w:style w:styleId="TableParagraph" w:type="paragraph">
    <w:name w:val="Table Paragraph"/>
    <w:basedOn w:val="Normal"/>
    <w:uiPriority w:val="1"/>
    <w:qFormat/>
    <w:pPr/>
    <w:rPr>
      <w:rFonts w:ascii="仿宋" w:hAnsi="仿宋" w:eastAsia="仿宋" w:cs="仿宋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image" Target="media/image3.png"/><Relationship Id="rId8" Type="http://schemas.openxmlformats.org/officeDocument/2006/relationships/header" Target="header2.xml"/><Relationship Id="rId9" Type="http://schemas.openxmlformats.org/officeDocument/2006/relationships/image" Target="media/image4.png"/><Relationship Id="rId10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wangyi</dc:creator>
  <dcterms:created xsi:type="dcterms:W3CDTF">2021-05-07T06:17:48Z</dcterms:created>
  <dcterms:modified xsi:type="dcterms:W3CDTF">2021-05-07T06:17:48Z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2021-04-13T00:00:00Z</vt:filetime>
  </property>
  <property fmtid="{D5CDD505-2E9C-101B-9397-08002B2CF9AE}" pid="3" name="Creator">
    <vt:lpwstr>WPS 文字</vt:lpwstr>
  </property>
  <property fmtid="{D5CDD505-2E9C-101B-9397-08002B2CF9AE}" pid="4" name="LastSaved">
    <vt:filetime>2021-05-07T00:00:00Z</vt:filetime>
  </property>
</Properties>
</file>