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便民欢线下收银与线上商城数据对接需求</w:t>
      </w:r>
    </w:p>
    <w:p>
      <w:pPr>
        <w:pStyle w:val="Subtitle"/>
      </w:pPr>
      <w:r>
        <w:t>供自强收银服务方与商城开发方共同评估</w:t>
      </w:r>
    </w:p>
    <w:p>
      <w:r>
        <w:t>2026年10月27日</w:t>
      </w:r>
    </w:p>
    <w:p>
      <w:pPr>
        <w:pStyle w:val="Heading1"/>
        <w:pageBreakBefore w:val="0"/>
      </w:pPr>
      <w:r>
        <w:t>先接必要数据 再推进商城升级</w:t>
      </w:r>
    </w:p>
    <w:p>
      <w:r>
        <w:t>优先复用双方现有能力，减少重复录商品、让线下老会员在线上可识别、管理分店价格库存，并按需查看线下消费。数据对接单独评估费用与工期，不要求一次打通全部功能。</w:t>
      </w:r>
    </w:p>
    <w:p>
      <w:pPr>
        <w:pStyle w:val="Heading1"/>
        <w:pageBreakBefore w:val="0"/>
      </w:pPr>
      <w:r>
        <w:t>首批四项 由双方确认实现方式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2880"/>
        <w:gridCol w:w="4176"/>
        <w:gridCol w:w="1584"/>
      </w:tblGrid>
      <w:tr>
        <w:trPr>
          <w:tblHeader/>
          <w:cantSplit/>
        </w:trPr>
        <w:tc>
          <w:tcPr>
            <w:tcW w:type="dxa" w:w="1584"/>
            <w:vAlign w:val="center"/>
            <w:shd w:fill="2D2D2D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2880"/>
            <w:vAlign w:val="center"/>
            <w:shd w:fill="2D2D2D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2"/>
              </w:rPr>
              <w:t>收银方提供或说明</w:t>
            </w:r>
          </w:p>
        </w:tc>
        <w:tc>
          <w:tcPr>
            <w:tcW w:type="dxa" w:w="4176"/>
            <w:vAlign w:val="center"/>
            <w:shd w:fill="2D2D2D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2"/>
              </w:rPr>
              <w:t>商城方实现和用途</w:t>
            </w:r>
          </w:p>
        </w:tc>
        <w:tc>
          <w:tcPr>
            <w:tcW w:type="dxa" w:w="1584"/>
            <w:vAlign w:val="center"/>
            <w:shd w:fill="2D2D2D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2"/>
              </w:rPr>
              <w:t>复杂度粗判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2"/>
              </w:rPr>
              <w:t>门店资料</w:t>
            </w:r>
          </w:p>
        </w:tc>
        <w:tc>
          <w:tcPr>
            <w:tcW w:type="dxa" w:w="2880"/>
            <w:vAlign w:val="center"/>
            <w:shd w:fill="FFFFFF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2"/>
              </w:rPr>
              <w:t>门店编号、名称、状态。</w:t>
            </w:r>
          </w:p>
        </w:tc>
        <w:tc>
          <w:tcPr>
            <w:tcW w:type="dxa" w:w="4176"/>
            <w:vAlign w:val="center"/>
            <w:shd w:fill="FFFFFF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2"/>
              </w:rPr>
              <w:t>建立门店对应，商品、会员和订单归属不串店。</w:t>
            </w:r>
          </w:p>
        </w:tc>
        <w:tc>
          <w:tcPr>
            <w:tcW w:type="dxa" w:w="1584"/>
            <w:vAlign w:val="center"/>
            <w:shd w:fill="FFFFFF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2"/>
              </w:rPr>
              <w:t>较低至中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4F4F4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2"/>
              </w:rPr>
              <w:t>选定线上商品</w:t>
            </w:r>
          </w:p>
        </w:tc>
        <w:tc>
          <w:tcPr>
            <w:tcW w:type="dxa" w:w="2880"/>
            <w:vAlign w:val="center"/>
            <w:shd w:fill="F4F4F4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2"/>
              </w:rPr>
              <w:t>商品编号、条码、名称、规格、单位、称重标识；各店经营商品及来源售价。</w:t>
            </w:r>
          </w:p>
        </w:tc>
        <w:tc>
          <w:tcPr>
            <w:tcW w:type="dxa" w:w="4176"/>
            <w:vAlign w:val="center"/>
            <w:shd w:fill="F4F4F4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2"/>
              </w:rPr>
              <w:t>建商品源和编码对应，支持多店铺货；线上图文、售价、活动和上下架自主配置。</w:t>
            </w:r>
          </w:p>
        </w:tc>
        <w:tc>
          <w:tcPr>
            <w:tcW w:type="dxa" w:w="1584"/>
            <w:vAlign w:val="center"/>
            <w:shd w:fill="F4F4F4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2"/>
              </w:rPr>
              <w:t>中</w:t>
              <w:br/>
              <w:t>称重组合</w:t>
              <w:br/>
              <w:t>重点确认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2"/>
              </w:rPr>
              <w:t>商城可售库存</w:t>
            </w:r>
          </w:p>
        </w:tc>
        <w:tc>
          <w:tcPr>
            <w:tcW w:type="dxa" w:w="2880"/>
            <w:vAlign w:val="center"/>
            <w:shd w:fill="FFFFFF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2"/>
              </w:rPr>
              <w:t>库存类型、更新频率，是否支持线上扣减或库存预留。</w:t>
            </w:r>
          </w:p>
        </w:tc>
        <w:tc>
          <w:tcPr>
            <w:tcW w:type="dxa" w:w="4176"/>
            <w:vAlign w:val="center"/>
            <w:shd w:fill="FFFFFF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2"/>
              </w:rPr>
              <w:t>评估实时共享或独立配额。配额须预留实物、明确补货和扣减责任，不能同一份货两边卖。</w:t>
            </w:r>
          </w:p>
        </w:tc>
        <w:tc>
          <w:tcPr>
            <w:tcW w:type="dxa" w:w="1584"/>
            <w:vAlign w:val="center"/>
            <w:shd w:fill="FFFFFF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2"/>
              </w:rPr>
              <w:t>共享较高</w:t>
              <w:br/>
              <w:t>配额较易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4F4F4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2"/>
              </w:rPr>
              <w:t>老会员身份</w:t>
            </w:r>
          </w:p>
        </w:tc>
        <w:tc>
          <w:tcPr>
            <w:tcW w:type="dxa" w:w="2880"/>
            <w:vAlign w:val="center"/>
            <w:shd w:fill="F4F4F4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2"/>
              </w:rPr>
              <w:t>会员编号、卡号、手机号、归属门店、状态；姓名按需展示。</w:t>
            </w:r>
          </w:p>
        </w:tc>
        <w:tc>
          <w:tcPr>
            <w:tcW w:type="dxa" w:w="4176"/>
            <w:vAlign w:val="center"/>
            <w:shd w:fill="F4F4F4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2"/>
              </w:rPr>
              <w:t>登录核验后绑定；重复不重建，手机号冲突人工确认。先对应身份，不自动合并钱包、积分或等级。</w:t>
            </w:r>
          </w:p>
        </w:tc>
        <w:tc>
          <w:tcPr>
            <w:tcW w:type="dxa" w:w="1584"/>
            <w:vAlign w:val="center"/>
            <w:shd w:fill="F4F4F4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2"/>
              </w:rPr>
              <w:t>中</w:t>
            </w:r>
          </w:p>
        </w:tc>
      </w:tr>
    </w:tbl>
    <w:p>
      <w:pPr>
        <w:spacing w:before="100"/>
      </w:pPr>
      <w:r>
        <w:t>以上复杂度仅供比较，实际能力、工作量及费用由双方评估。</w:t>
      </w:r>
    </w:p>
    <w:p>
      <w:pPr>
        <w:pStyle w:val="Heading1"/>
        <w:pageBreakBefore w:val="0"/>
      </w:pPr>
      <w:r>
        <w:t>运营建议只读接入 按需选做</w:t>
      </w:r>
    </w:p>
    <w:p>
      <w:r>
        <w:t>线下消费与退款：门店、订单、会员、商品、金额、优惠、付款拆分、时间和退款关联。商城先只读展示、分渠道统计和分析；重复不重复统计，退款对应原单，历史导入不自动发积分或升级。</w:t>
      </w:r>
    </w:p>
    <w:p>
      <w:r>
        <w:t>会员历史资产：有查询需要时，再接来源储值金额、赠送金额、零钱包和原积分，分项核对展示，不直接变成商城可支付余额。</w:t>
      </w:r>
    </w:p>
    <w:p>
      <w:pPr>
        <w:pStyle w:val="Heading1"/>
        <w:pageBreakBefore/>
      </w:pPr>
      <w:r>
        <w:t>双方各自配合什么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568"/>
      </w:tblGrid>
      <w:tr>
        <w:trPr>
          <w:tblHeader/>
          <w:cantSplit/>
        </w:trPr>
        <w:tc>
          <w:tcPr>
            <w:tcW w:type="dxa" w:w="1656"/>
            <w:vAlign w:val="center"/>
            <w:shd w:fill="2D2D2D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2"/>
              </w:rPr>
              <w:t>参与方</w:t>
            </w:r>
          </w:p>
        </w:tc>
        <w:tc>
          <w:tcPr>
            <w:tcW w:type="dxa" w:w="8568"/>
            <w:vAlign w:val="center"/>
            <w:shd w:fill="2D2D2D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2"/>
              </w:rPr>
              <w:t>需要确认和完成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2"/>
              </w:rPr>
              <w:t>自强收银方</w:t>
            </w:r>
          </w:p>
        </w:tc>
        <w:tc>
          <w:tcPr>
            <w:tcW w:type="dxa" w:w="8568"/>
            <w:vAlign w:val="center"/>
            <w:shd w:fill="FFFFFF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2"/>
              </w:rPr>
              <w:t>当前版本可提供的数据、标准导出或接口、查询或推送方式、更新频率、配合开发及费用周期。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4F4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2"/>
              </w:rPr>
              <w:t>商城开发方</w:t>
            </w:r>
          </w:p>
        </w:tc>
        <w:tc>
          <w:tcPr>
            <w:tcW w:type="dxa" w:w="8568"/>
            <w:vAlign w:val="center"/>
            <w:shd w:fill="F4F4F4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2"/>
              </w:rPr>
              <w:t>接收或查询接口、商品会员编码对应、导入及持续更新、展示与异常处理、费用周期。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2"/>
              </w:rPr>
              <w:t>便民欢</w:t>
            </w:r>
          </w:p>
        </w:tc>
        <w:tc>
          <w:tcPr>
            <w:tcW w:type="dxa" w:w="8568"/>
            <w:vAlign w:val="center"/>
            <w:shd w:fill="FFFFFF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2"/>
              </w:rPr>
              <w:t>确认首批范围和商城规则，提供授权样本，选一家门店组织联调验收。</w:t>
            </w:r>
          </w:p>
        </w:tc>
      </w:tr>
    </w:tbl>
    <w:p>
      <w:pPr>
        <w:spacing w:before="100"/>
      </w:pPr>
      <w:r>
        <w:t>商城方按业务评估接口拆分，双方共同确认方向和方式；各自自测后，仍需联合验证业务结果。</w:t>
      </w:r>
    </w:p>
    <w:p>
      <w:pPr>
        <w:pStyle w:val="Heading1"/>
        <w:pageBreakBefore w:val="0"/>
      </w:pPr>
      <w:r>
        <w:t>商城自主和后续专项</w:t>
      </w:r>
    </w:p>
    <w:p>
      <w:r>
        <w:t>商城独立管理线上图文、组合或定份规格、上架、售价活动、会员等级与积分、商城钱包、商城订单和核销。收银更新只同步约定字段，不覆盖商城配置；仅接选定商品，不复制采购、供应商和财务系统。</w:t>
      </w:r>
    </w:p>
    <w:p>
      <w:r>
        <w:t>共同支付余额、积分互换、商城券线下用、完整POS接单及自动记账单列评估。若首批选实时共享库存，必要的订单预占、扣减、取消释放必须同时验证，不能只接库存查询。</w:t>
      </w:r>
    </w:p>
    <w:p>
      <w:pPr>
        <w:pStyle w:val="Heading1"/>
        <w:pageBreakBefore w:val="0"/>
      </w:pPr>
      <w:r>
        <w:t>请双方先回复五项</w:t>
      </w:r>
    </w:p>
    <w:p>
      <w:r>
        <w:t>1. 哪些现成支持、需开发或暂不支持。</w:t>
      </w:r>
    </w:p>
    <w:p>
      <w:r>
        <w:t>2. 建议首批与后置范围，以及原因。</w:t>
      </w:r>
    </w:p>
    <w:p>
      <w:r>
        <w:t>3. 采用标准接口、批次文件或其他方式，多久更新。</w:t>
      </w:r>
    </w:p>
    <w:p>
      <w:r>
        <w:t>4. 各自费用、预计周期、负责人及对方配合条件。</w:t>
      </w:r>
    </w:p>
    <w:p>
      <w:r>
        <w:t>5. 如何验收，具备哪些条件后可启动商城升级。</w:t>
      </w:r>
    </w:p>
    <w:p>
      <w:pPr>
        <w:pStyle w:val="Heading1"/>
        <w:pageBreakBefore w:val="0"/>
      </w:pPr>
      <w:r>
        <w:t>一家门店先验收五条</w:t>
      </w:r>
    </w:p>
    <w:p>
      <w:r>
        <w:t>1. 商品和单位对应正确。</w:t>
      </w:r>
    </w:p>
    <w:p>
      <w:r>
        <w:t>2. 各店价格、库存和归属不串。</w:t>
      </w:r>
    </w:p>
    <w:p>
      <w:r>
        <w:t>3. 老会员核验后可识别，重复资料不重复建会员。</w:t>
      </w:r>
    </w:p>
    <w:p>
      <w:r>
        <w:t>4. 同一消费或退款只统计一次，退款对应原单。</w:t>
      </w:r>
    </w:p>
    <w:p>
      <w:r>
        <w:t>5. 商城经营配置及钱包不被资料导入覆盖。</w:t>
      </w:r>
    </w:p>
    <w:p>
      <w:pPr>
        <w:pStyle w:val="Heading1"/>
        <w:pageBreakBefore w:val="0"/>
      </w:pPr>
      <w:r>
        <w:t>已核对的范围</w:t>
      </w:r>
    </w:p>
    <w:p>
      <w:r>
        <w:t>已只读查看自强云星耀后台的商品、库存、会员、余额、销售及付款页面，例如商品编号、条码、库存数、会员编号和付款方式。已见列名和菜单不代表第三方接口已开放，字段、权限与同步方式仍需双方确认。独立网页提供详细字段和虚构数据演示，不连接真实系统。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8"/>
      </w:rPr>
      <w:t xml:space="preserve">便民欢收银与商城数据对接需求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10" w:lineRule="exact"/>
    </w:pPr>
    <w:rPr>
      <w:rFonts w:ascii="Arial" w:hAnsi="Arial" w:cs="Arial" w:eastAsia="Source Han Sans CN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400" w:lineRule="exact"/>
      <w:outlineLvl w:val="0"/>
    </w:pPr>
    <w:rPr>
      <w:rFonts w:cstheme="majorBidi" w:ascii="Arial" w:hAnsi="Arial" w:cs="Arial" w:eastAsia="Source Han Sans CN"/>
      <w:b/>
      <w:bCs/>
      <w:i w:val="0"/>
      <w:color w:val="000000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560" w:lineRule="exact" w:before="0"/>
      <w:contextualSpacing/>
    </w:pPr>
    <w:rPr>
      <w:rFonts w:cstheme="majorBidi" w:ascii="Arial" w:hAnsi="Arial" w:cs="Arial" w:eastAsia="Source Han Sans CN"/>
      <w:b/>
      <w:i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80" w:line="340" w:lineRule="exact"/>
    </w:pPr>
    <w:rPr>
      <w:rFonts w:cstheme="majorBidi" w:ascii="Arial" w:hAnsi="Arial" w:cs="Arial" w:eastAsia="Source Han Sans CN"/>
      <w:b w:val="0"/>
      <w:i w:val="0"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便民欢线下收银与线上商城数据对接需求</dc:title>
  <dc:subject>双方简明评估清单</dc:subject>
  <dc:creator>便民欢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