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V2.00　|　编写：袁燕　|　更新日期：2026-10-03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阅读建议：第1~4章了解系统全貌与架构，第5章是新人导航地图（想改什么直接查），第6~7章掌握页面与人脸链路，第8章为开发调试，第9章为麒麟部署，第10章为规范红线，11~12章为故障速查与工作流。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16 个页面/对话框，每个页面三件套：XxxPage.ui（布局）+ .h（声明）+ .cpp（逻辑）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状态常量）、DatabaseManager（连接与建表）、AppConfig（system.ini 读写）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37 个用例：test_components（组件/SC映射 17）+ test_core_logic（位置格式化/设计令牌/表单工厂 13）+ test_services（Service 业务规则，连 MySQL 测试库 7）+ prepare_test_db.ps1 / run_test_services.ps1（测试库准备与一键运行脚本）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页面全景（16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FaceEnrollPage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旧版独立录入页（现役入口在用户管理内，本页保留兼容）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统一维护，程序启动时建表/播种（幂等）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柜号首字母-层号-位号，层/位两位补零；统一由 StyleHelper::formatPosition 生成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status='pending'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common/DatabaseManager.cpp 的 initSchemaIfNeeded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5.x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DatabaseManager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5.1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 94%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5.2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pStyle w:val="Heading2"/>
      </w:pPr>
      <w:r>
        <w:t xml:space="preserve">5.3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5.4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5.5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5.6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5.7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5.8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5.9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FaceEnrollPage：旧版独立录入页，保留兼容，新人不要优先改动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6.1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6.3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8.0，创建业务库并按 src/common/DatabaseManager.cpp 的建表语句初始化（程序启动也会幂等建表）；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运行（26 个用例）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①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① Service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②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6 条规则：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③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④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⑤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沉淀：把新踩的坑补进本文档第11章故障速查，把新规则补进 AI代码检视修复 skill。</w:t>
      </w:r>
    </w:p>
    <w:p>
      <w:pPr>
        <w:pStyle w:val="Heading1"/>
        <w:pageBreakBefore/>
      </w:pPr>
      <w:r>
        <w:t xml:space="preserve">第9章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第10章 代码规范与红线</w:t>
      </w:r>
    </w:p>
    <w:p>
      <w:pPr>
        <w:pStyle w:val="Heading2"/>
      </w:pPr>
      <w:r>
        <w:t xml:space="preserve">9.1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6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9.3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 8 秒内预检未过，或服务未启动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维护工作流与知识沉淀</w:t>
      </w:r>
    </w:p>
    <w:p>
      <w:pPr>
        <w:pStyle w:val="Heading2"/>
      </w:pPr>
      <w:r>
        <w:t xml:space="preserve">11.1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10 章，把新规则补进 AI代码检视修复 skill。</w:t>
      </w:r>
    </w:p>
    <w:p>
      <w:pPr>
        <w:pStyle w:val="Heading2"/>
      </w:pPr>
      <w:r>
        <w:t xml:space="preserve">11.2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5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补 Service 层单元测试：当前 37 个用例，借用归还闭环用例因测试库无位置映射数据仍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Controller 层定位收敛（ReturnController 11 行、BorrowController 17 行偏薄，待评估删除或改为外部接口适配）；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ToolDAO 1273 行可按聚合根拆分（ToolCategory/PositionMapping/ToolCabinet/TaskType），需先做事务边界分析，分批实施；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V2.00　编写：袁燕　更新日期：2026-10-03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