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sz w:val="28"/>
        </w:rPr>
        <w:t>四、灵敏度分析与鲁棒性评价</w:t>
      </w:r>
    </w:p>
    <w:p>
      <w:pPr>
        <w:pStyle w:val="Heading2"/>
      </w:pPr>
      <w:r>
        <w:rPr>
          <w:rFonts w:ascii="黑体" w:hAnsi="黑体" w:eastAsia="黑体"/>
          <w:sz w:val="24"/>
        </w:rPr>
        <w:t>4.1 分析思路与场景设计</w:t>
      </w:r>
    </w:p>
    <w:p>
      <w:pPr>
        <w:spacing w:after="60"/>
        <w:ind w:firstLine="420"/>
      </w:pPr>
      <w:r>
        <w:rPr>
          <w:rFonts w:ascii="宋体" w:hAnsi="宋体" w:eastAsia="宋体"/>
          <w:b w:val="0"/>
          <w:sz w:val="21"/>
        </w:rPr>
        <w:t>问题二与问题三给出了嵌入式社区养老服务站的最优选址方案与定价策略，但模型中的人口增长率、健康状态转移概率、运营成本及建设预算等参数均存在不确定性。为检验最优方案的鲁棒性，设计三组对比场景（表4-1），通过重新求解问题二与三开展灵敏度分析。</w:t>
      </w:r>
    </w:p>
    <w:p>
      <w:pPr>
        <w:spacing w:after="60"/>
        <w:ind w:firstLine="0"/>
      </w:pPr>
      <w:r>
        <w:rPr>
          <w:rFonts w:ascii="宋体" w:hAnsi="宋体" w:eastAsia="宋体"/>
          <w:b/>
          <w:sz w:val="21"/>
        </w:rPr>
        <w:t>表4-1 灵敏度分析场景设置</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2F3"/>
          </w:tcPr>
          <w:p>
            <w:pPr>
              <w:jc w:val="center"/>
            </w:pPr>
            <w:r/>
            <w:r>
              <w:rPr>
                <w:rFonts w:ascii="宋体" w:hAnsi="宋体" w:eastAsia="宋体"/>
                <w:b/>
                <w:sz w:val="18"/>
              </w:rPr>
              <w:t>场景</w:t>
            </w:r>
          </w:p>
        </w:tc>
        <w:tc>
          <w:tcPr>
            <w:tcW w:type="dxa" w:w="3324"/>
            <w:shd w:fill="D9E2F3"/>
          </w:tcPr>
          <w:p>
            <w:pPr>
              <w:jc w:val="center"/>
            </w:pPr>
            <w:r/>
            <w:r>
              <w:rPr>
                <w:rFonts w:ascii="宋体" w:hAnsi="宋体" w:eastAsia="宋体"/>
                <w:b/>
                <w:sz w:val="18"/>
              </w:rPr>
              <w:t>参数变化</w:t>
            </w:r>
          </w:p>
        </w:tc>
        <w:tc>
          <w:tcPr>
            <w:tcW w:type="dxa" w:w="3324"/>
            <w:shd w:fill="D9E2F3"/>
          </w:tcPr>
          <w:p>
            <w:pPr>
              <w:jc w:val="center"/>
            </w:pPr>
            <w:r/>
            <w:r>
              <w:rPr>
                <w:rFonts w:ascii="宋体" w:hAnsi="宋体" w:eastAsia="宋体"/>
                <w:b/>
                <w:sz w:val="18"/>
              </w:rPr>
              <w:t>变化幅度</w:t>
            </w:r>
          </w:p>
        </w:tc>
      </w:tr>
      <w:tr>
        <w:tc>
          <w:tcPr>
            <w:tcW w:type="dxa" w:w="3324"/>
          </w:tcPr>
          <w:p>
            <w:pPr>
              <w:jc w:val="center"/>
            </w:pPr>
            <w:r/>
            <w:r>
              <w:rPr>
                <w:rFonts w:ascii="宋体" w:hAnsi="宋体" w:eastAsia="宋体"/>
                <w:sz w:val="18"/>
              </w:rPr>
              <w:t>Baseline</w:t>
            </w:r>
          </w:p>
        </w:tc>
        <w:tc>
          <w:tcPr>
            <w:tcW w:type="dxa" w:w="3324"/>
          </w:tcPr>
          <w:p>
            <w:pPr>
              <w:jc w:val="center"/>
            </w:pPr>
            <w:r/>
            <w:r>
              <w:rPr>
                <w:rFonts w:ascii="宋体" w:hAnsi="宋体" w:eastAsia="宋体"/>
                <w:sz w:val="18"/>
              </w:rPr>
              <w:t>基准参数</w:t>
            </w:r>
          </w:p>
        </w:tc>
        <w:tc>
          <w:tcPr>
            <w:tcW w:type="dxa" w:w="3324"/>
          </w:tcPr>
          <w:p>
            <w:pPr>
              <w:jc w:val="center"/>
            </w:pPr>
            <w:r/>
            <w:r>
              <w:rPr>
                <w:rFonts w:ascii="宋体" w:hAnsi="宋体" w:eastAsia="宋体"/>
                <w:sz w:val="18"/>
              </w:rPr>
              <w:t>—</w:t>
            </w:r>
          </w:p>
        </w:tc>
      </w:tr>
      <w:tr>
        <w:tc>
          <w:tcPr>
            <w:tcW w:type="dxa" w:w="3324"/>
          </w:tcPr>
          <w:p>
            <w:pPr>
              <w:jc w:val="center"/>
            </w:pPr>
            <w:r/>
            <w:r>
              <w:rPr>
                <w:rFonts w:ascii="宋体" w:hAnsi="宋体" w:eastAsia="宋体"/>
                <w:sz w:val="18"/>
              </w:rPr>
              <w:t>S1</w:t>
            </w:r>
          </w:p>
        </w:tc>
        <w:tc>
          <w:tcPr>
            <w:tcW w:type="dxa" w:w="3324"/>
          </w:tcPr>
          <w:p>
            <w:pPr>
              <w:jc w:val="center"/>
            </w:pPr>
            <w:r/>
            <w:r>
              <w:rPr>
                <w:rFonts w:ascii="宋体" w:hAnsi="宋体" w:eastAsia="宋体"/>
                <w:sz w:val="18"/>
              </w:rPr>
              <w:t>老人年增长率 new_rate</w:t>
            </w:r>
          </w:p>
        </w:tc>
        <w:tc>
          <w:tcPr>
            <w:tcW w:type="dxa" w:w="3324"/>
          </w:tcPr>
          <w:p>
            <w:pPr>
              <w:jc w:val="center"/>
            </w:pPr>
            <w:r/>
            <w:r>
              <w:rPr>
                <w:rFonts w:ascii="宋体" w:hAnsi="宋体" w:eastAsia="宋体"/>
                <w:sz w:val="18"/>
              </w:rPr>
              <w:t>7%→8%（+14.29%）</w:t>
            </w:r>
          </w:p>
        </w:tc>
      </w:tr>
      <w:tr>
        <w:tc>
          <w:tcPr>
            <w:tcW w:type="dxa" w:w="3324"/>
          </w:tcPr>
          <w:p>
            <w:pPr>
              <w:jc w:val="center"/>
            </w:pPr>
            <w:r/>
            <w:r>
              <w:rPr>
                <w:rFonts w:ascii="宋体" w:hAnsi="宋体" w:eastAsia="宋体"/>
                <w:sz w:val="18"/>
              </w:rPr>
            </w:r>
          </w:p>
        </w:tc>
        <w:tc>
          <w:tcPr>
            <w:tcW w:type="dxa" w:w="3324"/>
          </w:tcPr>
          <w:p>
            <w:pPr>
              <w:jc w:val="center"/>
            </w:pPr>
            <w:r/>
            <w:r>
              <w:rPr>
                <w:rFonts w:ascii="宋体" w:hAnsi="宋体" w:eastAsia="宋体"/>
                <w:sz w:val="18"/>
              </w:rPr>
              <w:t>自理→半失能转移概率 p_stos</w:t>
            </w:r>
          </w:p>
        </w:tc>
        <w:tc>
          <w:tcPr>
            <w:tcW w:type="dxa" w:w="3324"/>
          </w:tcPr>
          <w:p>
            <w:pPr>
              <w:jc w:val="center"/>
            </w:pPr>
            <w:r/>
            <w:r>
              <w:rPr>
                <w:rFonts w:ascii="宋体" w:hAnsi="宋体" w:eastAsia="宋体"/>
                <w:sz w:val="18"/>
              </w:rPr>
              <w:t>4.5%→5.5%（+22.22%）</w:t>
            </w:r>
          </w:p>
        </w:tc>
      </w:tr>
      <w:tr>
        <w:tc>
          <w:tcPr>
            <w:tcW w:type="dxa" w:w="3324"/>
          </w:tcPr>
          <w:p>
            <w:pPr>
              <w:jc w:val="center"/>
            </w:pPr>
            <w:r/>
            <w:r>
              <w:rPr>
                <w:rFonts w:ascii="宋体" w:hAnsi="宋体" w:eastAsia="宋体"/>
                <w:sz w:val="18"/>
              </w:rPr>
            </w:r>
          </w:p>
        </w:tc>
        <w:tc>
          <w:tcPr>
            <w:tcW w:type="dxa" w:w="3324"/>
          </w:tcPr>
          <w:p>
            <w:pPr>
              <w:jc w:val="center"/>
            </w:pPr>
            <w:r/>
            <w:r>
              <w:rPr>
                <w:rFonts w:ascii="宋体" w:hAnsi="宋体" w:eastAsia="宋体"/>
                <w:sz w:val="18"/>
              </w:rPr>
              <w:t>半失能→失能转移概率 p_tod</w:t>
            </w:r>
          </w:p>
        </w:tc>
        <w:tc>
          <w:tcPr>
            <w:tcW w:type="dxa" w:w="3324"/>
          </w:tcPr>
          <w:p>
            <w:pPr>
              <w:jc w:val="center"/>
            </w:pPr>
            <w:r/>
            <w:r>
              <w:rPr>
                <w:rFonts w:ascii="宋体" w:hAnsi="宋体" w:eastAsia="宋体"/>
                <w:sz w:val="18"/>
              </w:rPr>
              <w:t>10%→9.5%（-5.00%）</w:t>
            </w:r>
          </w:p>
        </w:tc>
      </w:tr>
      <w:tr>
        <w:tc>
          <w:tcPr>
            <w:tcW w:type="dxa" w:w="3324"/>
          </w:tcPr>
          <w:p>
            <w:pPr>
              <w:jc w:val="center"/>
            </w:pPr>
            <w:r/>
            <w:r>
              <w:rPr>
                <w:rFonts w:ascii="宋体" w:hAnsi="宋体" w:eastAsia="宋体"/>
                <w:sz w:val="18"/>
              </w:rPr>
              <w:t>S2</w:t>
            </w:r>
          </w:p>
        </w:tc>
        <w:tc>
          <w:tcPr>
            <w:tcW w:type="dxa" w:w="3324"/>
          </w:tcPr>
          <w:p>
            <w:pPr>
              <w:jc w:val="center"/>
            </w:pPr>
            <w:r/>
            <w:r>
              <w:rPr>
                <w:rFonts w:ascii="宋体" w:hAnsi="宋体" w:eastAsia="宋体"/>
                <w:sz w:val="18"/>
              </w:rPr>
              <w:t>日固定管理成本</w:t>
            </w:r>
          </w:p>
        </w:tc>
        <w:tc>
          <w:tcPr>
            <w:tcW w:type="dxa" w:w="3324"/>
          </w:tcPr>
          <w:p>
            <w:pPr>
              <w:jc w:val="center"/>
            </w:pPr>
            <w:r/>
            <w:r>
              <w:rPr>
                <w:rFonts w:ascii="宋体" w:hAnsi="宋体" w:eastAsia="宋体"/>
                <w:sz w:val="18"/>
              </w:rPr>
              <w:t>×1.0→×1.2（+20.00%）</w:t>
            </w:r>
          </w:p>
        </w:tc>
      </w:tr>
      <w:tr>
        <w:tc>
          <w:tcPr>
            <w:tcW w:type="dxa" w:w="3324"/>
          </w:tcPr>
          <w:p>
            <w:pPr>
              <w:jc w:val="center"/>
            </w:pPr>
            <w:r/>
            <w:r>
              <w:rPr>
                <w:rFonts w:ascii="宋体" w:hAnsi="宋体" w:eastAsia="宋体"/>
                <w:sz w:val="18"/>
              </w:rPr>
              <w:t>S3</w:t>
            </w:r>
          </w:p>
        </w:tc>
        <w:tc>
          <w:tcPr>
            <w:tcW w:type="dxa" w:w="3324"/>
          </w:tcPr>
          <w:p>
            <w:pPr>
              <w:jc w:val="center"/>
            </w:pPr>
            <w:r/>
            <w:r>
              <w:rPr>
                <w:rFonts w:ascii="宋体" w:hAnsi="宋体" w:eastAsia="宋体"/>
                <w:sz w:val="18"/>
              </w:rPr>
              <w:t>总建设预算</w:t>
            </w:r>
          </w:p>
        </w:tc>
        <w:tc>
          <w:tcPr>
            <w:tcW w:type="dxa" w:w="3324"/>
          </w:tcPr>
          <w:p>
            <w:pPr>
              <w:jc w:val="center"/>
            </w:pPr>
            <w:r/>
            <w:r>
              <w:rPr>
                <w:rFonts w:ascii="宋体" w:hAnsi="宋体" w:eastAsia="宋体"/>
                <w:sz w:val="18"/>
              </w:rPr>
              <w:t>120万→140万（+16.67%）</w:t>
            </w:r>
          </w:p>
        </w:tc>
      </w:tr>
      <w:tr>
        <w:tc>
          <w:tcPr>
            <w:tcW w:type="dxa" w:w="3324"/>
          </w:tcPr>
          <w:p>
            <w:pPr>
              <w:jc w:val="center"/>
            </w:pPr>
            <w:r/>
            <w:r>
              <w:rPr>
                <w:rFonts w:ascii="宋体" w:hAnsi="宋体" w:eastAsia="宋体"/>
                <w:sz w:val="18"/>
              </w:rPr>
            </w:r>
          </w:p>
        </w:tc>
        <w:tc>
          <w:tcPr>
            <w:tcW w:type="dxa" w:w="3324"/>
          </w:tcPr>
          <w:p>
            <w:pPr>
              <w:jc w:val="center"/>
            </w:pPr>
            <w:r/>
            <w:r>
              <w:rPr>
                <w:rFonts w:ascii="宋体" w:hAnsi="宋体" w:eastAsia="宋体"/>
                <w:sz w:val="18"/>
              </w:rPr>
              <w:t>站点数量上限 k_max</w:t>
            </w:r>
          </w:p>
        </w:tc>
        <w:tc>
          <w:tcPr>
            <w:tcW w:type="dxa" w:w="3324"/>
          </w:tcPr>
          <w:p>
            <w:pPr>
              <w:jc w:val="center"/>
            </w:pPr>
            <w:r/>
            <w:r>
              <w:rPr>
                <w:rFonts w:ascii="宋体" w:hAnsi="宋体" w:eastAsia="宋体"/>
                <w:sz w:val="18"/>
              </w:rPr>
              <w:t>6→7</w:t>
            </w:r>
          </w:p>
        </w:tc>
      </w:tr>
    </w:tbl>
    <w:p/>
    <w:p>
      <w:pPr>
        <w:pStyle w:val="Heading2"/>
      </w:pPr>
      <w:r>
        <w:rPr>
          <w:rFonts w:ascii="黑体" w:hAnsi="黑体" w:eastAsia="黑体"/>
          <w:sz w:val="24"/>
        </w:rPr>
        <w:t>4.2 多场景求解结果对比</w:t>
      </w:r>
    </w:p>
    <w:p>
      <w:pPr>
        <w:spacing w:after="60"/>
        <w:ind w:firstLine="420"/>
      </w:pPr>
      <w:r>
        <w:rPr>
          <w:rFonts w:ascii="宋体" w:hAnsi="宋体" w:eastAsia="宋体"/>
          <w:b w:val="0"/>
          <w:sz w:val="21"/>
        </w:rPr>
        <w:t>对四个场景分别运行多目标选址优化与迭代定价优化，采用膝点法选取代表方案，关键指标见表4-2。S2与Baseline选址方案完全一致，说明运营成本上涨20%下原最优选址仍保持最优。S1因人口结构变化将站点从C、D调整至A、I；S3因预算增加选用E(大)与I(大)大型站点，实现100%覆盖。</w:t>
      </w:r>
    </w:p>
    <w:p>
      <w:pPr>
        <w:spacing w:after="60"/>
        <w:ind w:firstLine="0"/>
      </w:pPr>
      <w:r>
        <w:rPr>
          <w:rFonts w:ascii="宋体" w:hAnsi="宋体" w:eastAsia="宋体"/>
          <w:b/>
          <w:sz w:val="21"/>
        </w:rPr>
        <w:t>表4-2 各场景代表方案关键指标对比</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2F3"/>
          </w:tcPr>
          <w:p>
            <w:pPr>
              <w:jc w:val="center"/>
            </w:pPr>
            <w:r/>
            <w:r>
              <w:rPr>
                <w:rFonts w:ascii="宋体" w:hAnsi="宋体" w:eastAsia="宋体"/>
                <w:b/>
                <w:sz w:val="18"/>
              </w:rPr>
              <w:t>指标</w:t>
            </w:r>
          </w:p>
        </w:tc>
        <w:tc>
          <w:tcPr>
            <w:tcW w:type="dxa" w:w="1994"/>
            <w:shd w:fill="D9E2F3"/>
          </w:tcPr>
          <w:p>
            <w:pPr>
              <w:jc w:val="center"/>
            </w:pPr>
            <w:r/>
            <w:r>
              <w:rPr>
                <w:rFonts w:ascii="宋体" w:hAnsi="宋体" w:eastAsia="宋体"/>
                <w:b/>
                <w:sz w:val="18"/>
              </w:rPr>
              <w:t>Baseline</w:t>
            </w:r>
          </w:p>
        </w:tc>
        <w:tc>
          <w:tcPr>
            <w:tcW w:type="dxa" w:w="1994"/>
            <w:shd w:fill="D9E2F3"/>
          </w:tcPr>
          <w:p>
            <w:pPr>
              <w:jc w:val="center"/>
            </w:pPr>
            <w:r/>
            <w:r>
              <w:rPr>
                <w:rFonts w:ascii="宋体" w:hAnsi="宋体" w:eastAsia="宋体"/>
                <w:b/>
                <w:sz w:val="18"/>
              </w:rPr>
              <w:t>S1</w:t>
            </w:r>
          </w:p>
        </w:tc>
        <w:tc>
          <w:tcPr>
            <w:tcW w:type="dxa" w:w="1994"/>
            <w:shd w:fill="D9E2F3"/>
          </w:tcPr>
          <w:p>
            <w:pPr>
              <w:jc w:val="center"/>
            </w:pPr>
            <w:r/>
            <w:r>
              <w:rPr>
                <w:rFonts w:ascii="宋体" w:hAnsi="宋体" w:eastAsia="宋体"/>
                <w:b/>
                <w:sz w:val="18"/>
              </w:rPr>
              <w:t>S2</w:t>
            </w:r>
          </w:p>
        </w:tc>
        <w:tc>
          <w:tcPr>
            <w:tcW w:type="dxa" w:w="1994"/>
            <w:shd w:fill="D9E2F3"/>
          </w:tcPr>
          <w:p>
            <w:pPr>
              <w:jc w:val="center"/>
            </w:pPr>
            <w:r/>
            <w:r>
              <w:rPr>
                <w:rFonts w:ascii="宋体" w:hAnsi="宋体" w:eastAsia="宋体"/>
                <w:b/>
                <w:sz w:val="18"/>
              </w:rPr>
              <w:t>S3</w:t>
            </w:r>
          </w:p>
        </w:tc>
      </w:tr>
      <w:tr>
        <w:tc>
          <w:tcPr>
            <w:tcW w:type="dxa" w:w="1994"/>
          </w:tcPr>
          <w:p>
            <w:pPr>
              <w:jc w:val="center"/>
            </w:pPr>
            <w:r/>
            <w:r>
              <w:rPr>
                <w:rFonts w:ascii="宋体" w:hAnsi="宋体" w:eastAsia="宋体"/>
                <w:sz w:val="18"/>
              </w:rPr>
              <w:t>代表权重α</w:t>
            </w:r>
          </w:p>
        </w:tc>
        <w:tc>
          <w:tcPr>
            <w:tcW w:type="dxa" w:w="1994"/>
          </w:tcPr>
          <w:p>
            <w:pPr>
              <w:jc w:val="center"/>
            </w:pPr>
            <w:r/>
            <w:r>
              <w:rPr>
                <w:rFonts w:ascii="宋体" w:hAnsi="宋体" w:eastAsia="宋体"/>
                <w:sz w:val="18"/>
              </w:rPr>
              <w:t>0.35</w:t>
            </w:r>
          </w:p>
        </w:tc>
        <w:tc>
          <w:tcPr>
            <w:tcW w:type="dxa" w:w="1994"/>
          </w:tcPr>
          <w:p>
            <w:pPr>
              <w:jc w:val="center"/>
            </w:pPr>
            <w:r/>
            <w:r>
              <w:rPr>
                <w:rFonts w:ascii="宋体" w:hAnsi="宋体" w:eastAsia="宋体"/>
                <w:sz w:val="18"/>
              </w:rPr>
              <w:t>0.45</w:t>
            </w:r>
          </w:p>
        </w:tc>
        <w:tc>
          <w:tcPr>
            <w:tcW w:type="dxa" w:w="1994"/>
          </w:tcPr>
          <w:p>
            <w:pPr>
              <w:jc w:val="center"/>
            </w:pPr>
            <w:r/>
            <w:r>
              <w:rPr>
                <w:rFonts w:ascii="宋体" w:hAnsi="宋体" w:eastAsia="宋体"/>
                <w:sz w:val="18"/>
              </w:rPr>
              <w:t>0.35</w:t>
            </w:r>
          </w:p>
        </w:tc>
        <w:tc>
          <w:tcPr>
            <w:tcW w:type="dxa" w:w="1994"/>
          </w:tcPr>
          <w:p>
            <w:pPr>
              <w:jc w:val="center"/>
            </w:pPr>
            <w:r/>
            <w:r>
              <w:rPr>
                <w:rFonts w:ascii="宋体" w:hAnsi="宋体" w:eastAsia="宋体"/>
                <w:sz w:val="18"/>
              </w:rPr>
              <w:t>0.00</w:t>
            </w:r>
          </w:p>
        </w:tc>
      </w:tr>
      <w:tr>
        <w:tc>
          <w:tcPr>
            <w:tcW w:type="dxa" w:w="1994"/>
          </w:tcPr>
          <w:p>
            <w:pPr>
              <w:jc w:val="center"/>
            </w:pPr>
            <w:r/>
            <w:r>
              <w:rPr>
                <w:rFonts w:ascii="宋体" w:hAnsi="宋体" w:eastAsia="宋体"/>
                <w:sz w:val="18"/>
              </w:rPr>
              <w:t>建设站点数</w:t>
            </w:r>
          </w:p>
        </w:tc>
        <w:tc>
          <w:tcPr>
            <w:tcW w:type="dxa" w:w="1994"/>
          </w:tcPr>
          <w:p>
            <w:pPr>
              <w:jc w:val="center"/>
            </w:pPr>
            <w:r/>
            <w:r>
              <w:rPr>
                <w:rFonts w:ascii="宋体" w:hAnsi="宋体" w:eastAsia="宋体"/>
                <w:sz w:val="18"/>
              </w:rPr>
              <w:t>4</w:t>
            </w:r>
          </w:p>
        </w:tc>
        <w:tc>
          <w:tcPr>
            <w:tcW w:type="dxa" w:w="1994"/>
          </w:tcPr>
          <w:p>
            <w:pPr>
              <w:jc w:val="center"/>
            </w:pPr>
            <w:r/>
            <w:r>
              <w:rPr>
                <w:rFonts w:ascii="宋体" w:hAnsi="宋体" w:eastAsia="宋体"/>
                <w:sz w:val="18"/>
              </w:rPr>
              <w:t>4</w:t>
            </w:r>
          </w:p>
        </w:tc>
        <w:tc>
          <w:tcPr>
            <w:tcW w:type="dxa" w:w="1994"/>
          </w:tcPr>
          <w:p>
            <w:pPr>
              <w:jc w:val="center"/>
            </w:pPr>
            <w:r/>
            <w:r>
              <w:rPr>
                <w:rFonts w:ascii="宋体" w:hAnsi="宋体" w:eastAsia="宋体"/>
                <w:sz w:val="18"/>
              </w:rPr>
              <w:t>4</w:t>
            </w:r>
          </w:p>
        </w:tc>
        <w:tc>
          <w:tcPr>
            <w:tcW w:type="dxa" w:w="1994"/>
          </w:tcPr>
          <w:p>
            <w:pPr>
              <w:jc w:val="center"/>
            </w:pPr>
            <w:r/>
            <w:r>
              <w:rPr>
                <w:rFonts w:ascii="宋体" w:hAnsi="宋体" w:eastAsia="宋体"/>
                <w:sz w:val="18"/>
              </w:rPr>
              <w:t>4</w:t>
            </w:r>
          </w:p>
        </w:tc>
      </w:tr>
      <w:tr>
        <w:tc>
          <w:tcPr>
            <w:tcW w:type="dxa" w:w="1994"/>
          </w:tcPr>
          <w:p>
            <w:pPr>
              <w:jc w:val="center"/>
            </w:pPr>
            <w:r/>
            <w:r>
              <w:rPr>
                <w:rFonts w:ascii="宋体" w:hAnsi="宋体" w:eastAsia="宋体"/>
                <w:sz w:val="18"/>
              </w:rPr>
              <w:t>站点配置</w:t>
            </w:r>
          </w:p>
        </w:tc>
        <w:tc>
          <w:tcPr>
            <w:tcW w:type="dxa" w:w="1994"/>
          </w:tcPr>
          <w:p>
            <w:pPr>
              <w:jc w:val="center"/>
            </w:pPr>
            <w:r/>
            <w:r>
              <w:rPr>
                <w:rFonts w:ascii="宋体" w:hAnsi="宋体" w:eastAsia="宋体"/>
                <w:sz w:val="18"/>
              </w:rPr>
              <w:t>C小+D中+G小+J大</w:t>
            </w:r>
          </w:p>
        </w:tc>
        <w:tc>
          <w:tcPr>
            <w:tcW w:type="dxa" w:w="1994"/>
          </w:tcPr>
          <w:p>
            <w:pPr>
              <w:jc w:val="center"/>
            </w:pPr>
            <w:r/>
            <w:r>
              <w:rPr>
                <w:rFonts w:ascii="宋体" w:hAnsi="宋体" w:eastAsia="宋体"/>
                <w:sz w:val="18"/>
              </w:rPr>
              <w:t>A小+G小+I中+J大</w:t>
            </w:r>
          </w:p>
        </w:tc>
        <w:tc>
          <w:tcPr>
            <w:tcW w:type="dxa" w:w="1994"/>
          </w:tcPr>
          <w:p>
            <w:pPr>
              <w:jc w:val="center"/>
            </w:pPr>
            <w:r/>
            <w:r>
              <w:rPr>
                <w:rFonts w:ascii="宋体" w:hAnsi="宋体" w:eastAsia="宋体"/>
                <w:sz w:val="18"/>
              </w:rPr>
              <w:t>C小+D中+G小+J大</w:t>
            </w:r>
          </w:p>
        </w:tc>
        <w:tc>
          <w:tcPr>
            <w:tcW w:type="dxa" w:w="1994"/>
          </w:tcPr>
          <w:p>
            <w:pPr>
              <w:jc w:val="center"/>
            </w:pPr>
            <w:r/>
            <w:r>
              <w:rPr>
                <w:rFonts w:ascii="宋体" w:hAnsi="宋体" w:eastAsia="宋体"/>
                <w:sz w:val="18"/>
              </w:rPr>
              <w:t>A小+E大+I大+J中</w:t>
            </w:r>
          </w:p>
        </w:tc>
      </w:tr>
      <w:tr>
        <w:tc>
          <w:tcPr>
            <w:tcW w:type="dxa" w:w="1994"/>
          </w:tcPr>
          <w:p>
            <w:pPr>
              <w:jc w:val="center"/>
            </w:pPr>
            <w:r/>
            <w:r>
              <w:rPr>
                <w:rFonts w:ascii="宋体" w:hAnsi="宋体" w:eastAsia="宋体"/>
                <w:sz w:val="18"/>
              </w:rPr>
              <w:t>建设成本/万元</w:t>
            </w:r>
          </w:p>
        </w:tc>
        <w:tc>
          <w:tcPr>
            <w:tcW w:type="dxa" w:w="1994"/>
          </w:tcPr>
          <w:p>
            <w:pPr>
              <w:jc w:val="center"/>
            </w:pPr>
            <w:r/>
            <w:r>
              <w:rPr>
                <w:rFonts w:ascii="宋体" w:hAnsi="宋体" w:eastAsia="宋体"/>
                <w:sz w:val="18"/>
              </w:rPr>
              <w:t>113</w:t>
            </w:r>
          </w:p>
        </w:tc>
        <w:tc>
          <w:tcPr>
            <w:tcW w:type="dxa" w:w="1994"/>
          </w:tcPr>
          <w:p>
            <w:pPr>
              <w:jc w:val="center"/>
            </w:pPr>
            <w:r/>
            <w:r>
              <w:rPr>
                <w:rFonts w:ascii="宋体" w:hAnsi="宋体" w:eastAsia="宋体"/>
                <w:sz w:val="18"/>
              </w:rPr>
              <w:t>113</w:t>
            </w:r>
          </w:p>
        </w:tc>
        <w:tc>
          <w:tcPr>
            <w:tcW w:type="dxa" w:w="1994"/>
          </w:tcPr>
          <w:p>
            <w:pPr>
              <w:jc w:val="center"/>
            </w:pPr>
            <w:r/>
            <w:r>
              <w:rPr>
                <w:rFonts w:ascii="宋体" w:hAnsi="宋体" w:eastAsia="宋体"/>
                <w:sz w:val="18"/>
              </w:rPr>
              <w:t>113</w:t>
            </w:r>
          </w:p>
        </w:tc>
        <w:tc>
          <w:tcPr>
            <w:tcW w:type="dxa" w:w="1994"/>
          </w:tcPr>
          <w:p>
            <w:pPr>
              <w:jc w:val="center"/>
            </w:pPr>
            <w:r/>
            <w:r>
              <w:rPr>
                <w:rFonts w:ascii="宋体" w:hAnsi="宋体" w:eastAsia="宋体"/>
                <w:sz w:val="18"/>
              </w:rPr>
              <w:t>140</w:t>
            </w:r>
          </w:p>
        </w:tc>
      </w:tr>
      <w:tr>
        <w:tc>
          <w:tcPr>
            <w:tcW w:type="dxa" w:w="1994"/>
          </w:tcPr>
          <w:p>
            <w:pPr>
              <w:jc w:val="center"/>
            </w:pPr>
            <w:r/>
            <w:r>
              <w:rPr>
                <w:rFonts w:ascii="宋体" w:hAnsi="宋体" w:eastAsia="宋体"/>
                <w:sz w:val="18"/>
              </w:rPr>
              <w:t>P2覆盖率/%</w:t>
            </w:r>
          </w:p>
        </w:tc>
        <w:tc>
          <w:tcPr>
            <w:tcW w:type="dxa" w:w="1994"/>
          </w:tcPr>
          <w:p>
            <w:pPr>
              <w:jc w:val="center"/>
            </w:pPr>
            <w:r/>
            <w:r>
              <w:rPr>
                <w:rFonts w:ascii="宋体" w:hAnsi="宋体" w:eastAsia="宋体"/>
                <w:sz w:val="18"/>
              </w:rPr>
              <w:t>93.12</w:t>
            </w:r>
          </w:p>
        </w:tc>
        <w:tc>
          <w:tcPr>
            <w:tcW w:type="dxa" w:w="1994"/>
          </w:tcPr>
          <w:p>
            <w:pPr>
              <w:jc w:val="center"/>
            </w:pPr>
            <w:r/>
            <w:r>
              <w:rPr>
                <w:rFonts w:ascii="宋体" w:hAnsi="宋体" w:eastAsia="宋体"/>
                <w:sz w:val="18"/>
              </w:rPr>
              <w:t>88.58</w:t>
            </w:r>
          </w:p>
        </w:tc>
        <w:tc>
          <w:tcPr>
            <w:tcW w:type="dxa" w:w="1994"/>
          </w:tcPr>
          <w:p>
            <w:pPr>
              <w:jc w:val="center"/>
            </w:pPr>
            <w:r/>
            <w:r>
              <w:rPr>
                <w:rFonts w:ascii="宋体" w:hAnsi="宋体" w:eastAsia="宋体"/>
                <w:sz w:val="18"/>
              </w:rPr>
              <w:t>93.12</w:t>
            </w:r>
          </w:p>
        </w:tc>
        <w:tc>
          <w:tcPr>
            <w:tcW w:type="dxa" w:w="1994"/>
          </w:tcPr>
          <w:p>
            <w:pPr>
              <w:jc w:val="center"/>
            </w:pPr>
            <w:r/>
            <w:r>
              <w:rPr>
                <w:rFonts w:ascii="宋体" w:hAnsi="宋体" w:eastAsia="宋体"/>
                <w:sz w:val="18"/>
              </w:rPr>
              <w:t>100.00</w:t>
            </w:r>
          </w:p>
        </w:tc>
      </w:tr>
      <w:tr>
        <w:tc>
          <w:tcPr>
            <w:tcW w:type="dxa" w:w="1994"/>
          </w:tcPr>
          <w:p>
            <w:pPr>
              <w:jc w:val="center"/>
            </w:pPr>
            <w:r/>
            <w:r>
              <w:rPr>
                <w:rFonts w:ascii="宋体" w:hAnsi="宋体" w:eastAsia="宋体"/>
                <w:sz w:val="18"/>
              </w:rPr>
              <w:t>P2满意度</w:t>
            </w:r>
          </w:p>
        </w:tc>
        <w:tc>
          <w:tcPr>
            <w:tcW w:type="dxa" w:w="1994"/>
          </w:tcPr>
          <w:p>
            <w:pPr>
              <w:jc w:val="center"/>
            </w:pPr>
            <w:r/>
            <w:r>
              <w:rPr>
                <w:rFonts w:ascii="宋体" w:hAnsi="宋体" w:eastAsia="宋体"/>
                <w:sz w:val="18"/>
              </w:rPr>
              <w:t>0.8112</w:t>
            </w:r>
          </w:p>
        </w:tc>
        <w:tc>
          <w:tcPr>
            <w:tcW w:type="dxa" w:w="1994"/>
          </w:tcPr>
          <w:p>
            <w:pPr>
              <w:jc w:val="center"/>
            </w:pPr>
            <w:r/>
            <w:r>
              <w:rPr>
                <w:rFonts w:ascii="宋体" w:hAnsi="宋体" w:eastAsia="宋体"/>
                <w:sz w:val="18"/>
              </w:rPr>
              <w:t>0.7884</w:t>
            </w:r>
          </w:p>
        </w:tc>
        <w:tc>
          <w:tcPr>
            <w:tcW w:type="dxa" w:w="1994"/>
          </w:tcPr>
          <w:p>
            <w:pPr>
              <w:jc w:val="center"/>
            </w:pPr>
            <w:r/>
            <w:r>
              <w:rPr>
                <w:rFonts w:ascii="宋体" w:hAnsi="宋体" w:eastAsia="宋体"/>
                <w:sz w:val="18"/>
              </w:rPr>
              <w:t>0.8112</w:t>
            </w:r>
          </w:p>
        </w:tc>
        <w:tc>
          <w:tcPr>
            <w:tcW w:type="dxa" w:w="1994"/>
          </w:tcPr>
          <w:p>
            <w:pPr>
              <w:jc w:val="center"/>
            </w:pPr>
            <w:r/>
            <w:r>
              <w:rPr>
                <w:rFonts w:ascii="宋体" w:hAnsi="宋体" w:eastAsia="宋体"/>
                <w:sz w:val="18"/>
              </w:rPr>
              <w:t>0.9492</w:t>
            </w:r>
          </w:p>
        </w:tc>
      </w:tr>
      <w:tr>
        <w:tc>
          <w:tcPr>
            <w:tcW w:type="dxa" w:w="1994"/>
          </w:tcPr>
          <w:p>
            <w:pPr>
              <w:jc w:val="center"/>
            </w:pPr>
            <w:r/>
            <w:r>
              <w:rPr>
                <w:rFonts w:ascii="宋体" w:hAnsi="宋体" w:eastAsia="宋体"/>
                <w:sz w:val="18"/>
              </w:rPr>
              <w:t>P2年度利润/万元</w:t>
            </w:r>
          </w:p>
        </w:tc>
        <w:tc>
          <w:tcPr>
            <w:tcW w:type="dxa" w:w="1994"/>
          </w:tcPr>
          <w:p>
            <w:pPr>
              <w:jc w:val="center"/>
            </w:pPr>
            <w:r/>
            <w:r>
              <w:rPr>
                <w:rFonts w:ascii="宋体" w:hAnsi="宋体" w:eastAsia="宋体"/>
                <w:sz w:val="18"/>
              </w:rPr>
              <w:t>333.46</w:t>
            </w:r>
          </w:p>
        </w:tc>
        <w:tc>
          <w:tcPr>
            <w:tcW w:type="dxa" w:w="1994"/>
          </w:tcPr>
          <w:p>
            <w:pPr>
              <w:jc w:val="center"/>
            </w:pPr>
            <w:r/>
            <w:r>
              <w:rPr>
                <w:rFonts w:ascii="宋体" w:hAnsi="宋体" w:eastAsia="宋体"/>
                <w:sz w:val="18"/>
              </w:rPr>
              <w:t>314.53</w:t>
            </w:r>
          </w:p>
        </w:tc>
        <w:tc>
          <w:tcPr>
            <w:tcW w:type="dxa" w:w="1994"/>
          </w:tcPr>
          <w:p>
            <w:pPr>
              <w:jc w:val="center"/>
            </w:pPr>
            <w:r/>
            <w:r>
              <w:rPr>
                <w:rFonts w:ascii="宋体" w:hAnsi="宋体" w:eastAsia="宋体"/>
                <w:sz w:val="18"/>
              </w:rPr>
              <w:t>248.78</w:t>
            </w:r>
          </w:p>
        </w:tc>
        <w:tc>
          <w:tcPr>
            <w:tcW w:type="dxa" w:w="1994"/>
          </w:tcPr>
          <w:p>
            <w:pPr>
              <w:jc w:val="center"/>
            </w:pPr>
            <w:r/>
            <w:r>
              <w:rPr>
                <w:rFonts w:ascii="宋体" w:hAnsi="宋体" w:eastAsia="宋体"/>
                <w:sz w:val="18"/>
              </w:rPr>
              <w:t>343.02</w:t>
            </w:r>
          </w:p>
        </w:tc>
      </w:tr>
      <w:tr>
        <w:tc>
          <w:tcPr>
            <w:tcW w:type="dxa" w:w="1994"/>
          </w:tcPr>
          <w:p>
            <w:pPr>
              <w:jc w:val="center"/>
            </w:pPr>
            <w:r/>
            <w:r>
              <w:rPr>
                <w:rFonts w:ascii="宋体" w:hAnsi="宋体" w:eastAsia="宋体"/>
                <w:sz w:val="18"/>
              </w:rPr>
              <w:t>P3年度利润/万元</w:t>
            </w:r>
          </w:p>
        </w:tc>
        <w:tc>
          <w:tcPr>
            <w:tcW w:type="dxa" w:w="1994"/>
          </w:tcPr>
          <w:p>
            <w:pPr>
              <w:jc w:val="center"/>
            </w:pPr>
            <w:r/>
            <w:r>
              <w:rPr>
                <w:rFonts w:ascii="宋体" w:hAnsi="宋体" w:eastAsia="宋体"/>
                <w:sz w:val="18"/>
              </w:rPr>
              <w:t>64.58</w:t>
            </w:r>
          </w:p>
        </w:tc>
        <w:tc>
          <w:tcPr>
            <w:tcW w:type="dxa" w:w="1994"/>
          </w:tcPr>
          <w:p>
            <w:pPr>
              <w:jc w:val="center"/>
            </w:pPr>
            <w:r/>
            <w:r>
              <w:rPr>
                <w:rFonts w:ascii="宋体" w:hAnsi="宋体" w:eastAsia="宋体"/>
                <w:sz w:val="18"/>
              </w:rPr>
              <w:t>46.29</w:t>
            </w:r>
          </w:p>
        </w:tc>
        <w:tc>
          <w:tcPr>
            <w:tcW w:type="dxa" w:w="1994"/>
          </w:tcPr>
          <w:p>
            <w:pPr>
              <w:jc w:val="center"/>
            </w:pPr>
            <w:r/>
            <w:r>
              <w:rPr>
                <w:rFonts w:ascii="宋体" w:hAnsi="宋体" w:eastAsia="宋体"/>
                <w:sz w:val="18"/>
              </w:rPr>
              <w:t>128.40</w:t>
            </w:r>
          </w:p>
        </w:tc>
        <w:tc>
          <w:tcPr>
            <w:tcW w:type="dxa" w:w="1994"/>
          </w:tcPr>
          <w:p>
            <w:pPr>
              <w:jc w:val="center"/>
            </w:pPr>
            <w:r/>
            <w:r>
              <w:rPr>
                <w:rFonts w:ascii="宋体" w:hAnsi="宋体" w:eastAsia="宋体"/>
                <w:sz w:val="18"/>
              </w:rPr>
              <w:t>22.02</w:t>
            </w:r>
          </w:p>
        </w:tc>
      </w:tr>
      <w:tr>
        <w:tc>
          <w:tcPr>
            <w:tcW w:type="dxa" w:w="1994"/>
          </w:tcPr>
          <w:p>
            <w:pPr>
              <w:jc w:val="center"/>
            </w:pPr>
            <w:r/>
            <w:r>
              <w:rPr>
                <w:rFonts w:ascii="宋体" w:hAnsi="宋体" w:eastAsia="宋体"/>
                <w:sz w:val="18"/>
              </w:rPr>
              <w:t>P3覆盖率/%</w:t>
            </w:r>
          </w:p>
        </w:tc>
        <w:tc>
          <w:tcPr>
            <w:tcW w:type="dxa" w:w="1994"/>
          </w:tcPr>
          <w:p>
            <w:pPr>
              <w:jc w:val="center"/>
            </w:pPr>
            <w:r/>
            <w:r>
              <w:rPr>
                <w:rFonts w:ascii="宋体" w:hAnsi="宋体" w:eastAsia="宋体"/>
                <w:sz w:val="18"/>
              </w:rPr>
              <w:t>93.12</w:t>
            </w:r>
          </w:p>
        </w:tc>
        <w:tc>
          <w:tcPr>
            <w:tcW w:type="dxa" w:w="1994"/>
          </w:tcPr>
          <w:p>
            <w:pPr>
              <w:jc w:val="center"/>
            </w:pPr>
            <w:r/>
            <w:r>
              <w:rPr>
                <w:rFonts w:ascii="宋体" w:hAnsi="宋体" w:eastAsia="宋体"/>
                <w:sz w:val="18"/>
              </w:rPr>
              <w:t>88.58</w:t>
            </w:r>
          </w:p>
        </w:tc>
        <w:tc>
          <w:tcPr>
            <w:tcW w:type="dxa" w:w="1994"/>
          </w:tcPr>
          <w:p>
            <w:pPr>
              <w:jc w:val="center"/>
            </w:pPr>
            <w:r/>
            <w:r>
              <w:rPr>
                <w:rFonts w:ascii="宋体" w:hAnsi="宋体" w:eastAsia="宋体"/>
                <w:sz w:val="18"/>
              </w:rPr>
              <w:t>93.12</w:t>
            </w:r>
          </w:p>
        </w:tc>
        <w:tc>
          <w:tcPr>
            <w:tcW w:type="dxa" w:w="1994"/>
          </w:tcPr>
          <w:p>
            <w:pPr>
              <w:jc w:val="center"/>
            </w:pPr>
            <w:r/>
            <w:r>
              <w:rPr>
                <w:rFonts w:ascii="宋体" w:hAnsi="宋体" w:eastAsia="宋体"/>
                <w:sz w:val="18"/>
              </w:rPr>
              <w:t>100.00</w:t>
            </w:r>
          </w:p>
        </w:tc>
      </w:tr>
      <w:tr>
        <w:tc>
          <w:tcPr>
            <w:tcW w:type="dxa" w:w="1994"/>
          </w:tcPr>
          <w:p>
            <w:pPr>
              <w:jc w:val="center"/>
            </w:pPr>
            <w:r/>
            <w:r>
              <w:rPr>
                <w:rFonts w:ascii="宋体" w:hAnsi="宋体" w:eastAsia="宋体"/>
                <w:sz w:val="18"/>
              </w:rPr>
              <w:t>P3满意度</w:t>
            </w:r>
          </w:p>
        </w:tc>
        <w:tc>
          <w:tcPr>
            <w:tcW w:type="dxa" w:w="1994"/>
          </w:tcPr>
          <w:p>
            <w:pPr>
              <w:jc w:val="center"/>
            </w:pPr>
            <w:r/>
            <w:r>
              <w:rPr>
                <w:rFonts w:ascii="宋体" w:hAnsi="宋体" w:eastAsia="宋体"/>
                <w:sz w:val="18"/>
              </w:rPr>
              <w:t>0.8581</w:t>
            </w:r>
          </w:p>
        </w:tc>
        <w:tc>
          <w:tcPr>
            <w:tcW w:type="dxa" w:w="1994"/>
          </w:tcPr>
          <w:p>
            <w:pPr>
              <w:jc w:val="center"/>
            </w:pPr>
            <w:r/>
            <w:r>
              <w:rPr>
                <w:rFonts w:ascii="宋体" w:hAnsi="宋体" w:eastAsia="宋体"/>
                <w:sz w:val="18"/>
              </w:rPr>
              <w:t>0.8596</w:t>
            </w:r>
          </w:p>
        </w:tc>
        <w:tc>
          <w:tcPr>
            <w:tcW w:type="dxa" w:w="1994"/>
          </w:tcPr>
          <w:p>
            <w:pPr>
              <w:jc w:val="center"/>
            </w:pPr>
            <w:r/>
            <w:r>
              <w:rPr>
                <w:rFonts w:ascii="宋体" w:hAnsi="宋体" w:eastAsia="宋体"/>
                <w:sz w:val="18"/>
              </w:rPr>
              <w:t>0.8560</w:t>
            </w:r>
          </w:p>
        </w:tc>
        <w:tc>
          <w:tcPr>
            <w:tcW w:type="dxa" w:w="1994"/>
          </w:tcPr>
          <w:p>
            <w:pPr>
              <w:jc w:val="center"/>
            </w:pPr>
            <w:r/>
            <w:r>
              <w:rPr>
                <w:rFonts w:ascii="宋体" w:hAnsi="宋体" w:eastAsia="宋体"/>
                <w:sz w:val="18"/>
              </w:rPr>
              <w:t>0.9086</w:t>
            </w:r>
          </w:p>
        </w:tc>
      </w:tr>
      <w:tr>
        <w:tc>
          <w:tcPr>
            <w:tcW w:type="dxa" w:w="1994"/>
          </w:tcPr>
          <w:p>
            <w:pPr>
              <w:jc w:val="center"/>
            </w:pPr>
            <w:r/>
            <w:r>
              <w:rPr>
                <w:rFonts w:ascii="宋体" w:hAnsi="宋体" w:eastAsia="宋体"/>
                <w:sz w:val="18"/>
              </w:rPr>
              <w:t>平均定价乘子</w:t>
            </w:r>
          </w:p>
        </w:tc>
        <w:tc>
          <w:tcPr>
            <w:tcW w:type="dxa" w:w="1994"/>
          </w:tcPr>
          <w:p>
            <w:pPr>
              <w:jc w:val="center"/>
            </w:pPr>
            <w:r/>
            <w:r>
              <w:rPr>
                <w:rFonts w:ascii="宋体" w:hAnsi="宋体" w:eastAsia="宋体"/>
                <w:sz w:val="18"/>
              </w:rPr>
              <w:t>1.175</w:t>
            </w:r>
          </w:p>
        </w:tc>
        <w:tc>
          <w:tcPr>
            <w:tcW w:type="dxa" w:w="1994"/>
          </w:tcPr>
          <w:p>
            <w:pPr>
              <w:jc w:val="center"/>
            </w:pPr>
            <w:r/>
            <w:r>
              <w:rPr>
                <w:rFonts w:ascii="宋体" w:hAnsi="宋体" w:eastAsia="宋体"/>
                <w:sz w:val="18"/>
              </w:rPr>
              <w:t>1.158</w:t>
            </w:r>
          </w:p>
        </w:tc>
        <w:tc>
          <w:tcPr>
            <w:tcW w:type="dxa" w:w="1994"/>
          </w:tcPr>
          <w:p>
            <w:pPr>
              <w:jc w:val="center"/>
            </w:pPr>
            <w:r/>
            <w:r>
              <w:rPr>
                <w:rFonts w:ascii="宋体" w:hAnsi="宋体" w:eastAsia="宋体"/>
                <w:sz w:val="18"/>
              </w:rPr>
              <w:t>1.250</w:t>
            </w:r>
          </w:p>
        </w:tc>
        <w:tc>
          <w:tcPr>
            <w:tcW w:type="dxa" w:w="1994"/>
          </w:tcPr>
          <w:p>
            <w:pPr>
              <w:jc w:val="center"/>
            </w:pPr>
            <w:r/>
            <w:r>
              <w:rPr>
                <w:rFonts w:ascii="宋体" w:hAnsi="宋体" w:eastAsia="宋体"/>
                <w:sz w:val="18"/>
              </w:rPr>
              <w:t>1.130</w:t>
            </w:r>
          </w:p>
        </w:tc>
      </w:tr>
    </w:tbl>
    <w:p/>
    <w:p>
      <w:pPr>
        <w:jc w:val="center"/>
      </w:pPr>
      <w:r>
        <w:drawing>
          <wp:inline xmlns:a="http://schemas.openxmlformats.org/drawingml/2006/main" xmlns:pic="http://schemas.openxmlformats.org/drawingml/2006/picture">
            <wp:extent cx="4754880" cy="3502876"/>
            <wp:docPr id="1" name="Picture 1"/>
            <wp:cNvGraphicFramePr>
              <a:graphicFrameLocks noChangeAspect="1"/>
            </wp:cNvGraphicFramePr>
            <a:graphic>
              <a:graphicData uri="http://schemas.openxmlformats.org/drawingml/2006/picture">
                <pic:pic>
                  <pic:nvPicPr>
                    <pic:cNvPr id="0" name="问题4_关键指标对比.png"/>
                    <pic:cNvPicPr/>
                  </pic:nvPicPr>
                  <pic:blipFill>
                    <a:blip r:embed="rId9"/>
                    <a:stretch>
                      <a:fillRect/>
                    </a:stretch>
                  </pic:blipFill>
                  <pic:spPr>
                    <a:xfrm>
                      <a:off x="0" y="0"/>
                      <a:ext cx="4754880" cy="3502876"/>
                    </a:xfrm>
                    <a:prstGeom prst="rect"/>
                  </pic:spPr>
                </pic:pic>
              </a:graphicData>
            </a:graphic>
          </wp:inline>
        </w:drawing>
      </w:r>
    </w:p>
    <w:p>
      <w:pPr>
        <w:jc w:val="center"/>
      </w:pPr>
      <w:r>
        <w:rPr>
          <w:rFonts w:ascii="宋体" w:hAnsi="宋体" w:eastAsia="宋体"/>
          <w:i/>
          <w:sz w:val="18"/>
        </w:rPr>
        <w:t>图4-1 各场景关键指标对比</w:t>
      </w:r>
    </w:p>
    <w:p/>
    <w:p>
      <w:pPr>
        <w:pStyle w:val="Heading2"/>
      </w:pPr>
      <w:r>
        <w:rPr>
          <w:rFonts w:ascii="黑体" w:hAnsi="黑体" w:eastAsia="黑体"/>
          <w:sz w:val="24"/>
        </w:rPr>
        <w:t>4.3 帕累托前沿与敏感性分析</w:t>
      </w:r>
    </w:p>
    <w:p>
      <w:pPr>
        <w:spacing w:after="60"/>
        <w:ind w:firstLine="420"/>
      </w:pPr>
      <w:r>
        <w:rPr>
          <w:rFonts w:ascii="宋体" w:hAnsi="宋体" w:eastAsia="宋体"/>
          <w:b w:val="0"/>
          <w:sz w:val="21"/>
        </w:rPr>
        <w:t>图4-2展示了四个场景在覆盖率-满意度二维空间中的帕累托前沿分布。Baseline、S1、S2前沿集中在覆盖率86%-94%、满意度0.78-0.84区间，三者高度重叠，说明人口参数与运营成本变化未改变多目标优化的基本权衡关系。S3前沿显著右移至覆盖率100%、满意度0.92-0.95区域，预算增加打破了原有资源约束边界。</w:t>
      </w:r>
    </w:p>
    <w:p>
      <w:pPr>
        <w:jc w:val="center"/>
      </w:pPr>
      <w:r>
        <w:drawing>
          <wp:inline xmlns:a="http://schemas.openxmlformats.org/drawingml/2006/main" xmlns:pic="http://schemas.openxmlformats.org/drawingml/2006/picture">
            <wp:extent cx="4754880" cy="3328416"/>
            <wp:docPr id="2" name="Picture 2"/>
            <wp:cNvGraphicFramePr>
              <a:graphicFrameLocks noChangeAspect="1"/>
            </wp:cNvGraphicFramePr>
            <a:graphic>
              <a:graphicData uri="http://schemas.openxmlformats.org/drawingml/2006/picture">
                <pic:pic>
                  <pic:nvPicPr>
                    <pic:cNvPr id="0" name="问题4_帕累托前沿对比.png"/>
                    <pic:cNvPicPr/>
                  </pic:nvPicPr>
                  <pic:blipFill>
                    <a:blip r:embed="rId10"/>
                    <a:stretch>
                      <a:fillRect/>
                    </a:stretch>
                  </pic:blipFill>
                  <pic:spPr>
                    <a:xfrm>
                      <a:off x="0" y="0"/>
                      <a:ext cx="4754880" cy="3328416"/>
                    </a:xfrm>
                    <a:prstGeom prst="rect"/>
                  </pic:spPr>
                </pic:pic>
              </a:graphicData>
            </a:graphic>
          </wp:inline>
        </w:drawing>
      </w:r>
    </w:p>
    <w:p>
      <w:pPr>
        <w:jc w:val="center"/>
      </w:pPr>
      <w:r>
        <w:rPr>
          <w:rFonts w:ascii="宋体" w:hAnsi="宋体" w:eastAsia="宋体"/>
          <w:i/>
          <w:sz w:val="18"/>
        </w:rPr>
        <w:t>图4-2 帕累托前沿对比</w:t>
      </w:r>
    </w:p>
    <w:p/>
    <w:p>
      <w:pPr>
        <w:spacing w:after="60"/>
        <w:ind w:firstLine="420"/>
      </w:pPr>
      <w:r>
        <w:rPr>
          <w:rFonts w:ascii="宋体" w:hAnsi="宋体" w:eastAsia="宋体"/>
          <w:b w:val="0"/>
          <w:sz w:val="21"/>
        </w:rPr>
        <w:t>定义覆盖率弹性系数E_cov和满意度弹性系数E_sat量化参数变化的影响（表4-3）。S1覆盖率弹性为-0.2196（低弹性），选址方案对人口结构变化具有一定韧性；S2弹性均为0，运营成本变化不影响选址结构与覆盖性能；S3满意度弹性高达+1.0207，预算投入呈现规模报酬递增特征。</w:t>
      </w:r>
    </w:p>
    <w:p>
      <w:pPr>
        <w:spacing w:after="60"/>
        <w:ind w:firstLine="0"/>
      </w:pPr>
      <w:r>
        <w:rPr>
          <w:rFonts w:ascii="宋体" w:hAnsi="宋体" w:eastAsia="宋体"/>
          <w:b/>
          <w:sz w:val="21"/>
        </w:rPr>
        <w:t>表4-3 覆盖率与满意度弹性系数</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2F3"/>
          </w:tcPr>
          <w:p>
            <w:pPr>
              <w:jc w:val="center"/>
            </w:pPr>
            <w:r/>
            <w:r>
              <w:rPr>
                <w:rFonts w:ascii="宋体" w:hAnsi="宋体" w:eastAsia="宋体"/>
                <w:b/>
                <w:sz w:val="18"/>
              </w:rPr>
              <w:t>场景</w:t>
            </w:r>
          </w:p>
        </w:tc>
        <w:tc>
          <w:tcPr>
            <w:tcW w:type="dxa" w:w="1662"/>
            <w:shd w:fill="D9E2F3"/>
          </w:tcPr>
          <w:p>
            <w:pPr>
              <w:jc w:val="center"/>
            </w:pPr>
            <w:r/>
            <w:r>
              <w:rPr>
                <w:rFonts w:ascii="宋体" w:hAnsi="宋体" w:eastAsia="宋体"/>
                <w:b/>
                <w:sz w:val="18"/>
              </w:rPr>
              <w:t>参数变化率(%)</w:t>
            </w:r>
          </w:p>
        </w:tc>
        <w:tc>
          <w:tcPr>
            <w:tcW w:type="dxa" w:w="1662"/>
            <w:shd w:fill="D9E2F3"/>
          </w:tcPr>
          <w:p>
            <w:pPr>
              <w:jc w:val="center"/>
            </w:pPr>
            <w:r/>
            <w:r>
              <w:rPr>
                <w:rFonts w:ascii="宋体" w:hAnsi="宋体" w:eastAsia="宋体"/>
                <w:b/>
                <w:sz w:val="18"/>
              </w:rPr>
              <w:t>覆盖率变化(%)</w:t>
            </w:r>
          </w:p>
        </w:tc>
        <w:tc>
          <w:tcPr>
            <w:tcW w:type="dxa" w:w="1662"/>
            <w:shd w:fill="D9E2F3"/>
          </w:tcPr>
          <w:p>
            <w:pPr>
              <w:jc w:val="center"/>
            </w:pPr>
            <w:r/>
            <w:r>
              <w:rPr>
                <w:rFonts w:ascii="宋体" w:hAnsi="宋体" w:eastAsia="宋体"/>
                <w:b/>
                <w:sz w:val="18"/>
              </w:rPr>
              <w:t>覆盖率弹性</w:t>
            </w:r>
          </w:p>
        </w:tc>
        <w:tc>
          <w:tcPr>
            <w:tcW w:type="dxa" w:w="1662"/>
            <w:shd w:fill="D9E2F3"/>
          </w:tcPr>
          <w:p>
            <w:pPr>
              <w:jc w:val="center"/>
            </w:pPr>
            <w:r/>
            <w:r>
              <w:rPr>
                <w:rFonts w:ascii="宋体" w:hAnsi="宋体" w:eastAsia="宋体"/>
                <w:b/>
                <w:sz w:val="18"/>
              </w:rPr>
              <w:t>满意度变化</w:t>
            </w:r>
          </w:p>
        </w:tc>
        <w:tc>
          <w:tcPr>
            <w:tcW w:type="dxa" w:w="1662"/>
            <w:shd w:fill="D9E2F3"/>
          </w:tcPr>
          <w:p>
            <w:pPr>
              <w:jc w:val="center"/>
            </w:pPr>
            <w:r/>
            <w:r>
              <w:rPr>
                <w:rFonts w:ascii="宋体" w:hAnsi="宋体" w:eastAsia="宋体"/>
                <w:b/>
                <w:sz w:val="18"/>
              </w:rPr>
              <w:t>满意度弹性</w:t>
            </w:r>
          </w:p>
        </w:tc>
      </w:tr>
      <w:tr>
        <w:tc>
          <w:tcPr>
            <w:tcW w:type="dxa" w:w="1662"/>
          </w:tcPr>
          <w:p>
            <w:pPr>
              <w:jc w:val="center"/>
            </w:pPr>
            <w:r/>
            <w:r>
              <w:rPr>
                <w:rFonts w:ascii="宋体" w:hAnsi="宋体" w:eastAsia="宋体"/>
                <w:sz w:val="18"/>
              </w:rPr>
              <w:t>S1</w:t>
            </w:r>
          </w:p>
        </w:tc>
        <w:tc>
          <w:tcPr>
            <w:tcW w:type="dxa" w:w="1662"/>
          </w:tcPr>
          <w:p>
            <w:pPr>
              <w:jc w:val="center"/>
            </w:pPr>
            <w:r/>
            <w:r>
              <w:rPr>
                <w:rFonts w:ascii="宋体" w:hAnsi="宋体" w:eastAsia="宋体"/>
                <w:sz w:val="18"/>
              </w:rPr>
              <w:t>+14.29/+22.22/-5.00</w:t>
            </w:r>
          </w:p>
        </w:tc>
        <w:tc>
          <w:tcPr>
            <w:tcW w:type="dxa" w:w="1662"/>
          </w:tcPr>
          <w:p>
            <w:pPr>
              <w:jc w:val="center"/>
            </w:pPr>
            <w:r/>
            <w:r>
              <w:rPr>
                <w:rFonts w:ascii="宋体" w:hAnsi="宋体" w:eastAsia="宋体"/>
                <w:sz w:val="18"/>
              </w:rPr>
              <w:t>-4.55</w:t>
            </w:r>
          </w:p>
        </w:tc>
        <w:tc>
          <w:tcPr>
            <w:tcW w:type="dxa" w:w="1662"/>
          </w:tcPr>
          <w:p>
            <w:pPr>
              <w:jc w:val="center"/>
            </w:pPr>
            <w:r/>
            <w:r>
              <w:rPr>
                <w:rFonts w:ascii="宋体" w:hAnsi="宋体" w:eastAsia="宋体"/>
                <w:sz w:val="18"/>
              </w:rPr>
              <w:t>-0.2196</w:t>
            </w:r>
          </w:p>
        </w:tc>
        <w:tc>
          <w:tcPr>
            <w:tcW w:type="dxa" w:w="1662"/>
          </w:tcPr>
          <w:p>
            <w:pPr>
              <w:jc w:val="center"/>
            </w:pPr>
            <w:r/>
            <w:r>
              <w:rPr>
                <w:rFonts w:ascii="宋体" w:hAnsi="宋体" w:eastAsia="宋体"/>
                <w:sz w:val="18"/>
              </w:rPr>
              <w:t>-0.0228</w:t>
            </w:r>
          </w:p>
        </w:tc>
        <w:tc>
          <w:tcPr>
            <w:tcW w:type="dxa" w:w="1662"/>
          </w:tcPr>
          <w:p>
            <w:pPr>
              <w:jc w:val="center"/>
            </w:pPr>
            <w:r/>
            <w:r>
              <w:rPr>
                <w:rFonts w:ascii="宋体" w:hAnsi="宋体" w:eastAsia="宋体"/>
                <w:sz w:val="18"/>
              </w:rPr>
              <w:t>-0.1265</w:t>
            </w:r>
          </w:p>
        </w:tc>
      </w:tr>
      <w:tr>
        <w:tc>
          <w:tcPr>
            <w:tcW w:type="dxa" w:w="1662"/>
          </w:tcPr>
          <w:p>
            <w:pPr>
              <w:jc w:val="center"/>
            </w:pPr>
            <w:r/>
            <w:r>
              <w:rPr>
                <w:rFonts w:ascii="宋体" w:hAnsi="宋体" w:eastAsia="宋体"/>
                <w:sz w:val="18"/>
              </w:rPr>
              <w:t>S2</w:t>
            </w:r>
          </w:p>
        </w:tc>
        <w:tc>
          <w:tcPr>
            <w:tcW w:type="dxa" w:w="1662"/>
          </w:tcPr>
          <w:p>
            <w:pPr>
              <w:jc w:val="center"/>
            </w:pPr>
            <w:r/>
            <w:r>
              <w:rPr>
                <w:rFonts w:ascii="宋体" w:hAnsi="宋体" w:eastAsia="宋体"/>
                <w:sz w:val="18"/>
              </w:rPr>
              <w:t>+20.00</w:t>
            </w:r>
          </w:p>
        </w:tc>
        <w:tc>
          <w:tcPr>
            <w:tcW w:type="dxa" w:w="1662"/>
          </w:tcPr>
          <w:p>
            <w:pPr>
              <w:jc w:val="center"/>
            </w:pPr>
            <w:r/>
            <w:r>
              <w:rPr>
                <w:rFonts w:ascii="宋体" w:hAnsi="宋体" w:eastAsia="宋体"/>
                <w:sz w:val="18"/>
              </w:rPr>
              <w:t>0.00</w:t>
            </w:r>
          </w:p>
        </w:tc>
        <w:tc>
          <w:tcPr>
            <w:tcW w:type="dxa" w:w="1662"/>
          </w:tcPr>
          <w:p>
            <w:pPr>
              <w:jc w:val="center"/>
            </w:pPr>
            <w:r/>
            <w:r>
              <w:rPr>
                <w:rFonts w:ascii="宋体" w:hAnsi="宋体" w:eastAsia="宋体"/>
                <w:sz w:val="18"/>
              </w:rPr>
              <w:t>0.0000</w:t>
            </w:r>
          </w:p>
        </w:tc>
        <w:tc>
          <w:tcPr>
            <w:tcW w:type="dxa" w:w="1662"/>
          </w:tcPr>
          <w:p>
            <w:pPr>
              <w:jc w:val="center"/>
            </w:pPr>
            <w:r/>
            <w:r>
              <w:rPr>
                <w:rFonts w:ascii="宋体" w:hAnsi="宋体" w:eastAsia="宋体"/>
                <w:sz w:val="18"/>
              </w:rPr>
              <w:t>0.00</w:t>
            </w:r>
          </w:p>
        </w:tc>
        <w:tc>
          <w:tcPr>
            <w:tcW w:type="dxa" w:w="1662"/>
          </w:tcPr>
          <w:p>
            <w:pPr>
              <w:jc w:val="center"/>
            </w:pPr>
            <w:r/>
            <w:r>
              <w:rPr>
                <w:rFonts w:ascii="宋体" w:hAnsi="宋体" w:eastAsia="宋体"/>
                <w:sz w:val="18"/>
              </w:rPr>
              <w:t>0.0000</w:t>
            </w:r>
          </w:p>
        </w:tc>
      </w:tr>
      <w:tr>
        <w:tc>
          <w:tcPr>
            <w:tcW w:type="dxa" w:w="1662"/>
          </w:tcPr>
          <w:p>
            <w:pPr>
              <w:jc w:val="center"/>
            </w:pPr>
            <w:r/>
            <w:r>
              <w:rPr>
                <w:rFonts w:ascii="宋体" w:hAnsi="宋体" w:eastAsia="宋体"/>
                <w:sz w:val="18"/>
              </w:rPr>
              <w:t>S3</w:t>
            </w:r>
          </w:p>
        </w:tc>
        <w:tc>
          <w:tcPr>
            <w:tcW w:type="dxa" w:w="1662"/>
          </w:tcPr>
          <w:p>
            <w:pPr>
              <w:jc w:val="center"/>
            </w:pPr>
            <w:r/>
            <w:r>
              <w:rPr>
                <w:rFonts w:ascii="宋体" w:hAnsi="宋体" w:eastAsia="宋体"/>
                <w:sz w:val="18"/>
              </w:rPr>
              <w:t>+16.67</w:t>
            </w:r>
          </w:p>
        </w:tc>
        <w:tc>
          <w:tcPr>
            <w:tcW w:type="dxa" w:w="1662"/>
          </w:tcPr>
          <w:p>
            <w:pPr>
              <w:jc w:val="center"/>
            </w:pPr>
            <w:r/>
            <w:r>
              <w:rPr>
                <w:rFonts w:ascii="宋体" w:hAnsi="宋体" w:eastAsia="宋体"/>
                <w:sz w:val="18"/>
              </w:rPr>
              <w:t>+6.88</w:t>
            </w:r>
          </w:p>
        </w:tc>
        <w:tc>
          <w:tcPr>
            <w:tcW w:type="dxa" w:w="1662"/>
          </w:tcPr>
          <w:p>
            <w:pPr>
              <w:jc w:val="center"/>
            </w:pPr>
            <w:r/>
            <w:r>
              <w:rPr>
                <w:rFonts w:ascii="宋体" w:hAnsi="宋体" w:eastAsia="宋体"/>
                <w:sz w:val="18"/>
              </w:rPr>
              <w:t>+0.4431</w:t>
            </w:r>
          </w:p>
        </w:tc>
        <w:tc>
          <w:tcPr>
            <w:tcW w:type="dxa" w:w="1662"/>
          </w:tcPr>
          <w:p>
            <w:pPr>
              <w:jc w:val="center"/>
            </w:pPr>
            <w:r/>
            <w:r>
              <w:rPr>
                <w:rFonts w:ascii="宋体" w:hAnsi="宋体" w:eastAsia="宋体"/>
                <w:sz w:val="18"/>
              </w:rPr>
              <w:t>+0.1380</w:t>
            </w:r>
          </w:p>
        </w:tc>
        <w:tc>
          <w:tcPr>
            <w:tcW w:type="dxa" w:w="1662"/>
          </w:tcPr>
          <w:p>
            <w:pPr>
              <w:jc w:val="center"/>
            </w:pPr>
            <w:r/>
            <w:r>
              <w:rPr>
                <w:rFonts w:ascii="宋体" w:hAnsi="宋体" w:eastAsia="宋体"/>
                <w:sz w:val="18"/>
              </w:rPr>
              <w:t>+1.0207</w:t>
            </w:r>
          </w:p>
        </w:tc>
      </w:tr>
    </w:tbl>
    <w:p/>
    <w:p>
      <w:pPr>
        <w:jc w:val="center"/>
      </w:pPr>
      <w:r>
        <w:drawing>
          <wp:inline xmlns:a="http://schemas.openxmlformats.org/drawingml/2006/main" xmlns:pic="http://schemas.openxmlformats.org/drawingml/2006/picture">
            <wp:extent cx="4754880" cy="2971800"/>
            <wp:docPr id="3" name="Picture 3"/>
            <wp:cNvGraphicFramePr>
              <a:graphicFrameLocks noChangeAspect="1"/>
            </wp:cNvGraphicFramePr>
            <a:graphic>
              <a:graphicData uri="http://schemas.openxmlformats.org/drawingml/2006/picture">
                <pic:pic>
                  <pic:nvPicPr>
                    <pic:cNvPr id="0" name="问题4_敏感性弹性.png"/>
                    <pic:cNvPicPr/>
                  </pic:nvPicPr>
                  <pic:blipFill>
                    <a:blip r:embed="rId11"/>
                    <a:stretch>
                      <a:fillRect/>
                    </a:stretch>
                  </pic:blipFill>
                  <pic:spPr>
                    <a:xfrm>
                      <a:off x="0" y="0"/>
                      <a:ext cx="4754880" cy="2971800"/>
                    </a:xfrm>
                    <a:prstGeom prst="rect"/>
                  </pic:spPr>
                </pic:pic>
              </a:graphicData>
            </a:graphic>
          </wp:inline>
        </w:drawing>
      </w:r>
    </w:p>
    <w:p>
      <w:pPr>
        <w:jc w:val="center"/>
      </w:pPr>
      <w:r>
        <w:rPr>
          <w:rFonts w:ascii="宋体" w:hAnsi="宋体" w:eastAsia="宋体"/>
          <w:i/>
          <w:sz w:val="18"/>
        </w:rPr>
        <w:t>图4-3 敏感性分析：关键指标弹性系数</w:t>
      </w:r>
    </w:p>
    <w:p/>
    <w:p>
      <w:pPr>
        <w:pStyle w:val="Heading2"/>
      </w:pPr>
      <w:r>
        <w:rPr>
          <w:rFonts w:ascii="黑体" w:hAnsi="黑体" w:eastAsia="黑体"/>
          <w:sz w:val="24"/>
        </w:rPr>
        <w:t>4.4 鲁棒性评价与定价策略</w:t>
      </w:r>
    </w:p>
    <w:p>
      <w:pPr>
        <w:spacing w:after="60"/>
        <w:ind w:firstLine="420"/>
      </w:pPr>
      <w:r>
        <w:rPr>
          <w:rFonts w:ascii="宋体" w:hAnsi="宋体" w:eastAsia="宋体"/>
          <w:b w:val="0"/>
          <w:sz w:val="21"/>
        </w:rPr>
        <w:t>基于覆盖率与满意度相对变化幅度进行鲁棒性分级评价（表4-4）。S1与S2均评为"整体稳定"，鲁棒性高。S1覆盖率维持88.58%，选址仅调整两个站点；S2成本上涨被定价完全吸收，原方案零变动。S3性能显著提升属正向跃迁，提示原120万预算方案存在资源约束型次优特征。</w:t>
      </w:r>
    </w:p>
    <w:p>
      <w:pPr>
        <w:spacing w:after="60"/>
        <w:ind w:firstLine="0"/>
      </w:pPr>
      <w:r>
        <w:rPr>
          <w:rFonts w:ascii="宋体" w:hAnsi="宋体" w:eastAsia="宋体"/>
          <w:b/>
          <w:sz w:val="21"/>
        </w:rPr>
        <w:t>表4-4 各场景鲁棒性评价</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2F3"/>
          </w:tcPr>
          <w:p>
            <w:pPr>
              <w:jc w:val="center"/>
            </w:pPr>
            <w:r/>
            <w:r>
              <w:rPr>
                <w:rFonts w:ascii="宋体" w:hAnsi="宋体" w:eastAsia="宋体"/>
                <w:b/>
                <w:sz w:val="18"/>
              </w:rPr>
              <w:t>场景</w:t>
            </w:r>
          </w:p>
        </w:tc>
        <w:tc>
          <w:tcPr>
            <w:tcW w:type="dxa" w:w="1662"/>
            <w:shd w:fill="D9E2F3"/>
          </w:tcPr>
          <w:p>
            <w:pPr>
              <w:jc w:val="center"/>
            </w:pPr>
            <w:r/>
            <w:r>
              <w:rPr>
                <w:rFonts w:ascii="宋体" w:hAnsi="宋体" w:eastAsia="宋体"/>
                <w:b/>
                <w:sz w:val="18"/>
              </w:rPr>
              <w:t>覆盖率变化(%)</w:t>
            </w:r>
          </w:p>
        </w:tc>
        <w:tc>
          <w:tcPr>
            <w:tcW w:type="dxa" w:w="1662"/>
            <w:shd w:fill="D9E2F3"/>
          </w:tcPr>
          <w:p>
            <w:pPr>
              <w:jc w:val="center"/>
            </w:pPr>
            <w:r/>
            <w:r>
              <w:rPr>
                <w:rFonts w:ascii="宋体" w:hAnsi="宋体" w:eastAsia="宋体"/>
                <w:b/>
                <w:sz w:val="18"/>
              </w:rPr>
              <w:t>覆盖率鲁棒性</w:t>
            </w:r>
          </w:p>
        </w:tc>
        <w:tc>
          <w:tcPr>
            <w:tcW w:type="dxa" w:w="1662"/>
            <w:shd w:fill="D9E2F3"/>
          </w:tcPr>
          <w:p>
            <w:pPr>
              <w:jc w:val="center"/>
            </w:pPr>
            <w:r/>
            <w:r>
              <w:rPr>
                <w:rFonts w:ascii="宋体" w:hAnsi="宋体" w:eastAsia="宋体"/>
                <w:b/>
                <w:sz w:val="18"/>
              </w:rPr>
              <w:t>满意度变化(%)</w:t>
            </w:r>
          </w:p>
        </w:tc>
        <w:tc>
          <w:tcPr>
            <w:tcW w:type="dxa" w:w="1662"/>
            <w:shd w:fill="D9E2F3"/>
          </w:tcPr>
          <w:p>
            <w:pPr>
              <w:jc w:val="center"/>
            </w:pPr>
            <w:r/>
            <w:r>
              <w:rPr>
                <w:rFonts w:ascii="宋体" w:hAnsi="宋体" w:eastAsia="宋体"/>
                <w:b/>
                <w:sz w:val="18"/>
              </w:rPr>
              <w:t>满意度鲁棒性</w:t>
            </w:r>
          </w:p>
        </w:tc>
        <w:tc>
          <w:tcPr>
            <w:tcW w:type="dxa" w:w="1662"/>
            <w:shd w:fill="D9E2F3"/>
          </w:tcPr>
          <w:p>
            <w:pPr>
              <w:jc w:val="center"/>
            </w:pPr>
            <w:r/>
            <w:r>
              <w:rPr>
                <w:rFonts w:ascii="宋体" w:hAnsi="宋体" w:eastAsia="宋体"/>
                <w:b/>
                <w:sz w:val="18"/>
              </w:rPr>
              <w:t>综合评价</w:t>
            </w:r>
          </w:p>
        </w:tc>
      </w:tr>
      <w:tr>
        <w:tc>
          <w:tcPr>
            <w:tcW w:type="dxa" w:w="1662"/>
          </w:tcPr>
          <w:p>
            <w:pPr>
              <w:jc w:val="center"/>
            </w:pPr>
            <w:r/>
            <w:r>
              <w:rPr>
                <w:rFonts w:ascii="宋体" w:hAnsi="宋体" w:eastAsia="宋体"/>
                <w:sz w:val="18"/>
              </w:rPr>
              <w:t>S1</w:t>
            </w:r>
          </w:p>
        </w:tc>
        <w:tc>
          <w:tcPr>
            <w:tcW w:type="dxa" w:w="1662"/>
          </w:tcPr>
          <w:p>
            <w:pPr>
              <w:jc w:val="center"/>
            </w:pPr>
            <w:r/>
            <w:r>
              <w:rPr>
                <w:rFonts w:ascii="宋体" w:hAnsi="宋体" w:eastAsia="宋体"/>
                <w:sz w:val="18"/>
              </w:rPr>
              <w:t>4.88</w:t>
            </w:r>
          </w:p>
        </w:tc>
        <w:tc>
          <w:tcPr>
            <w:tcW w:type="dxa" w:w="1662"/>
          </w:tcPr>
          <w:p>
            <w:pPr>
              <w:jc w:val="center"/>
            </w:pPr>
            <w:r/>
            <w:r>
              <w:rPr>
                <w:rFonts w:ascii="宋体" w:hAnsi="宋体" w:eastAsia="宋体"/>
                <w:sz w:val="18"/>
              </w:rPr>
              <w:t>高</w:t>
            </w:r>
          </w:p>
        </w:tc>
        <w:tc>
          <w:tcPr>
            <w:tcW w:type="dxa" w:w="1662"/>
          </w:tcPr>
          <w:p>
            <w:pPr>
              <w:jc w:val="center"/>
            </w:pPr>
            <w:r/>
            <w:r>
              <w:rPr>
                <w:rFonts w:ascii="宋体" w:hAnsi="宋体" w:eastAsia="宋体"/>
                <w:sz w:val="18"/>
              </w:rPr>
              <w:t>2.81</w:t>
            </w:r>
          </w:p>
        </w:tc>
        <w:tc>
          <w:tcPr>
            <w:tcW w:type="dxa" w:w="1662"/>
          </w:tcPr>
          <w:p>
            <w:pPr>
              <w:jc w:val="center"/>
            </w:pPr>
            <w:r/>
            <w:r>
              <w:rPr>
                <w:rFonts w:ascii="宋体" w:hAnsi="宋体" w:eastAsia="宋体"/>
                <w:sz w:val="18"/>
              </w:rPr>
              <w:t>高</w:t>
            </w:r>
          </w:p>
        </w:tc>
        <w:tc>
          <w:tcPr>
            <w:tcW w:type="dxa" w:w="1662"/>
          </w:tcPr>
          <w:p>
            <w:pPr>
              <w:jc w:val="center"/>
            </w:pPr>
            <w:r/>
            <w:r>
              <w:rPr>
                <w:rFonts w:ascii="宋体" w:hAnsi="宋体" w:eastAsia="宋体"/>
                <w:sz w:val="18"/>
              </w:rPr>
              <w:t>整体稳定</w:t>
            </w:r>
          </w:p>
        </w:tc>
      </w:tr>
      <w:tr>
        <w:tc>
          <w:tcPr>
            <w:tcW w:type="dxa" w:w="1662"/>
          </w:tcPr>
          <w:p>
            <w:pPr>
              <w:jc w:val="center"/>
            </w:pPr>
            <w:r/>
            <w:r>
              <w:rPr>
                <w:rFonts w:ascii="宋体" w:hAnsi="宋体" w:eastAsia="宋体"/>
                <w:sz w:val="18"/>
              </w:rPr>
              <w:t>S2</w:t>
            </w:r>
          </w:p>
        </w:tc>
        <w:tc>
          <w:tcPr>
            <w:tcW w:type="dxa" w:w="1662"/>
          </w:tcPr>
          <w:p>
            <w:pPr>
              <w:jc w:val="center"/>
            </w:pPr>
            <w:r/>
            <w:r>
              <w:rPr>
                <w:rFonts w:ascii="宋体" w:hAnsi="宋体" w:eastAsia="宋体"/>
                <w:sz w:val="18"/>
              </w:rPr>
              <w:t>0.00</w:t>
            </w:r>
          </w:p>
        </w:tc>
        <w:tc>
          <w:tcPr>
            <w:tcW w:type="dxa" w:w="1662"/>
          </w:tcPr>
          <w:p>
            <w:pPr>
              <w:jc w:val="center"/>
            </w:pPr>
            <w:r/>
            <w:r>
              <w:rPr>
                <w:rFonts w:ascii="宋体" w:hAnsi="宋体" w:eastAsia="宋体"/>
                <w:sz w:val="18"/>
              </w:rPr>
              <w:t>高</w:t>
            </w:r>
          </w:p>
        </w:tc>
        <w:tc>
          <w:tcPr>
            <w:tcW w:type="dxa" w:w="1662"/>
          </w:tcPr>
          <w:p>
            <w:pPr>
              <w:jc w:val="center"/>
            </w:pPr>
            <w:r/>
            <w:r>
              <w:rPr>
                <w:rFonts w:ascii="宋体" w:hAnsi="宋体" w:eastAsia="宋体"/>
                <w:sz w:val="18"/>
              </w:rPr>
              <w:t>0.00</w:t>
            </w:r>
          </w:p>
        </w:tc>
        <w:tc>
          <w:tcPr>
            <w:tcW w:type="dxa" w:w="1662"/>
          </w:tcPr>
          <w:p>
            <w:pPr>
              <w:jc w:val="center"/>
            </w:pPr>
            <w:r/>
            <w:r>
              <w:rPr>
                <w:rFonts w:ascii="宋体" w:hAnsi="宋体" w:eastAsia="宋体"/>
                <w:sz w:val="18"/>
              </w:rPr>
              <w:t>高</w:t>
            </w:r>
          </w:p>
        </w:tc>
        <w:tc>
          <w:tcPr>
            <w:tcW w:type="dxa" w:w="1662"/>
          </w:tcPr>
          <w:p>
            <w:pPr>
              <w:jc w:val="center"/>
            </w:pPr>
            <w:r/>
            <w:r>
              <w:rPr>
                <w:rFonts w:ascii="宋体" w:hAnsi="宋体" w:eastAsia="宋体"/>
                <w:sz w:val="18"/>
              </w:rPr>
              <w:t>整体稳定</w:t>
            </w:r>
          </w:p>
        </w:tc>
      </w:tr>
      <w:tr>
        <w:tc>
          <w:tcPr>
            <w:tcW w:type="dxa" w:w="1662"/>
          </w:tcPr>
          <w:p>
            <w:pPr>
              <w:jc w:val="center"/>
            </w:pPr>
            <w:r/>
            <w:r>
              <w:rPr>
                <w:rFonts w:ascii="宋体" w:hAnsi="宋体" w:eastAsia="宋体"/>
                <w:sz w:val="18"/>
              </w:rPr>
              <w:t>S3</w:t>
            </w:r>
          </w:p>
        </w:tc>
        <w:tc>
          <w:tcPr>
            <w:tcW w:type="dxa" w:w="1662"/>
          </w:tcPr>
          <w:p>
            <w:pPr>
              <w:jc w:val="center"/>
            </w:pPr>
            <w:r/>
            <w:r>
              <w:rPr>
                <w:rFonts w:ascii="宋体" w:hAnsi="宋体" w:eastAsia="宋体"/>
                <w:sz w:val="18"/>
              </w:rPr>
              <w:t>7.38</w:t>
            </w:r>
          </w:p>
        </w:tc>
        <w:tc>
          <w:tcPr>
            <w:tcW w:type="dxa" w:w="1662"/>
          </w:tcPr>
          <w:p>
            <w:pPr>
              <w:jc w:val="center"/>
            </w:pPr>
            <w:r/>
            <w:r>
              <w:rPr>
                <w:rFonts w:ascii="宋体" w:hAnsi="宋体" w:eastAsia="宋体"/>
                <w:sz w:val="18"/>
              </w:rPr>
              <w:t>中</w:t>
            </w:r>
          </w:p>
        </w:tc>
        <w:tc>
          <w:tcPr>
            <w:tcW w:type="dxa" w:w="1662"/>
          </w:tcPr>
          <w:p>
            <w:pPr>
              <w:jc w:val="center"/>
            </w:pPr>
            <w:r/>
            <w:r>
              <w:rPr>
                <w:rFonts w:ascii="宋体" w:hAnsi="宋体" w:eastAsia="宋体"/>
                <w:sz w:val="18"/>
              </w:rPr>
              <w:t>17.01</w:t>
            </w:r>
          </w:p>
        </w:tc>
        <w:tc>
          <w:tcPr>
            <w:tcW w:type="dxa" w:w="1662"/>
          </w:tcPr>
          <w:p>
            <w:pPr>
              <w:jc w:val="center"/>
            </w:pPr>
            <w:r/>
            <w:r>
              <w:rPr>
                <w:rFonts w:ascii="宋体" w:hAnsi="宋体" w:eastAsia="宋体"/>
                <w:sz w:val="18"/>
              </w:rPr>
              <w:t>低</w:t>
            </w:r>
          </w:p>
        </w:tc>
        <w:tc>
          <w:tcPr>
            <w:tcW w:type="dxa" w:w="1662"/>
          </w:tcPr>
          <w:p>
            <w:pPr>
              <w:jc w:val="center"/>
            </w:pPr>
            <w:r/>
            <w:r>
              <w:rPr>
                <w:rFonts w:ascii="宋体" w:hAnsi="宋体" w:eastAsia="宋体"/>
                <w:sz w:val="18"/>
              </w:rPr>
              <w:t>需关注</w:t>
            </w:r>
          </w:p>
        </w:tc>
      </w:tr>
    </w:tbl>
    <w:p/>
    <w:p>
      <w:pPr>
        <w:spacing w:after="60"/>
        <w:ind w:firstLine="420"/>
      </w:pPr>
      <w:r>
        <w:rPr>
          <w:rFonts w:ascii="宋体" w:hAnsi="宋体" w:eastAsia="宋体"/>
          <w:b w:val="0"/>
          <w:sz w:val="21"/>
        </w:rPr>
        <w:t>各场景下五项非紧急服务的最优定价乘子见表4-5。紧急救助在所有场景中均免费。助餐与日间照料维持平价（乘子1.00），属基础民生服务。上门护理是主要利润来源，Baseline、S1、S2均采用最高溢价1.50，S3因规模效应降至1.30。S2成本上涨时康复理疗与助浴提价至1.20与1.40，S3预算充裕时回归平价。S2的P3利润达128.40万元（较Baseline增长98.8%），S3仅22.02万元，走"薄利多销"路线。</w:t>
      </w:r>
    </w:p>
    <w:p>
      <w:pPr>
        <w:spacing w:after="60"/>
        <w:ind w:firstLine="0"/>
      </w:pPr>
      <w:r>
        <w:rPr>
          <w:rFonts w:ascii="宋体" w:hAnsi="宋体" w:eastAsia="宋体"/>
          <w:b/>
          <w:sz w:val="21"/>
        </w:rPr>
        <w:t>表4-5 各场景最优定价乘子对比</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2F3"/>
          </w:tcPr>
          <w:p>
            <w:pPr>
              <w:jc w:val="center"/>
            </w:pPr>
            <w:r/>
            <w:r>
              <w:rPr>
                <w:rFonts w:ascii="宋体" w:hAnsi="宋体" w:eastAsia="宋体"/>
                <w:b/>
                <w:sz w:val="18"/>
              </w:rPr>
              <w:t>服务项目</w:t>
            </w:r>
          </w:p>
        </w:tc>
        <w:tc>
          <w:tcPr>
            <w:tcW w:type="dxa" w:w="1994"/>
            <w:shd w:fill="D9E2F3"/>
          </w:tcPr>
          <w:p>
            <w:pPr>
              <w:jc w:val="center"/>
            </w:pPr>
            <w:r/>
            <w:r>
              <w:rPr>
                <w:rFonts w:ascii="宋体" w:hAnsi="宋体" w:eastAsia="宋体"/>
                <w:b/>
                <w:sz w:val="18"/>
              </w:rPr>
              <w:t>Baseline</w:t>
            </w:r>
          </w:p>
        </w:tc>
        <w:tc>
          <w:tcPr>
            <w:tcW w:type="dxa" w:w="1994"/>
            <w:shd w:fill="D9E2F3"/>
          </w:tcPr>
          <w:p>
            <w:pPr>
              <w:jc w:val="center"/>
            </w:pPr>
            <w:r/>
            <w:r>
              <w:rPr>
                <w:rFonts w:ascii="宋体" w:hAnsi="宋体" w:eastAsia="宋体"/>
                <w:b/>
                <w:sz w:val="18"/>
              </w:rPr>
              <w:t>S1</w:t>
            </w:r>
          </w:p>
        </w:tc>
        <w:tc>
          <w:tcPr>
            <w:tcW w:type="dxa" w:w="1994"/>
            <w:shd w:fill="D9E2F3"/>
          </w:tcPr>
          <w:p>
            <w:pPr>
              <w:jc w:val="center"/>
            </w:pPr>
            <w:r/>
            <w:r>
              <w:rPr>
                <w:rFonts w:ascii="宋体" w:hAnsi="宋体" w:eastAsia="宋体"/>
                <w:b/>
                <w:sz w:val="18"/>
              </w:rPr>
              <w:t>S2</w:t>
            </w:r>
          </w:p>
        </w:tc>
        <w:tc>
          <w:tcPr>
            <w:tcW w:type="dxa" w:w="1994"/>
            <w:shd w:fill="D9E2F3"/>
          </w:tcPr>
          <w:p>
            <w:pPr>
              <w:jc w:val="center"/>
            </w:pPr>
            <w:r/>
            <w:r>
              <w:rPr>
                <w:rFonts w:ascii="宋体" w:hAnsi="宋体" w:eastAsia="宋体"/>
                <w:b/>
                <w:sz w:val="18"/>
              </w:rPr>
              <w:t>S3</w:t>
            </w:r>
          </w:p>
        </w:tc>
      </w:tr>
      <w:tr>
        <w:tc>
          <w:tcPr>
            <w:tcW w:type="dxa" w:w="1994"/>
          </w:tcPr>
          <w:p>
            <w:pPr>
              <w:jc w:val="center"/>
            </w:pPr>
            <w:r/>
            <w:r>
              <w:rPr>
                <w:rFonts w:ascii="宋体" w:hAnsi="宋体" w:eastAsia="宋体"/>
                <w:sz w:val="18"/>
              </w:rPr>
              <w:t>助餐</w:t>
            </w:r>
          </w:p>
        </w:tc>
        <w:tc>
          <w:tcPr>
            <w:tcW w:type="dxa" w:w="1994"/>
          </w:tcPr>
          <w:p>
            <w:pPr>
              <w:jc w:val="center"/>
            </w:pPr>
            <w:r/>
            <w:r>
              <w:rPr>
                <w:rFonts w:ascii="宋体" w:hAnsi="宋体" w:eastAsia="宋体"/>
                <w:sz w:val="18"/>
              </w:rPr>
              <w:t>1.00</w:t>
            </w:r>
          </w:p>
        </w:tc>
        <w:tc>
          <w:tcPr>
            <w:tcW w:type="dxa" w:w="1994"/>
          </w:tcPr>
          <w:p>
            <w:pPr>
              <w:jc w:val="center"/>
            </w:pPr>
            <w:r/>
            <w:r>
              <w:rPr>
                <w:rFonts w:ascii="宋体" w:hAnsi="宋体" w:eastAsia="宋体"/>
                <w:sz w:val="18"/>
              </w:rPr>
              <w:t>1.00</w:t>
            </w:r>
          </w:p>
        </w:tc>
        <w:tc>
          <w:tcPr>
            <w:tcW w:type="dxa" w:w="1994"/>
          </w:tcPr>
          <w:p>
            <w:pPr>
              <w:jc w:val="center"/>
            </w:pPr>
            <w:r/>
            <w:r>
              <w:rPr>
                <w:rFonts w:ascii="宋体" w:hAnsi="宋体" w:eastAsia="宋体"/>
                <w:sz w:val="18"/>
              </w:rPr>
              <w:t>1.00</w:t>
            </w:r>
          </w:p>
        </w:tc>
        <w:tc>
          <w:tcPr>
            <w:tcW w:type="dxa" w:w="1994"/>
          </w:tcPr>
          <w:p>
            <w:pPr>
              <w:jc w:val="center"/>
            </w:pPr>
            <w:r/>
            <w:r>
              <w:rPr>
                <w:rFonts w:ascii="宋体" w:hAnsi="宋体" w:eastAsia="宋体"/>
                <w:sz w:val="18"/>
              </w:rPr>
              <w:t>1.00</w:t>
            </w:r>
          </w:p>
        </w:tc>
      </w:tr>
      <w:tr>
        <w:tc>
          <w:tcPr>
            <w:tcW w:type="dxa" w:w="1994"/>
          </w:tcPr>
          <w:p>
            <w:pPr>
              <w:jc w:val="center"/>
            </w:pPr>
            <w:r/>
            <w:r>
              <w:rPr>
                <w:rFonts w:ascii="宋体" w:hAnsi="宋体" w:eastAsia="宋体"/>
                <w:sz w:val="18"/>
              </w:rPr>
              <w:t>日间照料</w:t>
            </w:r>
          </w:p>
        </w:tc>
        <w:tc>
          <w:tcPr>
            <w:tcW w:type="dxa" w:w="1994"/>
          </w:tcPr>
          <w:p>
            <w:pPr>
              <w:jc w:val="center"/>
            </w:pPr>
            <w:r/>
            <w:r>
              <w:rPr>
                <w:rFonts w:ascii="宋体" w:hAnsi="宋体" w:eastAsia="宋体"/>
                <w:sz w:val="18"/>
              </w:rPr>
              <w:t>1.00</w:t>
            </w:r>
          </w:p>
        </w:tc>
        <w:tc>
          <w:tcPr>
            <w:tcW w:type="dxa" w:w="1994"/>
          </w:tcPr>
          <w:p>
            <w:pPr>
              <w:jc w:val="center"/>
            </w:pPr>
            <w:r/>
            <w:r>
              <w:rPr>
                <w:rFonts w:ascii="宋体" w:hAnsi="宋体" w:eastAsia="宋体"/>
                <w:sz w:val="18"/>
              </w:rPr>
              <w:t>1.00</w:t>
            </w:r>
          </w:p>
        </w:tc>
        <w:tc>
          <w:tcPr>
            <w:tcW w:type="dxa" w:w="1994"/>
          </w:tcPr>
          <w:p>
            <w:pPr>
              <w:jc w:val="center"/>
            </w:pPr>
            <w:r/>
            <w:r>
              <w:rPr>
                <w:rFonts w:ascii="宋体" w:hAnsi="宋体" w:eastAsia="宋体"/>
                <w:sz w:val="18"/>
              </w:rPr>
              <w:t>1.00</w:t>
            </w:r>
          </w:p>
        </w:tc>
        <w:tc>
          <w:tcPr>
            <w:tcW w:type="dxa" w:w="1994"/>
          </w:tcPr>
          <w:p>
            <w:pPr>
              <w:jc w:val="center"/>
            </w:pPr>
            <w:r/>
            <w:r>
              <w:rPr>
                <w:rFonts w:ascii="宋体" w:hAnsi="宋体" w:eastAsia="宋体"/>
                <w:sz w:val="18"/>
              </w:rPr>
              <w:t>1.00</w:t>
            </w:r>
          </w:p>
        </w:tc>
      </w:tr>
      <w:tr>
        <w:tc>
          <w:tcPr>
            <w:tcW w:type="dxa" w:w="1994"/>
          </w:tcPr>
          <w:p>
            <w:pPr>
              <w:jc w:val="center"/>
            </w:pPr>
            <w:r/>
            <w:r>
              <w:rPr>
                <w:rFonts w:ascii="宋体" w:hAnsi="宋体" w:eastAsia="宋体"/>
                <w:sz w:val="18"/>
              </w:rPr>
              <w:t>上门护理</w:t>
            </w:r>
          </w:p>
        </w:tc>
        <w:tc>
          <w:tcPr>
            <w:tcW w:type="dxa" w:w="1994"/>
          </w:tcPr>
          <w:p>
            <w:pPr>
              <w:jc w:val="center"/>
            </w:pPr>
            <w:r/>
            <w:r>
              <w:rPr>
                <w:rFonts w:ascii="宋体" w:hAnsi="宋体" w:eastAsia="宋体"/>
                <w:sz w:val="18"/>
              </w:rPr>
              <w:t>1.50</w:t>
            </w:r>
          </w:p>
        </w:tc>
        <w:tc>
          <w:tcPr>
            <w:tcW w:type="dxa" w:w="1994"/>
          </w:tcPr>
          <w:p>
            <w:pPr>
              <w:jc w:val="center"/>
            </w:pPr>
            <w:r/>
            <w:r>
              <w:rPr>
                <w:rFonts w:ascii="宋体" w:hAnsi="宋体" w:eastAsia="宋体"/>
                <w:sz w:val="18"/>
              </w:rPr>
              <w:t>1.50</w:t>
            </w:r>
          </w:p>
        </w:tc>
        <w:tc>
          <w:tcPr>
            <w:tcW w:type="dxa" w:w="1994"/>
          </w:tcPr>
          <w:p>
            <w:pPr>
              <w:jc w:val="center"/>
            </w:pPr>
            <w:r/>
            <w:r>
              <w:rPr>
                <w:rFonts w:ascii="宋体" w:hAnsi="宋体" w:eastAsia="宋体"/>
                <w:sz w:val="18"/>
              </w:rPr>
              <w:t>1.50</w:t>
            </w:r>
          </w:p>
        </w:tc>
        <w:tc>
          <w:tcPr>
            <w:tcW w:type="dxa" w:w="1994"/>
          </w:tcPr>
          <w:p>
            <w:pPr>
              <w:jc w:val="center"/>
            </w:pPr>
            <w:r/>
            <w:r>
              <w:rPr>
                <w:rFonts w:ascii="宋体" w:hAnsi="宋体" w:eastAsia="宋体"/>
                <w:sz w:val="18"/>
              </w:rPr>
              <w:t>1.30</w:t>
            </w:r>
          </w:p>
        </w:tc>
      </w:tr>
      <w:tr>
        <w:tc>
          <w:tcPr>
            <w:tcW w:type="dxa" w:w="1994"/>
          </w:tcPr>
          <w:p>
            <w:pPr>
              <w:jc w:val="center"/>
            </w:pPr>
            <w:r/>
            <w:r>
              <w:rPr>
                <w:rFonts w:ascii="宋体" w:hAnsi="宋体" w:eastAsia="宋体"/>
                <w:sz w:val="18"/>
              </w:rPr>
              <w:t>康复理疗</w:t>
            </w:r>
          </w:p>
        </w:tc>
        <w:tc>
          <w:tcPr>
            <w:tcW w:type="dxa" w:w="1994"/>
          </w:tcPr>
          <w:p>
            <w:pPr>
              <w:jc w:val="center"/>
            </w:pPr>
            <w:r/>
            <w:r>
              <w:rPr>
                <w:rFonts w:ascii="宋体" w:hAnsi="宋体" w:eastAsia="宋体"/>
                <w:sz w:val="18"/>
              </w:rPr>
              <w:t>1.10</w:t>
            </w:r>
          </w:p>
        </w:tc>
        <w:tc>
          <w:tcPr>
            <w:tcW w:type="dxa" w:w="1994"/>
          </w:tcPr>
          <w:p>
            <w:pPr>
              <w:jc w:val="center"/>
            </w:pPr>
            <w:r/>
            <w:r>
              <w:rPr>
                <w:rFonts w:ascii="宋体" w:hAnsi="宋体" w:eastAsia="宋体"/>
                <w:sz w:val="18"/>
              </w:rPr>
              <w:t>1.00</w:t>
            </w:r>
          </w:p>
        </w:tc>
        <w:tc>
          <w:tcPr>
            <w:tcW w:type="dxa" w:w="1994"/>
          </w:tcPr>
          <w:p>
            <w:pPr>
              <w:jc w:val="center"/>
            </w:pPr>
            <w:r/>
            <w:r>
              <w:rPr>
                <w:rFonts w:ascii="宋体" w:hAnsi="宋体" w:eastAsia="宋体"/>
                <w:sz w:val="18"/>
              </w:rPr>
              <w:t>1.20</w:t>
            </w:r>
          </w:p>
        </w:tc>
        <w:tc>
          <w:tcPr>
            <w:tcW w:type="dxa" w:w="1994"/>
          </w:tcPr>
          <w:p>
            <w:pPr>
              <w:jc w:val="center"/>
            </w:pPr>
            <w:r/>
            <w:r>
              <w:rPr>
                <w:rFonts w:ascii="宋体" w:hAnsi="宋体" w:eastAsia="宋体"/>
                <w:sz w:val="18"/>
              </w:rPr>
              <w:t>1.00</w:t>
            </w:r>
          </w:p>
        </w:tc>
      </w:tr>
      <w:tr>
        <w:tc>
          <w:tcPr>
            <w:tcW w:type="dxa" w:w="1994"/>
          </w:tcPr>
          <w:p>
            <w:pPr>
              <w:jc w:val="center"/>
            </w:pPr>
            <w:r/>
            <w:r>
              <w:rPr>
                <w:rFonts w:ascii="宋体" w:hAnsi="宋体" w:eastAsia="宋体"/>
                <w:sz w:val="18"/>
              </w:rPr>
              <w:t>助浴</w:t>
            </w:r>
          </w:p>
        </w:tc>
        <w:tc>
          <w:tcPr>
            <w:tcW w:type="dxa" w:w="1994"/>
          </w:tcPr>
          <w:p>
            <w:pPr>
              <w:jc w:val="center"/>
            </w:pPr>
            <w:r/>
            <w:r>
              <w:rPr>
                <w:rFonts w:ascii="宋体" w:hAnsi="宋体" w:eastAsia="宋体"/>
                <w:sz w:val="18"/>
              </w:rPr>
              <w:t>1.20</w:t>
            </w:r>
          </w:p>
        </w:tc>
        <w:tc>
          <w:tcPr>
            <w:tcW w:type="dxa" w:w="1994"/>
          </w:tcPr>
          <w:p>
            <w:pPr>
              <w:jc w:val="center"/>
            </w:pPr>
            <w:r/>
            <w:r>
              <w:rPr>
                <w:rFonts w:ascii="宋体" w:hAnsi="宋体" w:eastAsia="宋体"/>
                <w:sz w:val="18"/>
              </w:rPr>
              <w:t>1.10</w:t>
            </w:r>
          </w:p>
        </w:tc>
        <w:tc>
          <w:tcPr>
            <w:tcW w:type="dxa" w:w="1994"/>
          </w:tcPr>
          <w:p>
            <w:pPr>
              <w:jc w:val="center"/>
            </w:pPr>
            <w:r/>
            <w:r>
              <w:rPr>
                <w:rFonts w:ascii="宋体" w:hAnsi="宋体" w:eastAsia="宋体"/>
                <w:sz w:val="18"/>
              </w:rPr>
              <w:t>1.40</w:t>
            </w:r>
          </w:p>
        </w:tc>
        <w:tc>
          <w:tcPr>
            <w:tcW w:type="dxa" w:w="1994"/>
          </w:tcPr>
          <w:p>
            <w:pPr>
              <w:jc w:val="center"/>
            </w:pPr>
            <w:r/>
            <w:r>
              <w:rPr>
                <w:rFonts w:ascii="宋体" w:hAnsi="宋体" w:eastAsia="宋体"/>
                <w:sz w:val="18"/>
              </w:rPr>
              <w:t>1.00</w:t>
            </w:r>
          </w:p>
        </w:tc>
      </w:tr>
      <w:tr>
        <w:tc>
          <w:tcPr>
            <w:tcW w:type="dxa" w:w="1994"/>
          </w:tcPr>
          <w:p>
            <w:pPr>
              <w:jc w:val="center"/>
            </w:pPr>
            <w:r/>
            <w:r>
              <w:rPr>
                <w:rFonts w:ascii="宋体" w:hAnsi="宋体" w:eastAsia="宋体"/>
                <w:sz w:val="18"/>
              </w:rPr>
              <w:t>平均定价乘子</w:t>
            </w:r>
          </w:p>
        </w:tc>
        <w:tc>
          <w:tcPr>
            <w:tcW w:type="dxa" w:w="1994"/>
          </w:tcPr>
          <w:p>
            <w:pPr>
              <w:jc w:val="center"/>
            </w:pPr>
            <w:r/>
            <w:r>
              <w:rPr>
                <w:rFonts w:ascii="宋体" w:hAnsi="宋体" w:eastAsia="宋体"/>
                <w:sz w:val="18"/>
              </w:rPr>
              <w:t>1.175</w:t>
            </w:r>
          </w:p>
        </w:tc>
        <w:tc>
          <w:tcPr>
            <w:tcW w:type="dxa" w:w="1994"/>
          </w:tcPr>
          <w:p>
            <w:pPr>
              <w:jc w:val="center"/>
            </w:pPr>
            <w:r/>
            <w:r>
              <w:rPr>
                <w:rFonts w:ascii="宋体" w:hAnsi="宋体" w:eastAsia="宋体"/>
                <w:sz w:val="18"/>
              </w:rPr>
              <w:t>1.158</w:t>
            </w:r>
          </w:p>
        </w:tc>
        <w:tc>
          <w:tcPr>
            <w:tcW w:type="dxa" w:w="1994"/>
          </w:tcPr>
          <w:p>
            <w:pPr>
              <w:jc w:val="center"/>
            </w:pPr>
            <w:r/>
            <w:r>
              <w:rPr>
                <w:rFonts w:ascii="宋体" w:hAnsi="宋体" w:eastAsia="宋体"/>
                <w:sz w:val="18"/>
              </w:rPr>
              <w:t>1.250</w:t>
            </w:r>
          </w:p>
        </w:tc>
        <w:tc>
          <w:tcPr>
            <w:tcW w:type="dxa" w:w="1994"/>
          </w:tcPr>
          <w:p>
            <w:pPr>
              <w:jc w:val="center"/>
            </w:pPr>
            <w:r/>
            <w:r>
              <w:rPr>
                <w:rFonts w:ascii="宋体" w:hAnsi="宋体" w:eastAsia="宋体"/>
                <w:sz w:val="18"/>
              </w:rPr>
              <w:t>1.130</w:t>
            </w:r>
          </w:p>
        </w:tc>
      </w:tr>
    </w:tbl>
    <w:p/>
    <w:p>
      <w:pPr>
        <w:jc w:val="center"/>
      </w:pPr>
      <w:r>
        <w:drawing>
          <wp:inline xmlns:a="http://schemas.openxmlformats.org/drawingml/2006/main" xmlns:pic="http://schemas.openxmlformats.org/drawingml/2006/picture">
            <wp:extent cx="4754880" cy="2377440"/>
            <wp:docPr id="4" name="Picture 4"/>
            <wp:cNvGraphicFramePr>
              <a:graphicFrameLocks noChangeAspect="1"/>
            </wp:cNvGraphicFramePr>
            <a:graphic>
              <a:graphicData uri="http://schemas.openxmlformats.org/drawingml/2006/picture">
                <pic:pic>
                  <pic:nvPicPr>
                    <pic:cNvPr id="0" name="问题4_定价对比.png"/>
                    <pic:cNvPicPr/>
                  </pic:nvPicPr>
                  <pic:blipFill>
                    <a:blip r:embed="rId12"/>
                    <a:stretch>
                      <a:fillRect/>
                    </a:stretch>
                  </pic:blipFill>
                  <pic:spPr>
                    <a:xfrm>
                      <a:off x="0" y="0"/>
                      <a:ext cx="4754880" cy="2377440"/>
                    </a:xfrm>
                    <a:prstGeom prst="rect"/>
                  </pic:spPr>
                </pic:pic>
              </a:graphicData>
            </a:graphic>
          </wp:inline>
        </w:drawing>
      </w:r>
    </w:p>
    <w:p>
      <w:pPr>
        <w:jc w:val="center"/>
      </w:pPr>
      <w:r>
        <w:rPr>
          <w:rFonts w:ascii="宋体" w:hAnsi="宋体" w:eastAsia="宋体"/>
          <w:i/>
          <w:sz w:val="18"/>
        </w:rPr>
        <w:t>图4-4 各场景定价对比</w:t>
      </w:r>
    </w:p>
    <w:p/>
    <w:p>
      <w:pPr>
        <w:pStyle w:val="Heading2"/>
      </w:pPr>
      <w:r>
        <w:rPr>
          <w:rFonts w:ascii="黑体" w:hAnsi="黑体" w:eastAsia="黑体"/>
          <w:sz w:val="24"/>
        </w:rPr>
        <w:t>4.5 实际推广中的不确定因素与应对策略</w:t>
      </w:r>
    </w:p>
    <w:p>
      <w:pPr>
        <w:spacing w:after="60"/>
        <w:ind w:firstLine="420"/>
      </w:pPr>
      <w:r>
        <w:rPr>
          <w:rFonts w:ascii="宋体" w:hAnsi="宋体" w:eastAsia="宋体"/>
          <w:b w:val="0"/>
          <w:sz w:val="21"/>
        </w:rPr>
        <w:t>实际推广中存在三类不确定因素：（1）土地获取与社区协调风险——可通过"社区共治"机制、预留10%-15%预算作为协调成本应对；（2）政府补贴政策波动——设计"政策对冲"定价机制，补贴下降时自动触发服务分级，与政府部门签订三年期协议锁定政策窗口；（3）需求预测偏差与极端事件——引入情景规划方法，建立乐观/基准/悲观三套预案，站点预留20%容量弹性，采用模块化设备，与周边街道建立服务共享协议。</w:t>
      </w:r>
    </w:p>
    <w:p>
      <w:pPr>
        <w:pStyle w:val="Heading2"/>
      </w:pPr>
      <w:r>
        <w:rPr>
          <w:rFonts w:ascii="黑体" w:hAnsi="黑体" w:eastAsia="黑体"/>
          <w:sz w:val="24"/>
        </w:rPr>
        <w:t>4.6 本章小结</w:t>
      </w:r>
    </w:p>
    <w:p>
      <w:pPr>
        <w:spacing w:after="60"/>
        <w:ind w:firstLine="420"/>
      </w:pPr>
      <w:r>
        <w:rPr>
          <w:rFonts w:ascii="宋体" w:hAnsi="宋体" w:eastAsia="宋体"/>
          <w:b w:val="0"/>
          <w:sz w:val="21"/>
        </w:rPr>
        <w:t>第一，运营成本上涨20%对系统无结构性影响，成本可通过定价调整完全转嫁。第二，人口加速老龄化导致覆盖率下降4.55%，但满意度基本维持，系统整体稳定。第三，预算增加16.67%可实现100%全覆盖，满意度提升17%，呈现规模报酬递增特征。第四，上门护理是利润核心，所有场景均维持高溢价；助餐与日间照料保持平价。第五，实际推广需关注土地协调、政策波动与极端事件三类风险。综上，本章所建方案在参数扰动下表现出良好鲁棒性，可为实际建设与运营提供可靠决策支持。</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4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