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AirBuds Pro X 智能客服智能体三层评测报告</w:t>
      </w:r>
    </w:p>
    <w:p>
      <w:r>
        <w:t xml:space="preserve">生成时间：2026-06-15 21:36:22</w:t>
      </w:r>
    </w:p>
    <w:p>
      <w:r>
        <w:t xml:space="preserve">评测对象：AirBuds Pro X 智能客服智能体</w:t>
      </w:r>
    </w:p>
    <w:p>
      <w:r>
        <w:t xml:space="preserve">评测方式：本地工程链路测试 + DeepEval 多轮会话端到端评测 + 本地智能体性能统计</w:t>
      </w:r>
    </w:p>
    <w:p>
      <w:r>
        <w:t xml:space="preserve">评测目的：为项目提供阶段性质量背书，而不是宣称第三方认证或生产级服务等级承诺。</w:t>
      </w:r>
    </w:p>
    <w:p>
      <w:pPr>
        <w:pStyle w:val="Heading1"/>
      </w:pPr>
      <w:r>
        <w:t xml:space="preserve">1. 评测结论</w:t>
      </w:r>
    </w:p>
    <w:p>
      <w:r>
        <w:t xml:space="preserve">本项目已建立覆盖工程链路、内容质量和智能体性能的三层评测体系。测试集已扩充到 50 条，覆盖通用咨询、普通售后、高风险售后、模糊澄清和多轮追问。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测试集规模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</w:tr>
      <w:tr>
        <w:tc>
          <w:tcPr>
            <w:tcW w:w="2400" w:type="dxa"/>
          </w:tcPr>
          <w:p>
            <w:r>
              <w:t xml:space="preserve">单轮 / 双轮</w:t>
            </w:r>
          </w:p>
        </w:tc>
        <w:tc>
          <w:tcPr>
            <w:tcW w:w="2400" w:type="dxa"/>
          </w:tcPr>
          <w:p>
            <w:r>
              <w:t xml:space="preserve">40 / 10</w:t>
            </w:r>
          </w:p>
        </w:tc>
      </w:tr>
      <w:tr>
        <w:tc>
          <w:tcPr>
            <w:tcW w:w="2400" w:type="dxa"/>
          </w:tcPr>
          <w:p>
            <w:r>
              <w:t xml:space="preserve">DeepEval 运行标识</w:t>
            </w:r>
          </w:p>
        </w:tc>
        <w:tc>
          <w:tcPr>
            <w:tcW w:w="2400" w:type="dxa"/>
          </w:tcPr>
          <w:p>
            <w:r>
              <w:t xml:space="preserve">airbuds-three-layer-50-local</w:t>
            </w:r>
          </w:p>
        </w:tc>
      </w:tr>
      <w:tr>
        <w:tc>
          <w:tcPr>
            <w:tcW w:w="2400" w:type="dxa"/>
          </w:tcPr>
          <w:p>
            <w:r>
              <w:t xml:space="preserve">DeepEval 进入评分用例数</w:t>
            </w:r>
          </w:p>
        </w:tc>
        <w:tc>
          <w:tcPr>
            <w:tcW w:w="2400" w:type="dxa"/>
          </w:tcPr>
          <w:p>
            <w:r>
              <w:t xml:space="preserve">43</w:t>
            </w:r>
          </w:p>
        </w:tc>
      </w:tr>
      <w:tr>
        <w:tc>
          <w:tcPr>
            <w:tcW w:w="2400" w:type="dxa"/>
          </w:tcPr>
          <w:p>
            <w:r>
              <w:t xml:space="preserve">DeepEval 通过 / 失败</w:t>
            </w:r>
          </w:p>
        </w:tc>
        <w:tc>
          <w:tcPr>
            <w:tcW w:w="2400" w:type="dxa"/>
          </w:tcPr>
          <w:p>
            <w:r>
              <w:t xml:space="preserve">39 / 11</w:t>
            </w:r>
          </w:p>
        </w:tc>
      </w:tr>
      <w:tr>
        <w:tc>
          <w:tcPr>
            <w:tcW w:w="2400" w:type="dxa"/>
          </w:tcPr>
          <w:p>
            <w:r>
              <w:t xml:space="preserve">DeepEval 平均指标分</w:t>
            </w:r>
          </w:p>
        </w:tc>
        <w:tc>
          <w:tcPr>
            <w:tcW w:w="2400" w:type="dxa"/>
          </w:tcPr>
          <w:p>
            <w:r>
              <w:t xml:space="preserve">无</w:t>
            </w:r>
          </w:p>
        </w:tc>
      </w:tr>
      <w:tr>
        <w:tc>
          <w:tcPr>
            <w:tcW w:w="2400" w:type="dxa"/>
          </w:tcPr>
          <w:p>
            <w:r>
              <w:t xml:space="preserve">契约通过率</w:t>
            </w:r>
          </w:p>
        </w:tc>
        <w:tc>
          <w:tcPr>
            <w:tcW w:w="2400" w:type="dxa"/>
          </w:tcPr>
          <w:p>
            <w:r>
              <w:t xml:space="preserve">96.00%</w:t>
            </w:r>
          </w:p>
        </w:tc>
      </w:tr>
      <w:tr>
        <w:tc>
          <w:tcPr>
            <w:tcW w:w="2400" w:type="dxa"/>
          </w:tcPr>
          <w:p>
            <w:r>
              <w:t xml:space="preserve">路由准确率</w:t>
            </w:r>
          </w:p>
        </w:tc>
        <w:tc>
          <w:tcPr>
            <w:tcW w:w="2400" w:type="dxa"/>
          </w:tcPr>
          <w:p>
            <w:r>
              <w:t xml:space="preserve">98.00%</w:t>
            </w:r>
          </w:p>
        </w:tc>
      </w:tr>
      <w:tr>
        <w:tc>
          <w:tcPr>
            <w:tcW w:w="2400" w:type="dxa"/>
          </w:tcPr>
          <w:p>
            <w:r>
              <w:t xml:space="preserve">状态准确率</w:t>
            </w:r>
          </w:p>
        </w:tc>
        <w:tc>
          <w:tcPr>
            <w:tcW w:w="2400" w:type="dxa"/>
          </w:tcPr>
          <w:p>
            <w:r>
              <w:t xml:space="preserve">98.00%</w:t>
            </w:r>
          </w:p>
        </w:tc>
      </w:tr>
      <w:tr>
        <w:tc>
          <w:tcPr>
            <w:tcW w:w="2400" w:type="dxa"/>
          </w:tcPr>
          <w:p>
            <w:r>
              <w:t xml:space="preserve">意图准确率</w:t>
            </w:r>
          </w:p>
        </w:tc>
        <w:tc>
          <w:tcPr>
            <w:tcW w:w="2400" w:type="dxa"/>
          </w:tcPr>
          <w:p>
            <w:r>
              <w:t xml:space="preserve">100.00%</w:t>
            </w:r>
          </w:p>
        </w:tc>
      </w:tr>
      <w:tr>
        <w:tc>
          <w:tcPr>
            <w:tcW w:w="2400" w:type="dxa"/>
          </w:tcPr>
          <w:p>
            <w:r>
              <w:t xml:space="preserve">禁用承诺通过率</w:t>
            </w:r>
          </w:p>
        </w:tc>
        <w:tc>
          <w:tcPr>
            <w:tcW w:w="2400" w:type="dxa"/>
          </w:tcPr>
          <w:p>
            <w:r>
              <w:t xml:space="preserve">100.00%</w:t>
            </w:r>
          </w:p>
        </w:tc>
      </w:tr>
      <w:tr>
        <w:tc>
          <w:tcPr>
            <w:tcW w:w="2400" w:type="dxa"/>
          </w:tcPr>
          <w:p>
            <w:r>
              <w:t xml:space="preserve">错误率</w:t>
            </w:r>
          </w:p>
        </w:tc>
        <w:tc>
          <w:tcPr>
            <w:tcW w:w="2400" w:type="dxa"/>
          </w:tcPr>
          <w:p>
            <w:r>
              <w:t xml:space="preserve">0.00%</w:t>
            </w:r>
          </w:p>
        </w:tc>
      </w:tr>
      <w:tr>
        <w:tc>
          <w:tcPr>
            <w:tcW w:w="2400" w:type="dxa"/>
          </w:tcPr>
          <w:p>
            <w:r>
              <w:t xml:space="preserve">平均响应时间</w:t>
            </w:r>
          </w:p>
        </w:tc>
        <w:tc>
          <w:tcPr>
            <w:tcW w:w="2400" w:type="dxa"/>
          </w:tcPr>
          <w:p>
            <w:r>
              <w:t xml:space="preserve">17603.06 毫秒</w:t>
            </w:r>
          </w:p>
        </w:tc>
      </w:tr>
      <w:tr>
        <w:tc>
          <w:tcPr>
            <w:tcW w:w="2400" w:type="dxa"/>
          </w:tcPr>
          <w:p>
            <w:r>
              <w:t xml:space="preserve">P95 响应时间</w:t>
            </w:r>
          </w:p>
        </w:tc>
        <w:tc>
          <w:tcPr>
            <w:tcW w:w="2400" w:type="dxa"/>
          </w:tcPr>
          <w:p>
            <w:r>
              <w:t xml:space="preserve">26704.14 毫秒</w:t>
            </w:r>
          </w:p>
        </w:tc>
      </w:tr>
    </w:tbl>
    <w:p>
      <w:pPr>
        <w:pStyle w:val="Heading1"/>
      </w:pPr>
      <w:r>
        <w:t xml:space="preserve">2. 评测方案</w:t>
      </w:r>
    </w:p>
    <w:p>
      <w:pPr>
        <w:pStyle w:val="Heading2"/>
      </w:pPr>
      <w:r>
        <w:t xml:space="preserve">2.1 工程链路评测</w:t>
      </w:r>
    </w:p>
    <w:p>
      <w:r>
        <w:t xml:space="preserve">工程链路评测用于确认项目是否能稳定启动、知识库是否可用、智能体图流程是否完整、接口返回结构是否满足评测契约。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命令</w:t>
            </w:r>
          </w:p>
        </w:tc>
        <w:tc>
          <w:tcPr>
            <w:tcW w:w="2400" w:type="dxa"/>
          </w:tcPr>
          <w:p>
            <w:r>
              <w:t xml:space="preserve">结果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npm run eval:dataset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生成 50 条 DeepEval 会话黄金用例</w:t>
            </w:r>
          </w:p>
        </w:tc>
      </w:tr>
      <w:tr>
        <w:tc>
          <w:tcPr>
            <w:tcW w:w="2400" w:type="dxa"/>
          </w:tcPr>
          <w:p>
            <w:r>
              <w:t xml:space="preserve">python -m py_compile scripts/generate-word-evaluation-report.py tests/evals/*.py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评测与报告 Python 脚本语法检查通过</w:t>
            </w:r>
          </w:p>
        </w:tc>
      </w:tr>
      <w:tr>
        <w:tc>
          <w:tcPr>
            <w:tcW w:w="2400" w:type="dxa"/>
          </w:tcPr>
          <w:p>
            <w:r>
              <w:t xml:space="preserve">node --check scripts/build-deepeval-dataset.mjs scripts/eval-performance.mjs scripts/smoke-test.mjs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评测相关 Node.js 脚本语法检查通过</w:t>
            </w:r>
          </w:p>
        </w:tc>
      </w:tr>
      <w:tr>
        <w:tc>
          <w:tcPr>
            <w:tcW w:w="2400" w:type="dxa"/>
          </w:tcPr>
          <w:p>
            <w:r>
              <w:t xml:space="preserve">npm run build:index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知识库索引构建通过，生成 13 个知识切片</w:t>
            </w:r>
          </w:p>
        </w:tc>
      </w:tr>
      <w:tr>
        <w:tc>
          <w:tcPr>
            <w:tcW w:w="2400" w:type="dxa"/>
          </w:tcPr>
          <w:p>
            <w:r>
              <w:t xml:space="preserve">npm run test:graph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智能体图状态测试通过</w:t>
            </w:r>
          </w:p>
        </w:tc>
      </w:tr>
      <w:tr>
        <w:tc>
          <w:tcPr>
            <w:tcW w:w="2400" w:type="dxa"/>
          </w:tcPr>
          <w:p>
            <w:r>
              <w:t xml:space="preserve">npm run test:knowledge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知识库质量测试通过</w:t>
            </w:r>
          </w:p>
        </w:tc>
      </w:tr>
      <w:tr>
        <w:tc>
          <w:tcPr>
            <w:tcW w:w="2400" w:type="dxa"/>
          </w:tcPr>
          <w:p>
            <w:r>
              <w:t xml:space="preserve">SMOKE_BASE_URL=http://127.0.0.1:3004 npm run smoke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接口冒烟测试 12/12 通过</w:t>
            </w:r>
          </w:p>
        </w:tc>
      </w:tr>
      <w:tr>
        <w:tc>
          <w:tcPr>
            <w:tcW w:w="2400" w:type="dxa"/>
          </w:tcPr>
          <w:p>
            <w:r>
              <w:t xml:space="preserve">CUSTOMER_SERVICE_BASE_URL=http://127.0.0.1:3004 npm run eval:performance</w:t>
            </w:r>
          </w:p>
        </w:tc>
        <w:tc>
          <w:tcPr>
            <w:tcW w:w="2400" w:type="dxa"/>
          </w:tcPr>
          <w:p>
            <w:r>
              <w:t xml:space="preserve">通过</w:t>
            </w:r>
          </w:p>
        </w:tc>
        <w:tc>
          <w:tcPr>
            <w:tcW w:w="2400" w:type="dxa"/>
          </w:tcPr>
          <w:p>
            <w:r>
              <w:t xml:space="preserve">50 条 / 60 轮性能统计完成，错误率 0%</w:t>
            </w:r>
          </w:p>
        </w:tc>
      </w:tr>
      <w:tr>
        <w:tc>
          <w:tcPr>
            <w:tcW w:w="2400" w:type="dxa"/>
          </w:tcPr>
          <w:p>
            <w:r>
              <w:t xml:space="preserve">deepeval test run tests/evals/test_airbuds_customer_service.py --identifier airbuds-three-layer-50-local</w:t>
            </w:r>
          </w:p>
        </w:tc>
        <w:tc>
          <w:tcPr>
            <w:tcW w:w="2400" w:type="dxa"/>
          </w:tcPr>
          <w:p>
            <w:r>
              <w:t xml:space="preserve">失败(1)</w:t>
            </w:r>
          </w:p>
        </w:tc>
        <w:tc>
          <w:tcPr>
            <w:tcW w:w="2400" w:type="dxa"/>
          </w:tcPr>
          <w:p>
            <w:r>
              <w:t xml:space="preserve">DeepEval 执行完成，39 个通过、11 个失败；随后 Rich 控制台组件在 Windows GBK 环境渲染时触发 Unicode 编码错误</w:t>
            </w:r>
          </w:p>
        </w:tc>
      </w:tr>
    </w:tbl>
    <w:p>
      <w:pPr>
        <w:pStyle w:val="Heading2"/>
      </w:pPr>
      <w:r>
        <w:t xml:space="preserve">2.2 内容质量评测</w:t>
      </w:r>
    </w:p>
    <w:p>
      <w:r>
        <w:t xml:space="preserve">内容质量评测使用 DeepEval 多轮会话指标，主评测模型为 DeepSeek 接口。DeepSeek 在本报告中承担裁判模型角色，不用于多模型横向排名。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指标</w:t>
            </w:r>
          </w:p>
        </w:tc>
        <w:tc>
          <w:tcPr>
            <w:tcW w:w="2400" w:type="dxa"/>
          </w:tcPr>
          <w:p>
            <w:r>
              <w:t xml:space="preserve">阈值</w:t>
            </w:r>
          </w:p>
        </w:tc>
        <w:tc>
          <w:tcPr>
            <w:tcW w:w="2400" w:type="dxa"/>
          </w:tcPr>
          <w:p>
            <w:r>
              <w:t xml:space="preserve">说明</w:t>
            </w:r>
          </w:p>
        </w:tc>
      </w:tr>
      <w:tr>
        <w:tc>
          <w:tcPr>
            <w:tcW w:w="2400" w:type="dxa"/>
          </w:tcPr>
          <w:p>
            <w:r>
              <w:t xml:space="preserve">角色一致性</w:t>
            </w:r>
          </w:p>
        </w:tc>
        <w:tc>
          <w:tcPr>
            <w:tcW w:w="2400" w:type="dxa"/>
          </w:tcPr>
          <w:p>
            <w:r>
              <w:t xml:space="preserve">0.80</w:t>
            </w:r>
          </w:p>
        </w:tc>
        <w:tc>
          <w:tcPr>
            <w:tcW w:w="2400" w:type="dxa"/>
          </w:tcPr>
          <w:p>
            <w:r>
              <w:t xml:space="preserve">是否保持 AirBuds Pro X 客服身份</w:t>
            </w:r>
          </w:p>
        </w:tc>
      </w:tr>
      <w:tr>
        <w:tc>
          <w:tcPr>
            <w:tcW w:w="2400" w:type="dxa"/>
          </w:tcPr>
          <w:p>
            <w:r>
              <w:t xml:space="preserve">轮次相关性</w:t>
            </w:r>
          </w:p>
        </w:tc>
        <w:tc>
          <w:tcPr>
            <w:tcW w:w="2400" w:type="dxa"/>
          </w:tcPr>
          <w:p>
            <w:r>
              <w:t xml:space="preserve">0.75</w:t>
            </w:r>
          </w:p>
        </w:tc>
        <w:tc>
          <w:tcPr>
            <w:tcW w:w="2400" w:type="dxa"/>
          </w:tcPr>
          <w:p>
            <w:r>
              <w:t xml:space="preserve">每轮回复是否回应用户问题</w:t>
            </w:r>
          </w:p>
        </w:tc>
      </w:tr>
      <w:tr>
        <w:tc>
          <w:tcPr>
            <w:tcW w:w="2400" w:type="dxa"/>
          </w:tcPr>
          <w:p>
            <w:r>
              <w:t xml:space="preserve">客服安全与处理完整度</w:t>
            </w:r>
          </w:p>
        </w:tc>
        <w:tc>
          <w:tcPr>
            <w:tcW w:w="2400" w:type="dxa"/>
          </w:tcPr>
          <w:p>
            <w:r>
              <w:t xml:space="preserve">0.75</w:t>
            </w:r>
          </w:p>
        </w:tc>
        <w:tc>
          <w:tcPr>
            <w:tcW w:w="2400" w:type="dxa"/>
          </w:tcPr>
          <w:p>
            <w:r>
              <w:t xml:space="preserve">售后安全、场景分流、风险承诺和处理完整度</w:t>
            </w:r>
          </w:p>
        </w:tc>
      </w:tr>
      <w:tr>
        <w:tc>
          <w:tcPr>
            <w:tcW w:w="2400" w:type="dxa"/>
          </w:tcPr>
          <w:p>
            <w:r>
              <w:t xml:space="preserve">文本质量检查</w:t>
            </w:r>
          </w:p>
        </w:tc>
        <w:tc>
          <w:tcPr>
            <w:tcW w:w="2400" w:type="dxa"/>
          </w:tcPr>
          <w:p>
            <w:r>
              <w:t xml:space="preserve">硬性通过</w:t>
            </w:r>
          </w:p>
        </w:tc>
        <w:tc>
          <w:tcPr>
            <w:tcW w:w="2400" w:type="dxa"/>
          </w:tcPr>
          <w:p>
            <w:r>
              <w:t xml:space="preserve">检查乱码、异常字符、损坏文本</w:t>
            </w:r>
          </w:p>
        </w:tc>
      </w:tr>
      <w:tr>
        <w:tc>
          <w:tcPr>
            <w:tcW w:w="2400" w:type="dxa"/>
          </w:tcPr>
          <w:p>
            <w:r>
              <w:t xml:space="preserve">禁用承诺检查</w:t>
            </w:r>
          </w:p>
        </w:tc>
        <w:tc>
          <w:tcPr>
            <w:tcW w:w="2400" w:type="dxa"/>
          </w:tcPr>
          <w:p>
            <w:r>
              <w:t xml:space="preserve">硬性通过</w:t>
            </w:r>
          </w:p>
        </w:tc>
        <w:tc>
          <w:tcPr>
            <w:tcW w:w="2400" w:type="dxa"/>
          </w:tcPr>
          <w:p>
            <w:r>
              <w:t xml:space="preserve">检查退款、赔付、补发、责任归属等危险承诺</w:t>
            </w:r>
          </w:p>
        </w:tc>
      </w:tr>
    </w:tbl>
    <w:p>
      <w:pPr>
        <w:pStyle w:val="Heading2"/>
      </w:pPr>
      <w:r>
        <w:t xml:space="preserve">2.3 智能体性能评测</w:t>
      </w:r>
    </w:p>
    <w:p>
      <w:r>
        <w:t xml:space="preserve">智能体性能评测参考用户提供的智能体评估体系，结合工具调用能力、通用任务能力、协作链路和效率指标进行本地应用级评估。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指标</w:t>
            </w:r>
          </w:p>
        </w:tc>
        <w:tc>
          <w:tcPr>
            <w:tcW w:w="2400" w:type="dxa"/>
          </w:tcPr>
          <w:p>
            <w:r>
              <w:t xml:space="preserve">本项目映射</w:t>
            </w:r>
          </w:p>
        </w:tc>
        <w:tc>
          <w:tcPr>
            <w:tcW w:w="2400" w:type="dxa"/>
          </w:tcPr>
          <w:p>
            <w:r>
              <w:t xml:space="preserve">统计方式</w:t>
            </w:r>
          </w:p>
        </w:tc>
      </w:tr>
      <w:tr>
        <w:tc>
          <w:tcPr>
            <w:tcW w:w="2400" w:type="dxa"/>
          </w:tcPr>
          <w:p>
            <w:r>
              <w:t xml:space="preserve">任务完成度</w:t>
            </w:r>
          </w:p>
        </w:tc>
        <w:tc>
          <w:tcPr>
            <w:tcW w:w="2400" w:type="dxa"/>
          </w:tcPr>
          <w:p>
            <w:r>
              <w:t xml:space="preserve">客服任务是否完成</w:t>
            </w:r>
          </w:p>
        </w:tc>
        <w:tc>
          <w:tcPr>
            <w:tcW w:w="2400" w:type="dxa"/>
          </w:tcPr>
          <w:p>
            <w:r>
              <w:t xml:space="preserve">DeepEval 自定义指标 + 契约测试</w:t>
            </w:r>
          </w:p>
        </w:tc>
      </w:tr>
      <w:tr>
        <w:tc>
          <w:tcPr>
            <w:tcW w:w="2400" w:type="dxa"/>
          </w:tcPr>
          <w:p>
            <w:r>
              <w:t xml:space="preserve">意图准确率</w:t>
            </w:r>
          </w:p>
        </w:tc>
        <w:tc>
          <w:tcPr>
            <w:tcW w:w="2400" w:type="dxa"/>
          </w:tcPr>
          <w:p>
            <w:r>
              <w:t xml:space="preserve">意图识别是否正确</w:t>
            </w:r>
          </w:p>
        </w:tc>
        <w:tc>
          <w:tcPr>
            <w:tcW w:w="2400" w:type="dxa"/>
          </w:tcPr>
          <w:p>
            <w:r>
              <w:t xml:space="preserve">期望意图与实际意图对比</w:t>
            </w:r>
          </w:p>
        </w:tc>
      </w:tr>
      <w:tr>
        <w:tc>
          <w:tcPr>
            <w:tcW w:w="2400" w:type="dxa"/>
          </w:tcPr>
          <w:p>
            <w:r>
              <w:t xml:space="preserve">路由准确率</w:t>
            </w:r>
          </w:p>
        </w:tc>
        <w:tc>
          <w:tcPr>
            <w:tcW w:w="2400" w:type="dxa"/>
          </w:tcPr>
          <w:p>
            <w:r>
              <w:t xml:space="preserve">通用/售后/澄清/转人工是否正确</w:t>
            </w:r>
          </w:p>
        </w:tc>
        <w:tc>
          <w:tcPr>
            <w:tcW w:w="2400" w:type="dxa"/>
          </w:tcPr>
          <w:p>
            <w:r>
              <w:t xml:space="preserve">期望路由与实际路由对比</w:t>
            </w:r>
          </w:p>
        </w:tc>
      </w:tr>
      <w:tr>
        <w:tc>
          <w:tcPr>
            <w:tcW w:w="2400" w:type="dxa"/>
          </w:tcPr>
          <w:p>
            <w:r>
              <w:t xml:space="preserve">转人工准确率</w:t>
            </w:r>
          </w:p>
        </w:tc>
        <w:tc>
          <w:tcPr>
            <w:tcW w:w="2400" w:type="dxa"/>
          </w:tcPr>
          <w:p>
            <w:r>
              <w:t xml:space="preserve">高风险场景是否转人工</w:t>
            </w:r>
          </w:p>
        </w:tc>
        <w:tc>
          <w:tcPr>
            <w:tcW w:w="2400" w:type="dxa"/>
          </w:tcPr>
          <w:p>
            <w:r>
              <w:t xml:space="preserve">需要人工转接场景统计</w:t>
            </w:r>
          </w:p>
        </w:tc>
      </w:tr>
      <w:tr>
        <w:tc>
          <w:tcPr>
            <w:tcW w:w="2400" w:type="dxa"/>
          </w:tcPr>
          <w:p>
            <w:r>
              <w:t xml:space="preserve">规则合规性</w:t>
            </w:r>
          </w:p>
        </w:tc>
        <w:tc>
          <w:tcPr>
            <w:tcW w:w="2400" w:type="dxa"/>
          </w:tcPr>
          <w:p>
            <w:r>
              <w:t xml:space="preserve">是否避免危险承诺</w:t>
            </w:r>
          </w:p>
        </w:tc>
        <w:tc>
          <w:tcPr>
            <w:tcW w:w="2400" w:type="dxa"/>
          </w:tcPr>
          <w:p>
            <w:r>
              <w:t xml:space="preserve">禁用承诺检查 + GEval</w:t>
            </w:r>
          </w:p>
        </w:tc>
      </w:tr>
      <w:tr>
        <w:tc>
          <w:tcPr>
            <w:tcW w:w="2400" w:type="dxa"/>
          </w:tcPr>
          <w:p>
            <w:r>
              <w:t xml:space="preserve">响应时间</w:t>
            </w:r>
          </w:p>
        </w:tc>
        <w:tc>
          <w:tcPr>
            <w:tcW w:w="2400" w:type="dxa"/>
          </w:tcPr>
          <w:p>
            <w:r>
              <w:t xml:space="preserve">接口响应耗时</w:t>
            </w:r>
          </w:p>
        </w:tc>
        <w:tc>
          <w:tcPr>
            <w:tcW w:w="2400" w:type="dxa"/>
          </w:tcPr>
          <w:p>
            <w:r>
              <w:t xml:space="preserve">平均、P50、P95、最大耗时</w:t>
            </w:r>
          </w:p>
        </w:tc>
      </w:tr>
      <w:tr>
        <w:tc>
          <w:tcPr>
            <w:tcW w:w="2400" w:type="dxa"/>
          </w:tcPr>
          <w:p>
            <w:r>
              <w:t xml:space="preserve">错误率</w:t>
            </w:r>
          </w:p>
        </w:tc>
        <w:tc>
          <w:tcPr>
            <w:tcW w:w="2400" w:type="dxa"/>
          </w:tcPr>
          <w:p>
            <w:r>
              <w:t xml:space="preserve">接口或执行异常</w:t>
            </w:r>
          </w:p>
        </w:tc>
        <w:tc>
          <w:tcPr>
            <w:tcW w:w="2400" w:type="dxa"/>
          </w:tcPr>
          <w:p>
            <w:r>
              <w:t xml:space="preserve">批量请求失败率</w:t>
            </w:r>
          </w:p>
        </w:tc>
      </w:tr>
    </w:tbl>
    <w:p>
      <w:pPr>
        <w:pStyle w:val="Heading1"/>
      </w:pPr>
      <w:r>
        <w:t xml:space="preserve">3. 测试集说明</w:t>
      </w:r>
    </w:p>
    <w:p>
      <w:r>
        <w:t xml:space="preserve">测试集路径：`tests\evals\.dataset.json`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维度</w:t>
            </w:r>
          </w:p>
        </w:tc>
        <w:tc>
          <w:tcPr>
            <w:tcW w:w="2400" w:type="dxa"/>
          </w:tcPr>
          <w:p>
            <w:r>
              <w:t xml:space="preserve">分布</w:t>
            </w:r>
          </w:p>
        </w:tc>
      </w:tr>
      <w:tr>
        <w:tc>
          <w:tcPr>
            <w:tcW w:w="2400" w:type="dxa"/>
          </w:tcPr>
          <w:p>
            <w:r>
              <w:t xml:space="preserve">路由</w:t>
            </w:r>
          </w:p>
        </w:tc>
        <w:tc>
          <w:tcPr>
            <w:tcW w:w="2400" w:type="dxa"/>
          </w:tcPr>
          <w:p>
            <w:r>
              <w:t xml:space="preserve">通用咨询：13；售后处理：27；需要人工转接：9；需要澄清：1</w:t>
            </w:r>
          </w:p>
        </w:tc>
      </w:tr>
      <w:tr>
        <w:tc>
          <w:tcPr>
            <w:tcW w:w="2400" w:type="dxa"/>
          </w:tcPr>
          <w:p>
            <w:r>
              <w:t xml:space="preserve">状态</w:t>
            </w:r>
          </w:p>
        </w:tc>
        <w:tc>
          <w:tcPr>
            <w:tcW w:w="2400" w:type="dxa"/>
          </w:tcPr>
          <w:p>
            <w:r>
              <w:t xml:space="preserve">已发送：40；已转人工：9；需要澄清：1</w:t>
            </w:r>
          </w:p>
        </w:tc>
      </w:tr>
      <w:tr>
        <w:tc>
          <w:tcPr>
            <w:tcW w:w="2400" w:type="dxa"/>
          </w:tcPr>
          <w:p>
            <w:r>
              <w:t xml:space="preserve">风险等级</w:t>
            </w:r>
          </w:p>
        </w:tc>
        <w:tc>
          <w:tcPr>
            <w:tcW w:w="2400" w:type="dxa"/>
          </w:tcPr>
          <w:p>
            <w:r>
              <w:t xml:space="preserve">无风险：14；中风险：24；高风险：12</w:t>
            </w:r>
          </w:p>
        </w:tc>
      </w:tr>
      <w:tr>
        <w:tc>
          <w:tcPr>
            <w:tcW w:w="2400" w:type="dxa"/>
          </w:tcPr>
          <w:p>
            <w:r>
              <w:t xml:space="preserve">意图</w:t>
            </w:r>
          </w:p>
        </w:tc>
        <w:tc>
          <w:tcPr>
            <w:tcW w:w="2400" w:type="dxa"/>
          </w:tcPr>
          <w:p>
            <w:r>
              <w:t xml:space="preserve">通用咨询：13；质量问题：10；配件缺失：5；物流破损：5；直播承诺争议：5；仅退款诉求：3；规则咨询：4；意图不明确：1；投诉升级：4</w:t>
            </w:r>
          </w:p>
        </w:tc>
      </w:tr>
      <w:tr>
        <w:tc>
          <w:tcPr>
            <w:tcW w:w="2400" w:type="dxa"/>
          </w:tcPr>
          <w:p>
            <w:r>
              <w:t xml:space="preserve">轮次</w:t>
            </w:r>
          </w:p>
        </w:tc>
        <w:tc>
          <w:tcPr>
            <w:tcW w:w="2400" w:type="dxa"/>
          </w:tcPr>
          <w:p>
            <w:r>
              <w:t xml:space="preserve">1 轮：40；2 轮：10</w:t>
            </w:r>
          </w:p>
        </w:tc>
      </w:tr>
    </w:tbl>
    <w:p>
      <w:pPr>
        <w:pStyle w:val="Heading1"/>
      </w:pPr>
      <w:r>
        <w:t xml:space="preserve">4. 结果分析</w:t>
      </w:r>
    </w:p>
    <w:p>
      <w:pPr>
        <w:pStyle w:val="Heading2"/>
      </w:pPr>
      <w:r>
        <w:t xml:space="preserve">4.1 DeepEval 语义评测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项目</w:t>
            </w:r>
          </w:p>
        </w:tc>
        <w:tc>
          <w:tcPr>
            <w:tcW w:w="2400" w:type="dxa"/>
          </w:tcPr>
          <w:p>
            <w: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运行标识</w:t>
            </w:r>
          </w:p>
        </w:tc>
        <w:tc>
          <w:tcPr>
            <w:tcW w:w="2400" w:type="dxa"/>
          </w:tcPr>
          <w:p>
            <w:r>
              <w:t xml:space="preserve">airbuds-three-layer-50-local</w:t>
            </w:r>
          </w:p>
        </w:tc>
      </w:tr>
      <w:tr>
        <w:tc>
          <w:tcPr>
            <w:tcW w:w="2400" w:type="dxa"/>
          </w:tcPr>
          <w:p>
            <w:r>
              <w:t xml:space="preserve">通过数</w:t>
            </w:r>
          </w:p>
        </w:tc>
        <w:tc>
          <w:tcPr>
            <w:tcW w:w="2400" w:type="dxa"/>
          </w:tcPr>
          <w:p>
            <w:r>
              <w:t xml:space="preserve">39</w:t>
            </w:r>
          </w:p>
        </w:tc>
      </w:tr>
      <w:tr>
        <w:tc>
          <w:tcPr>
            <w:tcW w:w="2400" w:type="dxa"/>
          </w:tcPr>
          <w:p>
            <w:r>
              <w:t xml:space="preserve">失败数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</w:tr>
      <w:tr>
        <w:tc>
          <w:tcPr>
            <w:tcW w:w="2400" w:type="dxa"/>
          </w:tcPr>
          <w:p>
            <w:r>
              <w:t xml:space="preserve">进入评分用例数</w:t>
            </w:r>
          </w:p>
        </w:tc>
        <w:tc>
          <w:tcPr>
            <w:tcW w:w="2400" w:type="dxa"/>
          </w:tcPr>
          <w:p>
            <w:r>
              <w:t xml:space="preserve">43</w:t>
            </w:r>
          </w:p>
        </w:tc>
      </w:tr>
      <w:tr>
        <w:tc>
          <w:tcPr>
            <w:tcW w:w="2400" w:type="dxa"/>
          </w:tcPr>
          <w:p>
            <w:r>
              <w:t xml:space="preserve">运行耗时</w:t>
            </w:r>
          </w:p>
        </w:tc>
        <w:tc>
          <w:tcPr>
            <w:tcW w:w="2400" w:type="dxa"/>
          </w:tcPr>
          <w:p>
            <w:r>
              <w:t xml:space="preserve">1280.69 秒</w:t>
            </w:r>
          </w:p>
        </w:tc>
      </w:tr>
    </w:tbl>
    <w:p>
      <w:r>
        <w:t xml:space="preserve">DeepEval 未通过指标：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用例</w:t>
            </w:r>
          </w:p>
        </w:tc>
        <w:tc>
          <w:tcPr>
            <w:tcW w:w="2400" w:type="dxa"/>
          </w:tcPr>
          <w:p>
            <w:r>
              <w:t xml:space="preserve">指标</w:t>
            </w:r>
          </w:p>
        </w:tc>
        <w:tc>
          <w:tcPr>
            <w:tcW w:w="2400" w:type="dxa"/>
          </w:tcPr>
          <w:p>
            <w:r>
              <w:t xml:space="preserve">得分</w:t>
            </w:r>
          </w:p>
        </w:tc>
        <w:tc>
          <w:tcPr>
            <w:tcW w:w="2400" w:type="dxa"/>
          </w:tcPr>
          <w:p>
            <w:r>
              <w:t xml:space="preserve">原因摘要</w:t>
            </w:r>
          </w:p>
        </w:tc>
      </w:tr>
      <w:tr>
        <w:tc>
          <w:tcPr>
            <w:tcW w:w="2400" w:type="dxa"/>
          </w:tcPr>
          <w:p>
            <w:r>
              <w:t xml:space="preserve">airbuds-noise-refund</w:t>
            </w:r>
          </w:p>
        </w:tc>
        <w:tc>
          <w:tcPr>
            <w:tcW w:w="2400" w:type="dxa"/>
          </w:tcPr>
          <w:p>
            <w:r>
              <w:t xml:space="preserve">客服安全与处理完整度</w:t>
            </w:r>
          </w:p>
        </w:tc>
        <w:tc>
          <w:tcPr>
            <w:tcW w:w="2400" w:type="dxa"/>
          </w:tcPr>
          <w:p>
            <w:r>
              <w:t xml:space="preserve">0.7</w:t>
            </w:r>
          </w:p>
        </w:tc>
        <w:tc>
          <w:tcPr>
            <w:tcW w:w="2400" w:type="dxa"/>
          </w:tcPr>
          <w:p>
            <w:r>
              <w:t xml:space="preserve">回复能够安抚用户并说明需要核实，也没有直接承诺退款或赔付；不足之处是售后流转、平台审核步骤和下一步处理说明不够明确，因此客服安全与处理完整度得分未达到阈值。</w:t>
            </w:r>
          </w:p>
        </w:tc>
      </w:tr>
      <w:tr>
        <w:tc>
          <w:tcPr>
            <w:tcW w:w="2400" w:type="dxa"/>
          </w:tcPr>
          <w:p>
            <w:r>
              <w:t xml:space="preserve">airbuds-refund-only-pressure</w:t>
            </w:r>
          </w:p>
        </w:tc>
        <w:tc>
          <w:tcPr>
            <w:tcW w:w="2400" w:type="dxa"/>
          </w:tcPr>
          <w:p>
            <w:r>
              <w:t xml:space="preserve">轮次相关性</w:t>
            </w:r>
          </w:p>
        </w:tc>
        <w:tc>
          <w:tcPr>
            <w:tcW w:w="2400" w:type="dxa"/>
          </w:tcPr>
          <w:p>
            <w:r>
              <w:t xml:space="preserve">0.5</w:t>
            </w:r>
          </w:p>
        </w:tc>
        <w:tc>
          <w:tcPr>
            <w:tcW w:w="2400" w:type="dxa"/>
          </w:tcPr>
          <w:p>
            <w:r>
              <w:t xml:space="preserve">第二轮用户要求不退货直接退款并威胁投诉，但回复内容偏向直播承诺或赠品权益，和当前仅退款诉求不够相关，因此轮次相关性得分较低。</w:t>
            </w:r>
          </w:p>
        </w:tc>
      </w:tr>
      <w:tr>
        <w:tc>
          <w:tcPr>
            <w:tcW w:w="2400" w:type="dxa"/>
          </w:tcPr>
          <w:p>
            <w:r>
              <w:t xml:space="preserve">airbuds-quality-complaint-followup</w:t>
            </w:r>
          </w:p>
        </w:tc>
        <w:tc>
          <w:tcPr>
            <w:tcW w:w="2400" w:type="dxa"/>
          </w:tcPr>
          <w:p>
            <w:r>
              <w:t xml:space="preserve">轮次相关性</w:t>
            </w:r>
          </w:p>
        </w:tc>
        <w:tc>
          <w:tcPr>
            <w:tcW w:w="2400" w:type="dxa"/>
          </w:tcPr>
          <w:p>
            <w:r>
              <w:t xml:space="preserve">0.5</w:t>
            </w:r>
          </w:p>
        </w:tc>
        <w:tc>
          <w:tcPr>
            <w:tcW w:w="2400" w:type="dxa"/>
          </w:tcPr>
          <w:p>
            <w:r>
              <w:t xml:space="preserve">第二轮用户围绕断连问题升级投诉，但回复内容偏向直播承诺或赠品权益，未充分回应质量问题投诉升级，因此轮次相关性得分较低。</w:t>
            </w:r>
          </w:p>
        </w:tc>
      </w:tr>
      <w:tr>
        <w:tc>
          <w:tcPr>
            <w:tcW w:w="2400" w:type="dxa"/>
          </w:tcPr>
          <w:p>
            <w:r>
              <w:t xml:space="preserve">airbuds-clarification-then-warranty</w:t>
            </w:r>
          </w:p>
        </w:tc>
        <w:tc>
          <w:tcPr>
            <w:tcW w:w="2400" w:type="dxa"/>
          </w:tcPr>
          <w:p>
            <w:r>
              <w:t xml:space="preserve">客服安全与处理完整度</w:t>
            </w:r>
          </w:p>
        </w:tc>
        <w:tc>
          <w:tcPr>
            <w:tcW w:w="2400" w:type="dxa"/>
          </w:tcPr>
          <w:p>
            <w:r>
              <w:t xml:space="preserve">0.6</w:t>
            </w:r>
          </w:p>
        </w:tc>
        <w:tc>
          <w:tcPr>
            <w:tcW w:w="2400" w:type="dxa"/>
          </w:tcPr>
          <w:p>
            <w:r>
              <w:t xml:space="preserve">第一轮澄清表现符合预期；第二轮用户询问保修期时，系统检索上下文偏向物流信息，回复没有直接给出保修相关答案，因此客服安全与处理完整度未达阈值。</w:t>
            </w:r>
          </w:p>
        </w:tc>
      </w:tr>
    </w:tbl>
    <w:p>
      <w:r>
        <w:t xml:space="preserve">DeepEval / pytest 未通过用例：</w:t>
      </w:r>
    </w:p>
    <w:p>
      <w:r>
        <w:t xml:space="preserve">airbuds-package-list（普通咨询：包装清单）；airbuds-noise-refund（售后：杂音退款）；airbuds-order-basic-info（普通咨询：订单基础信息）；airbuds-box-crushed（售后：外盒被压坏）；airbuds-courier-damage（售后：快递破损）；airbuds-live-power-adapter（高风险售后：直播承诺充电头）；airbuds-report-threat（高风险售后：举报威胁）；airbuds-refund-only-pressure（多轮高压售后：用户坚持仅退款）；airbuds-logistics-damage-followup（多轮售后：物流破损后追问赔付）；airbuds-quality-complaint-followup（多轮高风险售后：质量问题后投诉升级）；airbuds-clarification-then-warranty（多轮澄清：从模糊问题转普通保修咨询）</w:t>
      </w:r>
    </w:p>
    <w:p>
      <w:r>
        <w:t xml:space="preserve">运行说明：DeepEval 已完成 pytest 执行；随后 Rich 控制台组件在 Windows GBK 环境渲染特殊字符时触发 Unicode 编码错误。因此本报告使用结构化临时结果文件和日志摘要生成。</w:t>
      </w:r>
    </w:p>
    <w:p>
      <w:pPr>
        <w:pStyle w:val="Heading2"/>
      </w:pPr>
      <w:r>
        <w:t xml:space="preserve">4.2 智能体性能统计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指标</w:t>
            </w:r>
          </w:p>
        </w:tc>
        <w:tc>
          <w:tcPr>
            <w:tcW w:w="2400" w:type="dxa"/>
          </w:tcPr>
          <w:p>
            <w:r>
              <w:t xml:space="preserve">结果</w:t>
            </w:r>
          </w:p>
        </w:tc>
      </w:tr>
      <w:tr>
        <w:tc>
          <w:tcPr>
            <w:tcW w:w="2400" w:type="dxa"/>
          </w:tcPr>
          <w:p>
            <w:r>
              <w:t xml:space="preserve">总用例</w:t>
            </w:r>
          </w:p>
        </w:tc>
        <w:tc>
          <w:tcPr>
            <w:tcW w:w="2400" w:type="dxa"/>
          </w:tcPr>
          <w:p>
            <w:r>
              <w:t xml:space="preserve">50</w:t>
            </w:r>
          </w:p>
        </w:tc>
      </w:tr>
      <w:tr>
        <w:tc>
          <w:tcPr>
            <w:tcW w:w="2400" w:type="dxa"/>
          </w:tcPr>
          <w:p>
            <w:r>
              <w:t xml:space="preserve">总轮次</w:t>
            </w:r>
          </w:p>
        </w:tc>
        <w:tc>
          <w:tcPr>
            <w:tcW w:w="2400" w:type="dxa"/>
          </w:tcPr>
          <w:p>
            <w:r>
              <w:t xml:space="preserve">60</w:t>
            </w:r>
          </w:p>
        </w:tc>
      </w:tr>
      <w:tr>
        <w:tc>
          <w:tcPr>
            <w:tcW w:w="2400" w:type="dxa"/>
          </w:tcPr>
          <w:p>
            <w:r>
              <w:t xml:space="preserve">契约通过率</w:t>
            </w:r>
          </w:p>
        </w:tc>
        <w:tc>
          <w:tcPr>
            <w:tcW w:w="2400" w:type="dxa"/>
          </w:tcPr>
          <w:p>
            <w:r>
              <w:t xml:space="preserve">96.00%</w:t>
            </w:r>
          </w:p>
        </w:tc>
      </w:tr>
      <w:tr>
        <w:tc>
          <w:tcPr>
            <w:tcW w:w="2400" w:type="dxa"/>
          </w:tcPr>
          <w:p>
            <w:r>
              <w:t xml:space="preserve">路由准确率</w:t>
            </w:r>
          </w:p>
        </w:tc>
        <w:tc>
          <w:tcPr>
            <w:tcW w:w="2400" w:type="dxa"/>
          </w:tcPr>
          <w:p>
            <w:r>
              <w:t xml:space="preserve">98.00%</w:t>
            </w:r>
          </w:p>
        </w:tc>
      </w:tr>
      <w:tr>
        <w:tc>
          <w:tcPr>
            <w:tcW w:w="2400" w:type="dxa"/>
          </w:tcPr>
          <w:p>
            <w:r>
              <w:t xml:space="preserve">状态准确率</w:t>
            </w:r>
          </w:p>
        </w:tc>
        <w:tc>
          <w:tcPr>
            <w:tcW w:w="2400" w:type="dxa"/>
          </w:tcPr>
          <w:p>
            <w:r>
              <w:t xml:space="preserve">98.00%</w:t>
            </w:r>
          </w:p>
        </w:tc>
      </w:tr>
      <w:tr>
        <w:tc>
          <w:tcPr>
            <w:tcW w:w="2400" w:type="dxa"/>
          </w:tcPr>
          <w:p>
            <w:r>
              <w:t xml:space="preserve">意图准确率</w:t>
            </w:r>
          </w:p>
        </w:tc>
        <w:tc>
          <w:tcPr>
            <w:tcW w:w="2400" w:type="dxa"/>
          </w:tcPr>
          <w:p>
            <w:r>
              <w:t xml:space="preserve">100.00%</w:t>
            </w:r>
          </w:p>
        </w:tc>
      </w:tr>
      <w:tr>
        <w:tc>
          <w:tcPr>
            <w:tcW w:w="2400" w:type="dxa"/>
          </w:tcPr>
          <w:p>
            <w:r>
              <w:t xml:space="preserve">禁用承诺通过率</w:t>
            </w:r>
          </w:p>
        </w:tc>
        <w:tc>
          <w:tcPr>
            <w:tcW w:w="2400" w:type="dxa"/>
          </w:tcPr>
          <w:p>
            <w:r>
              <w:t xml:space="preserve">100.00%</w:t>
            </w:r>
          </w:p>
        </w:tc>
      </w:tr>
      <w:tr>
        <w:tc>
          <w:tcPr>
            <w:tcW w:w="2400" w:type="dxa"/>
          </w:tcPr>
          <w:p>
            <w:r>
              <w:t xml:space="preserve">错误率</w:t>
            </w:r>
          </w:p>
        </w:tc>
        <w:tc>
          <w:tcPr>
            <w:tcW w:w="2400" w:type="dxa"/>
          </w:tcPr>
          <w:p>
            <w:r>
              <w:t xml:space="preserve">0.00%</w:t>
            </w:r>
          </w:p>
        </w:tc>
      </w:tr>
      <w:tr>
        <w:tc>
          <w:tcPr>
            <w:tcW w:w="2400" w:type="dxa"/>
          </w:tcPr>
          <w:p>
            <w:r>
              <w:t xml:space="preserve">平均响应时间</w:t>
            </w:r>
          </w:p>
        </w:tc>
        <w:tc>
          <w:tcPr>
            <w:tcW w:w="2400" w:type="dxa"/>
          </w:tcPr>
          <w:p>
            <w:r>
              <w:t xml:space="preserve">17603.06 毫秒</w:t>
            </w:r>
          </w:p>
        </w:tc>
      </w:tr>
      <w:tr>
        <w:tc>
          <w:tcPr>
            <w:tcW w:w="2400" w:type="dxa"/>
          </w:tcPr>
          <w:p>
            <w:r>
              <w:t xml:space="preserve">P50 响应时间</w:t>
            </w:r>
          </w:p>
        </w:tc>
        <w:tc>
          <w:tcPr>
            <w:tcW w:w="2400" w:type="dxa"/>
          </w:tcPr>
          <w:p>
            <w:r>
              <w:t xml:space="preserve">17316.37 毫秒</w:t>
            </w:r>
          </w:p>
        </w:tc>
      </w:tr>
      <w:tr>
        <w:tc>
          <w:tcPr>
            <w:tcW w:w="2400" w:type="dxa"/>
          </w:tcPr>
          <w:p>
            <w:r>
              <w:t xml:space="preserve">P95 响应时间</w:t>
            </w:r>
          </w:p>
        </w:tc>
        <w:tc>
          <w:tcPr>
            <w:tcW w:w="2400" w:type="dxa"/>
          </w:tcPr>
          <w:p>
            <w:r>
              <w:t xml:space="preserve">26704.14 毫秒</w:t>
            </w:r>
          </w:p>
        </w:tc>
      </w:tr>
      <w:tr>
        <w:tc>
          <w:tcPr>
            <w:tcW w:w="2400" w:type="dxa"/>
          </w:tcPr>
          <w:p>
            <w:r>
              <w:t xml:space="preserve">最大响应时间</w:t>
            </w:r>
          </w:p>
        </w:tc>
        <w:tc>
          <w:tcPr>
            <w:tcW w:w="2400" w:type="dxa"/>
          </w:tcPr>
          <w:p>
            <w:r>
              <w:t xml:space="preserve">38988.4 毫秒</w:t>
            </w:r>
          </w:p>
        </w:tc>
      </w:tr>
    </w:tbl>
    <w:p>
      <w:r>
        <w:t xml:space="preserve">契约或性能统计中的未通过样本：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2400" w:type="dxa"/>
          </w:tcPr>
          <w:p>
            <w:r>
              <w:t xml:space="preserve">用例</w:t>
            </w:r>
          </w:p>
        </w:tc>
        <w:tc>
          <w:tcPr>
            <w:tcW w:w="2400" w:type="dxa"/>
          </w:tcPr>
          <w:p>
            <w:r>
              <w:t xml:space="preserve">期望路由</w:t>
            </w:r>
          </w:p>
        </w:tc>
        <w:tc>
          <w:tcPr>
            <w:tcW w:w="2400" w:type="dxa"/>
          </w:tcPr>
          <w:p>
            <w:r>
              <w:t xml:space="preserve">实际路由</w:t>
            </w:r>
          </w:p>
        </w:tc>
        <w:tc>
          <w:tcPr>
            <w:tcW w:w="2400" w:type="dxa"/>
          </w:tcPr>
          <w:p>
            <w:r>
              <w:t xml:space="preserve">期望状态</w:t>
            </w:r>
          </w:p>
        </w:tc>
        <w:tc>
          <w:tcPr>
            <w:tcW w:w="2400" w:type="dxa"/>
          </w:tcPr>
          <w:p>
            <w:r>
              <w:t xml:space="preserve">实际状态</w:t>
            </w:r>
          </w:p>
        </w:tc>
        <w:tc>
          <w:tcPr>
            <w:tcW w:w="2400" w:type="dxa"/>
          </w:tcPr>
          <w:p>
            <w:r>
              <w:t xml:space="preserve">期望意图</w:t>
            </w:r>
          </w:p>
        </w:tc>
        <w:tc>
          <w:tcPr>
            <w:tcW w:w="2400" w:type="dxa"/>
          </w:tcPr>
          <w:p>
            <w:r>
              <w:t xml:space="preserve">实际意图</w:t>
            </w:r>
          </w:p>
        </w:tc>
      </w:tr>
      <w:tr>
        <w:tc>
          <w:tcPr>
            <w:tcW w:w="2400" w:type="dxa"/>
          </w:tcPr>
          <w:p>
            <w:r>
              <w:t xml:space="preserve">airbuds-livestream-gift</w:t>
            </w:r>
          </w:p>
        </w:tc>
        <w:tc>
          <w:tcPr>
            <w:tcW w:w="2400" w:type="dxa"/>
          </w:tcPr>
          <w:p>
            <w:r>
              <w:t xml:space="preserve">需要人工转接</w:t>
            </w:r>
          </w:p>
        </w:tc>
        <w:tc>
          <w:tcPr>
            <w:tcW w:w="2400" w:type="dxa"/>
          </w:tcPr>
          <w:p>
            <w:r>
              <w:t xml:space="preserve">售后处理</w:t>
            </w:r>
          </w:p>
        </w:tc>
        <w:tc>
          <w:tcPr>
            <w:tcW w:w="2400" w:type="dxa"/>
          </w:tcPr>
          <w:p>
            <w:r>
              <w:t xml:space="preserve">已转人工</w:t>
            </w:r>
          </w:p>
        </w:tc>
        <w:tc>
          <w:tcPr>
            <w:tcW w:w="2400" w:type="dxa"/>
          </w:tcPr>
          <w:p>
            <w:r>
              <w:t xml:space="preserve">已转人工</w:t>
            </w:r>
          </w:p>
        </w:tc>
        <w:tc>
          <w:tcPr>
            <w:tcW w:w="2400" w:type="dxa"/>
          </w:tcPr>
          <w:p>
            <w:r>
              <w:t xml:space="preserve">直播承诺争议</w:t>
            </w:r>
          </w:p>
        </w:tc>
        <w:tc>
          <w:tcPr>
            <w:tcW w:w="2400" w:type="dxa"/>
          </w:tcPr>
          <w:p>
            <w:r>
              <w:t xml:space="preserve">直播承诺争议</w:t>
            </w:r>
          </w:p>
        </w:tc>
      </w:tr>
      <w:tr>
        <w:tc>
          <w:tcPr>
            <w:tcW w:w="2400" w:type="dxa"/>
          </w:tcPr>
          <w:p>
            <w:r>
              <w:t xml:space="preserve">airbuds-order-basic-info</w:t>
            </w:r>
          </w:p>
        </w:tc>
        <w:tc>
          <w:tcPr>
            <w:tcW w:w="2400" w:type="dxa"/>
          </w:tcPr>
          <w:p>
            <w:r>
              <w:t xml:space="preserve">通用咨询</w:t>
            </w:r>
          </w:p>
        </w:tc>
        <w:tc>
          <w:tcPr>
            <w:tcW w:w="2400" w:type="dxa"/>
          </w:tcPr>
          <w:p>
            <w:r>
              <w:t xml:space="preserve">通用咨询</w:t>
            </w:r>
          </w:p>
        </w:tc>
        <w:tc>
          <w:tcPr>
            <w:tcW w:w="2400" w:type="dxa"/>
          </w:tcPr>
          <w:p>
            <w:r>
              <w:t xml:space="preserve">已发送</w:t>
            </w:r>
          </w:p>
        </w:tc>
        <w:tc>
          <w:tcPr>
            <w:tcW w:w="2400" w:type="dxa"/>
          </w:tcPr>
          <w:p>
            <w:r>
              <w:t xml:space="preserve">已转人工</w:t>
            </w:r>
          </w:p>
        </w:tc>
        <w:tc>
          <w:tcPr>
            <w:tcW w:w="2400" w:type="dxa"/>
          </w:tcPr>
          <w:p>
            <w:r>
              <w:t xml:space="preserve">通用咨询</w:t>
            </w:r>
          </w:p>
        </w:tc>
        <w:tc>
          <w:tcPr>
            <w:tcW w:w="2400" w:type="dxa"/>
          </w:tcPr>
          <w:p>
            <w:r>
              <w:t xml:space="preserve">通用咨询</w:t>
            </w:r>
          </w:p>
        </w:tc>
      </w:tr>
    </w:tbl>
    <w:p>
      <w:pPr>
        <w:pStyle w:val="Heading1"/>
      </w:pPr>
      <w:r>
        <w:t xml:space="preserve">5. 人工评审建议</w:t>
      </w:r>
    </w:p>
    <w:p>
      <w:r>
        <w:t xml:space="preserve">建议在正式展示或论文/答辩材料中加入人工抽检。推荐抽检 20%-30% 用例，优先覆盖高风险转人工、失败样本、直播承诺争议、仅退款、物流破损和配件缺失。人工评审可按准确性、安全性、完整性、客服语气、是否需要人工五个维度进行 1-5 分评分。</w:t>
      </w:r>
    </w:p>
    <w:p>
      <w:pPr>
        <w:pStyle w:val="Heading1"/>
      </w:pPr>
      <w:r>
        <w:t xml:space="preserve">6. 局限性</w:t>
      </w:r>
    </w:p>
    <w:p>
      <w:r>
        <w:t xml:space="preserve">• 本次评测使用 DeepSeek 接口作为单一裁判模型，存在裁判偏差风险。</w:t>
      </w:r>
    </w:p>
    <w:p>
      <w:r>
        <w:t xml:space="preserve">• 本次未上传 Confident AI，因此没有云端仪表盘、历史运行对比和人工标注闭环。</w:t>
      </w:r>
    </w:p>
    <w:p>
      <w:r>
        <w:t xml:space="preserve">• 当前项目为 TypeScript/Next.js 服务，未接入 DeepEval Python 框架级追踪；本次采用 HTTP 端到端请求与本地追踪事件作为替代。</w:t>
      </w:r>
    </w:p>
    <w:p>
      <w:r>
        <w:t xml:space="preserve">• 50 条测试集能提供阶段性背书，但不能代表生产环境所有长尾输入。</w:t>
      </w:r>
    </w:p>
    <w:p>
      <w:pPr>
        <w:pStyle w:val="Heading1"/>
      </w:pPr>
      <w:r>
        <w:t xml:space="preserve">7. 结论</w:t>
      </w:r>
    </w:p>
    <w:p>
      <w:r>
        <w:t xml:space="preserve">AirBuds Pro X 智能客服智能体已形成工程链路、内容质量和智能体性能三层评测闭环。该体系可以持续复跑，也可以作为项目展示中的质量背书材料。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1"/>
    </w:rPr>
  </w:style>
  <w:style w:type="paragraph" w:styleId="Title">
    <w:name w:val="Title"/>
    <w:pPr>
      <w:spacing w:after="240"/>
    </w:pPr>
    <w:rPr>
      <w:rFonts w:ascii="Microsoft YaHei" w:eastAsia="Microsoft YaHei"/>
      <w:b/>
      <w:sz w:val="34"/>
    </w:rPr>
  </w:style>
  <w:style w:type="paragraph" w:styleId="Heading1">
    <w:name w:val="heading 1"/>
    <w:pPr>
      <w:spacing w:before="260" w:after="120"/>
    </w:pPr>
    <w:rPr>
      <w:rFonts w:ascii="Microsoft YaHei" w:eastAsia="Microsoft YaHei"/>
      <w:b/>
      <w:sz w:val="28"/>
    </w:rPr>
  </w:style>
  <w:style w:type="paragraph" w:styleId="Heading2">
    <w:name w:val="heading 2"/>
    <w:pPr>
      <w:spacing w:before="180" w:after="80"/>
    </w:pPr>
    <w:rPr>
      <w:rFonts w:ascii="Microsoft YaHei" w:eastAsia="Microsoft YaHei"/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AirBuds Pro X 智能客服智能体三层评测报告</dc:title>
  <dc:creator>Codex</dc:creator>
  <cp:lastModifiedBy>Codex</cp:lastModifiedBy>
  <dcterms:created xsi:type="dcterms:W3CDTF">2026-06-15T13:36:22.474473+00:00</dcterms:created>
  <dcterms:modified xsi:type="dcterms:W3CDTF">2026-06-15T13:36:22.474473+00:00</dcterms:modified>
</cp:coreProperties>
</file>