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2E621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502DFB73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tbl>
            <w:tblPr>
              <w:tblStyle w:val="10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62CB4A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71A8F16">
                  <w:pPr>
                    <w:spacing w:line="360" w:lineRule="auto"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B16D21B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14:paraId="315BB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B43D750">
                  <w:pPr>
                    <w:spacing w:line="360" w:lineRule="auto"/>
                    <w:jc w:val="both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4869F748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14:paraId="65332C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547BC6C6">
                  <w:pPr>
                    <w:spacing w:line="360" w:lineRule="auto"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660D2116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</w:tbl>
          <w:p w14:paraId="39586CE5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  <w:r>
              <w:drawing>
                <wp:inline distT="0" distB="0" distL="114300" distR="114300">
                  <wp:extent cx="1269365" cy="353060"/>
                  <wp:effectExtent l="0" t="0" r="10795" b="1270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C0D77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44F9DC63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728974C2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253552EA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22467C6F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064C2282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38C8BD80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6705512D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02872411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3B94BFBA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6D8D529E">
            <w:pPr>
              <w:pStyle w:val="9"/>
              <w:spacing w:line="360" w:lineRule="auto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项目编号: XT20260617T1</w:t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</w:p>
          <w:p w14:paraId="604C0B00">
            <w:pPr>
              <w:pStyle w:val="9"/>
              <w:spacing w:line="360" w:lineRule="auto"/>
              <w:jc w:val="both"/>
              <w:rPr>
                <w:rFonts w:hint="eastAsia"/>
                <w:sz w:val="44"/>
              </w:rPr>
            </w:pPr>
            <w:r>
              <w:rPr>
                <w:rFonts w:hint="eastAsia"/>
                <w:sz w:val="44"/>
                <w:szCs w:val="48"/>
              </w:rPr>
              <w:t>终身学习学分银行信息平台</w:t>
            </w:r>
            <w:bookmarkStart w:id="17" w:name="_GoBack"/>
            <w:bookmarkEnd w:id="17"/>
          </w:p>
        </w:tc>
      </w:tr>
      <w:tr w14:paraId="25B70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15" w:hRule="atLeast"/>
        </w:trPr>
        <w:tc>
          <w:tcPr>
            <w:tcW w:w="1924" w:type="dxa"/>
            <w:shd w:val="clear" w:color="auto" w:fill="CCCCCC"/>
            <w:noWrap w:val="0"/>
            <w:vAlign w:val="bottom"/>
          </w:tcPr>
          <w:p w14:paraId="2B378CDC">
            <w:pPr>
              <w:spacing w:line="360" w:lineRule="auto"/>
              <w:jc w:val="both"/>
              <w:rPr>
                <w:rFonts w:hint="eastAsia" w:hAnsi="宋体"/>
                <w:szCs w:val="21"/>
              </w:rPr>
            </w:pPr>
          </w:p>
          <w:p w14:paraId="00FC5887">
            <w:pPr>
              <w:spacing w:line="360" w:lineRule="auto"/>
              <w:ind w:left="684" w:hanging="684" w:hangingChars="342"/>
              <w:jc w:val="both"/>
              <w:rPr>
                <w:rFonts w:hint="eastAsia" w:cs="Arial"/>
                <w:szCs w:val="21"/>
                <w:u w:val="single"/>
              </w:rPr>
            </w:pPr>
          </w:p>
          <w:p w14:paraId="5927521C">
            <w:pPr>
              <w:spacing w:line="360" w:lineRule="auto"/>
              <w:jc w:val="both"/>
              <w:rPr>
                <w:rFonts w:hint="eastAsia" w:cs="Arial"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p w14:paraId="3712C2BA">
            <w:pPr>
              <w:pStyle w:val="5"/>
              <w:spacing w:line="360" w:lineRule="auto"/>
              <w:jc w:val="both"/>
              <w:rPr>
                <w:rFonts w:hint="eastAsia"/>
                <w:sz w:val="10"/>
                <w:szCs w:val="48"/>
              </w:rPr>
            </w:pPr>
          </w:p>
          <w:p w14:paraId="41ACA1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</w:pPr>
            <w:r>
              <w:rPr>
                <w:rFonts w:ascii="SourceHanSansCN-Medium" w:hAnsi="SourceHanSansCN-Medium" w:eastAsia="SourceHanSansCN-Medium" w:cs="SourceHanSansCN-Medium"/>
                <w:snapToGrid w:val="0"/>
                <w:color w:val="000000"/>
                <w:kern w:val="0"/>
                <w:sz w:val="48"/>
                <w:szCs w:val="48"/>
                <w:lang w:val="en-US" w:eastAsia="zh-CN" w:bidi="ar"/>
              </w:rPr>
              <w:t>终身学习学分银行信息平台架构设计说明书</w:t>
            </w:r>
          </w:p>
          <w:p w14:paraId="71CB4927">
            <w:pPr>
              <w:pStyle w:val="9"/>
              <w:spacing w:line="360" w:lineRule="auto"/>
              <w:jc w:val="both"/>
              <w:rPr>
                <w:rFonts w:hint="eastAsia" w:eastAsia="宋体"/>
                <w:bCs w:val="0"/>
                <w:sz w:val="24"/>
                <w:szCs w:val="28"/>
                <w:lang w:val="en-US" w:eastAsia="zh-CN"/>
              </w:rPr>
            </w:pPr>
            <w:r>
              <w:rPr>
                <w:rFonts w:hint="eastAsia" w:cs="Arial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</w:rPr>
              <w:t>1.</w:t>
            </w:r>
            <w:r>
              <w:rPr>
                <w:rFonts w:hint="eastAsia" w:cs="Arial"/>
                <w:b w:val="0"/>
                <w:sz w:val="28"/>
                <w:szCs w:val="28"/>
                <w:lang w:val="en-US" w:eastAsia="zh-CN"/>
              </w:rPr>
              <w:t>0</w:t>
            </w:r>
          </w:p>
          <w:p w14:paraId="10D84C48">
            <w:pPr>
              <w:spacing w:line="360" w:lineRule="auto"/>
              <w:jc w:val="both"/>
              <w:rPr>
                <w:rFonts w:hint="eastAsia"/>
                <w:sz w:val="28"/>
                <w:szCs w:val="28"/>
              </w:rPr>
            </w:pPr>
          </w:p>
          <w:p w14:paraId="1D0115A7">
            <w:pPr>
              <w:spacing w:line="360" w:lineRule="auto"/>
              <w:jc w:val="both"/>
              <w:rPr>
                <w:rFonts w:hint="eastAsia" w:hAnsi="宋体"/>
                <w:sz w:val="28"/>
                <w:szCs w:val="28"/>
              </w:rPr>
            </w:pPr>
          </w:p>
          <w:p w14:paraId="37A8ED0A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 </w:t>
            </w:r>
          </w:p>
          <w:p w14:paraId="5D9531B8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3ACAA942">
            <w:pPr>
              <w:spacing w:line="360" w:lineRule="auto"/>
              <w:jc w:val="both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 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周康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07CDADC1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E407F87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完   成   日   期：      2026-06-30    </w:t>
            </w:r>
            <w:r>
              <w:rPr>
                <w:rFonts w:hAnsi="宋体"/>
                <w:sz w:val="30"/>
                <w:szCs w:val="30"/>
              </w:rPr>
              <w:t xml:space="preserve"/>
            </w:r>
            <w:r>
              <w:rPr>
                <w:rFonts w:hint="eastAsia" w:hAnsi="宋体"/>
                <w:sz w:val="30"/>
                <w:szCs w:val="30"/>
              </w:rPr>
              <w:t xml:space="preserve"/>
            </w:r>
            <w:r>
              <w:rPr>
                <w:rFonts w:hAnsi="宋体"/>
                <w:sz w:val="30"/>
                <w:szCs w:val="30"/>
              </w:rPr>
              <w:t xml:space="preserve"/>
            </w:r>
            <w:r>
              <w:rPr>
                <w:rFonts w:hint="eastAsia" w:hAnsi="宋体"/>
                <w:sz w:val="30"/>
                <w:szCs w:val="30"/>
              </w:rPr>
              <w:t xml:space="preserve"/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/>
            </w:r>
            <w:r>
              <w:rPr>
                <w:rFonts w:hint="eastAsia" w:hAnsi="宋体"/>
                <w:sz w:val="30"/>
                <w:szCs w:val="30"/>
              </w:rPr>
              <w:t xml:space="preserve"/>
            </w:r>
          </w:p>
          <w:p w14:paraId="39D93F4B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507B69F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194AC9C3">
            <w:pPr>
              <w:spacing w:line="360" w:lineRule="auto"/>
              <w:jc w:val="both"/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  <w:lang w:eastAsia="zh-CN"/>
              </w:rPr>
              <w:t>□</w:t>
            </w:r>
            <w:r>
              <w:rPr>
                <w:rFonts w:hint="eastAsia" w:hAnsi="宋体"/>
                <w:sz w:val="30"/>
                <w:szCs w:val="30"/>
              </w:rPr>
              <w:t xml:space="preserve">客户（市场）  ■维护人员  □用户  </w:t>
            </w:r>
          </w:p>
          <w:p w14:paraId="40EF0B01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7652D46F">
            <w:pPr>
              <w:spacing w:line="360" w:lineRule="auto"/>
              <w:jc w:val="both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评审负责人（签名）：      第十三组</w:t>
            </w:r>
          </w:p>
          <w:p w14:paraId="1720032E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09E71EE">
            <w:pPr>
              <w:spacing w:line="360" w:lineRule="auto"/>
              <w:jc w:val="both"/>
              <w:rPr>
                <w:rFonts w:hint="eastAsia" w:eastAsia="宋体" w:cs="Arial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评    审   日  期：         2026-06-30</w:t>
            </w:r>
            <w:r>
              <w:rPr>
                <w:rFonts w:hAnsi="宋体"/>
                <w:sz w:val="30"/>
                <w:szCs w:val="30"/>
              </w:rPr>
              <w:t xml:space="preserve"/>
            </w:r>
            <w:r>
              <w:rPr>
                <w:rFonts w:hint="eastAsia" w:hAnsi="宋体"/>
                <w:sz w:val="30"/>
                <w:szCs w:val="30"/>
              </w:rPr>
              <w:t xml:space="preserve"/>
            </w:r>
            <w:r>
              <w:rPr>
                <w:rFonts w:hint="eastAsia" w:hAnsi="宋体"/>
              </w:rPr>
              <w:t xml:space="preserve"/>
            </w:r>
            <w:r>
              <w:rPr>
                <w:rFonts w:hint="eastAsia"/>
              </w:rPr>
              <w:t xml:space="preserve"/>
            </w:r>
            <w:r>
              <w:rPr>
                <w:rFonts w:hint="eastAsia"/>
                <w:sz w:val="30"/>
                <w:szCs w:val="30"/>
              </w:rPr>
              <w:t/>
            </w:r>
            <w:r>
              <w:rPr>
                <w:rFonts w:hint="eastAsia"/>
                <w:sz w:val="30"/>
                <w:szCs w:val="30"/>
                <w:lang w:val="en-US" w:eastAsia="zh-CN"/>
              </w:rPr>
              <w:t/>
            </w:r>
          </w:p>
        </w:tc>
      </w:tr>
    </w:tbl>
    <w:p w14:paraId="69D505B4">
      <w:pPr>
        <w:spacing w:line="360" w:lineRule="auto"/>
        <w:jc w:val="both"/>
      </w:pPr>
    </w:p>
    <w:p w14:paraId="64901316">
      <w:pPr>
        <w:spacing w:line="360" w:lineRule="auto"/>
        <w:jc w:val="both"/>
      </w:pPr>
    </w:p>
    <w:p w14:paraId="6017968D">
      <w:pPr>
        <w:spacing w:line="360" w:lineRule="auto"/>
        <w:jc w:val="both"/>
      </w:pPr>
    </w:p>
    <w:p w14:paraId="001FB4AC">
      <w:pPr>
        <w:spacing w:line="360" w:lineRule="auto"/>
        <w:jc w:val="both"/>
      </w:pPr>
    </w:p>
    <w:p w14:paraId="6AEB4C03">
      <w:pPr>
        <w:spacing w:line="360" w:lineRule="auto"/>
        <w:jc w:val="both"/>
      </w:pPr>
    </w:p>
    <w:p w14:paraId="6745632B">
      <w:pPr>
        <w:spacing w:line="360" w:lineRule="auto"/>
        <w:jc w:val="both"/>
      </w:pPr>
    </w:p>
    <w:p w14:paraId="78F84659">
      <w:pPr>
        <w:spacing w:line="360" w:lineRule="auto"/>
        <w:jc w:val="both"/>
      </w:pPr>
    </w:p>
    <w:p w14:paraId="799E24A9">
      <w:pPr>
        <w:spacing w:line="360" w:lineRule="auto"/>
        <w:jc w:val="both"/>
      </w:pPr>
    </w:p>
    <w:p w14:paraId="11BC676B">
      <w:pPr>
        <w:spacing w:line="360" w:lineRule="auto"/>
        <w:jc w:val="both"/>
      </w:pPr>
    </w:p>
    <w:p w14:paraId="4FC79E80">
      <w:pPr>
        <w:spacing w:line="360" w:lineRule="auto"/>
        <w:jc w:val="both"/>
      </w:pPr>
    </w:p>
    <w:p w14:paraId="749D4635">
      <w:pPr>
        <w:spacing w:line="360" w:lineRule="auto"/>
        <w:jc w:val="both"/>
      </w:pPr>
    </w:p>
    <w:p w14:paraId="25D4C8E7">
      <w:pPr>
        <w:spacing w:line="360" w:lineRule="auto"/>
        <w:jc w:val="both"/>
      </w:pPr>
    </w:p>
    <w:p w14:paraId="5C4C61D6">
      <w:pPr>
        <w:spacing w:line="360" w:lineRule="auto"/>
        <w:jc w:val="both"/>
      </w:pPr>
    </w:p>
    <w:p w14:paraId="3EE6181C">
      <w:pPr>
        <w:spacing w:line="360" w:lineRule="auto"/>
        <w:jc w:val="both"/>
      </w:pPr>
    </w:p>
    <w:p w14:paraId="1481A82A">
      <w:pPr>
        <w:spacing w:line="360" w:lineRule="auto"/>
        <w:jc w:val="both"/>
      </w:pPr>
    </w:p>
    <w:p w14:paraId="30C4134A">
      <w:pPr>
        <w:spacing w:line="360" w:lineRule="auto"/>
        <w:jc w:val="both"/>
      </w:pPr>
    </w:p>
    <w:p w14:paraId="32BC9190">
      <w:pPr>
        <w:spacing w:line="360" w:lineRule="auto"/>
        <w:jc w:val="both"/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10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5BA7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215432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标题:终身学习学分银行信息平台架构设计说明书</w:t>
            </w:r>
          </w:p>
        </w:tc>
      </w:tr>
      <w:tr w14:paraId="169F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233C953">
            <w:pPr>
              <w:spacing w:line="360" w:lineRule="auto"/>
              <w:jc w:val="both"/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作者: 周康</w:t>
            </w:r>
          </w:p>
        </w:tc>
      </w:tr>
      <w:tr w14:paraId="67F5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35B6E1AA">
            <w:pPr>
              <w:spacing w:line="360" w:lineRule="auto"/>
              <w:jc w:val="both"/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创建日期: 2026-06-30</w:t>
            </w:r>
          </w:p>
        </w:tc>
      </w:tr>
      <w:tr w14:paraId="18F2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F3B4648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上次更新日期: 2026-06-30</w:t>
            </w:r>
          </w:p>
        </w:tc>
      </w:tr>
      <w:tr w14:paraId="6A21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079674A1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版本: 1.0.20260630</w:t>
            </w:r>
          </w:p>
        </w:tc>
      </w:tr>
      <w:tr w14:paraId="3BD2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081F9B4">
            <w:pPr>
              <w:spacing w:line="360" w:lineRule="auto"/>
              <w:jc w:val="both"/>
              <w:rPr>
                <w:rFonts w:hAnsi="宋体" w:cs="Arial"/>
              </w:rPr>
            </w:pPr>
            <w:r>
              <w:t>部门名称: 第十三组</w:t>
            </w:r>
          </w:p>
        </w:tc>
      </w:tr>
      <w:tr w14:paraId="7C43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20AC80C0">
            <w:pPr>
              <w:spacing w:line="360" w:lineRule="auto"/>
              <w:jc w:val="both"/>
              <w:rPr>
                <w:rFonts w:hint="eastAsia" w:hAnsi="宋体" w:cs="Arial"/>
              </w:rPr>
            </w:pPr>
            <w:r/>
          </w:p>
        </w:tc>
      </w:tr>
    </w:tbl>
    <w:p w14:paraId="65DF6771">
      <w:pPr>
        <w:pStyle w:val="13"/>
        <w:spacing w:line="360" w:lineRule="auto"/>
        <w:jc w:val="both"/>
        <w:rPr>
          <w:rFonts w:hint="eastAsia" w:hAnsi="宋体"/>
        </w:rPr>
      </w:pPr>
    </w:p>
    <w:p w14:paraId="4F5D992D">
      <w:pPr>
        <w:spacing w:line="360" w:lineRule="auto"/>
        <w:jc w:val="both"/>
        <w:rPr>
          <w:rFonts w:hint="eastAsia" w:hAnsi="宋体"/>
        </w:rPr>
      </w:pPr>
    </w:p>
    <w:p w14:paraId="6D2B221C">
      <w:pPr>
        <w:pStyle w:val="8"/>
        <w:spacing w:line="360" w:lineRule="auto"/>
        <w:jc w:val="both"/>
        <w:rPr>
          <w:rFonts w:ascii="宋体" w:hAnsi="宋体"/>
          <w:caps w:val="0"/>
        </w:rPr>
      </w:pPr>
      <w:r>
        <w:rPr>
          <w:rFonts w:hint="eastAsia" w:ascii="宋体" w:hAnsi="宋体"/>
          <w:caps w:val="0"/>
        </w:rPr>
        <w:t>修订文档历史记录</w:t>
      </w:r>
    </w:p>
    <w:tbl>
      <w:tblPr>
        <w:tblStyle w:val="10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4320"/>
        <w:gridCol w:w="2160"/>
      </w:tblGrid>
      <w:tr w14:paraId="643C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noWrap w:val="0"/>
            <w:vAlign w:val="top"/>
          </w:tcPr>
          <w:p w14:paraId="575D64BC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2F491DA7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320" w:type="dxa"/>
            <w:noWrap w:val="0"/>
            <w:vAlign w:val="top"/>
          </w:tcPr>
          <w:p w14:paraId="7C2C72BC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2DE8C916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69A2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64AB6C09">
            <w:pPr>
              <w:spacing w:line="360" w:lineRule="auto"/>
              <w:jc w:val="both"/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2026-06-30</w:t>
            </w:r>
          </w:p>
        </w:tc>
        <w:tc>
          <w:tcPr>
            <w:tcW w:w="1440" w:type="dxa"/>
            <w:noWrap w:val="0"/>
            <w:vAlign w:val="top"/>
          </w:tcPr>
          <w:p w14:paraId="08F575B5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0.1.20260630</w:t>
            </w:r>
          </w:p>
        </w:tc>
        <w:tc>
          <w:tcPr>
            <w:tcW w:w="4320" w:type="dxa"/>
            <w:noWrap w:val="0"/>
            <w:vAlign w:val="top"/>
          </w:tcPr>
          <w:p w14:paraId="6C672392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梳理原始文档结构并核对项目源码、部署与数据库资料</w:t>
            </w:r>
          </w:p>
        </w:tc>
        <w:tc>
          <w:tcPr>
            <w:tcW w:w="2160" w:type="dxa"/>
            <w:noWrap w:val="0"/>
            <w:vAlign w:val="top"/>
          </w:tcPr>
          <w:p w14:paraId="25434AED">
            <w:pPr>
              <w:spacing w:line="360" w:lineRule="auto"/>
              <w:jc w:val="both"/>
              <w:rPr>
                <w:rFonts w:hint="eastAsia" w:hAnsi="宋体" w:eastAsia="宋体" w:cs="Arial"/>
                <w:lang w:eastAsia="zh-CN"/>
              </w:rPr>
            </w:pPr>
            <w:r>
              <w:rPr>
                <w:rFonts w:hint="eastAsia" w:hAnsi="宋体" w:cs="Arial"/>
                <w:lang w:val="en-US" w:eastAsia="zh-CN"/>
              </w:rPr>
              <w:t>周康</w:t>
            </w:r>
          </w:p>
        </w:tc>
      </w:tr>
      <w:tr w14:paraId="658E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719F198D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2026-06-30</w:t>
            </w:r>
          </w:p>
        </w:tc>
        <w:tc>
          <w:tcPr>
            <w:tcW w:w="1440" w:type="dxa"/>
            <w:noWrap w:val="0"/>
            <w:vAlign w:val="top"/>
          </w:tcPr>
          <w:p w14:paraId="61B0AF71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0.8.20260630</w:t>
            </w:r>
          </w:p>
        </w:tc>
        <w:tc>
          <w:tcPr>
            <w:tcW w:w="4320" w:type="dxa"/>
            <w:noWrap w:val="0"/>
            <w:vAlign w:val="top"/>
          </w:tcPr>
          <w:p w14:paraId="040E9DF3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完成架构章节、表格和图示替换</w:t>
            </w:r>
          </w:p>
        </w:tc>
        <w:tc>
          <w:tcPr>
            <w:tcW w:w="2160" w:type="dxa"/>
            <w:noWrap w:val="0"/>
            <w:vAlign w:val="top"/>
          </w:tcPr>
          <w:p w14:paraId="11F60DEF">
            <w:pPr>
              <w:spacing w:line="360" w:lineRule="auto"/>
              <w:jc w:val="both"/>
              <w:rPr>
                <w:rFonts w:hint="eastAsia" w:hAnsi="宋体" w:eastAsia="宋体" w:cs="Arial"/>
                <w:lang w:eastAsia="zh-CN"/>
              </w:rPr>
            </w:pPr>
            <w:r>
              <w:rPr>
                <w:rFonts w:hint="eastAsia" w:hAnsi="宋体" w:cs="Arial"/>
                <w:lang w:val="en-US" w:eastAsia="zh-CN"/>
              </w:rPr>
              <w:t>周康</w:t>
            </w:r>
          </w:p>
        </w:tc>
      </w:tr>
      <w:tr w14:paraId="3EA6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368" w:type="dxa"/>
            <w:noWrap w:val="0"/>
            <w:vAlign w:val="top"/>
          </w:tcPr>
          <w:p w14:paraId="1E243C65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2026-06-30</w:t>
            </w:r>
          </w:p>
        </w:tc>
        <w:tc>
          <w:tcPr>
            <w:tcW w:w="1440" w:type="dxa"/>
            <w:noWrap w:val="0"/>
            <w:vAlign w:val="top"/>
          </w:tcPr>
          <w:p w14:paraId="15EF5694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1.0.20260630</w:t>
            </w:r>
          </w:p>
        </w:tc>
        <w:tc>
          <w:tcPr>
            <w:tcW w:w="4320" w:type="dxa"/>
            <w:noWrap w:val="0"/>
            <w:vAlign w:val="top"/>
          </w:tcPr>
          <w:p w14:paraId="37DA7893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完成版式检查后正式发布</w:t>
            </w:r>
          </w:p>
        </w:tc>
        <w:tc>
          <w:tcPr>
            <w:tcW w:w="2160" w:type="dxa"/>
            <w:noWrap w:val="0"/>
            <w:vAlign w:val="top"/>
          </w:tcPr>
          <w:p w14:paraId="02DAD407">
            <w:pPr>
              <w:spacing w:line="360" w:lineRule="auto"/>
              <w:jc w:val="both"/>
              <w:rPr>
                <w:rFonts w:hint="eastAsia" w:hAnsi="宋体" w:eastAsia="宋体" w:cs="Arial"/>
                <w:lang w:eastAsia="zh-CN"/>
              </w:rPr>
            </w:pPr>
            <w:r>
              <w:rPr>
                <w:rFonts w:hint="eastAsia" w:hAnsi="宋体" w:cs="Arial"/>
                <w:lang w:val="en-US" w:eastAsia="zh-CN"/>
              </w:rPr>
              <w:t>第十三组</w:t>
            </w:r>
          </w:p>
        </w:tc>
      </w:tr>
      <w:tr w14:paraId="2A1E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509833D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</w:r>
          </w:p>
        </w:tc>
        <w:tc>
          <w:tcPr>
            <w:tcW w:w="1440" w:type="dxa"/>
            <w:noWrap w:val="0"/>
            <w:vAlign w:val="top"/>
          </w:tcPr>
          <w:p w14:paraId="1EE17649">
            <w:pPr>
              <w:spacing w:line="360" w:lineRule="auto"/>
              <w:jc w:val="both"/>
              <w:rPr>
                <w:rFonts w:hint="eastAsia" w:hAnsi="宋体" w:cs="Arial"/>
                <w:lang w:val="en-US" w:eastAsia="zh-CN"/>
              </w:rPr>
            </w:pPr>
            <w:r>
              <w:rPr>
                <w:rFonts w:hint="eastAsia" w:hAnsi="宋体" w:cs="Arial"/>
              </w:rPr>
            </w:r>
          </w:p>
        </w:tc>
        <w:tc>
          <w:tcPr>
            <w:tcW w:w="4320" w:type="dxa"/>
            <w:noWrap w:val="0"/>
            <w:vAlign w:val="top"/>
          </w:tcPr>
          <w:p w14:paraId="74D10B9B">
            <w:pPr>
              <w:spacing w:line="360" w:lineRule="auto"/>
              <w:jc w:val="both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</w:r>
          </w:p>
        </w:tc>
        <w:tc>
          <w:tcPr>
            <w:tcW w:w="2160" w:type="dxa"/>
            <w:noWrap w:val="0"/>
            <w:vAlign w:val="top"/>
          </w:tcPr>
          <w:p w14:paraId="1B7E2A72">
            <w:pPr>
              <w:spacing w:line="360" w:lineRule="auto"/>
              <w:jc w:val="both"/>
              <w:rPr>
                <w:rFonts w:hint="eastAsia" w:hAnsi="宋体" w:eastAsia="宋体" w:cs="Arial"/>
                <w:lang w:eastAsia="zh-CN"/>
              </w:rPr>
            </w:pPr>
            <w:r>
              <w:rPr>
                <w:rFonts w:hint="eastAsia" w:hAnsi="宋体" w:cs="Arial"/>
                <w:lang w:val="en-US" w:eastAsia="zh-CN"/>
              </w:rPr>
            </w:r>
          </w:p>
        </w:tc>
      </w:tr>
      <w:tr w14:paraId="30CB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6E2D2E68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08658CFD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41BA84BA">
            <w:pPr>
              <w:spacing w:line="360" w:lineRule="auto"/>
              <w:jc w:val="both"/>
              <w:rPr>
                <w:rFonts w:hint="eastAsia"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49D87661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6088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7D86AD9E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604B7BC0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0ADC8CDA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17DBE025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04B6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5A6EAB9F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205C760F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231E8CD4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3286BE31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4E7D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866EDCA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4052DBD1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5213563D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0A30E33E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22ED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02865637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43FFC7D6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3A4FC878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7D970E99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6A91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629E9E68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7B55F7B1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5EE2AE65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40BB4DAE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7E72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83DBA93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5F6B51F9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7635E937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15AF7418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4339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B126FDF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4F07FC03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08EC5A06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25DA9487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  <w:tr w14:paraId="0050E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AF048AB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1440" w:type="dxa"/>
            <w:noWrap w:val="0"/>
            <w:vAlign w:val="top"/>
          </w:tcPr>
          <w:p w14:paraId="23725A40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4320" w:type="dxa"/>
            <w:noWrap w:val="0"/>
            <w:vAlign w:val="top"/>
          </w:tcPr>
          <w:p w14:paraId="5A742D49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  <w:tc>
          <w:tcPr>
            <w:tcW w:w="2160" w:type="dxa"/>
            <w:noWrap w:val="0"/>
            <w:vAlign w:val="top"/>
          </w:tcPr>
          <w:p w14:paraId="6225848A">
            <w:pPr>
              <w:spacing w:line="360" w:lineRule="auto"/>
              <w:jc w:val="both"/>
              <w:rPr>
                <w:rFonts w:hAnsi="宋体" w:cs="Arial"/>
              </w:rPr>
            </w:pPr>
            <w:r/>
          </w:p>
        </w:tc>
      </w:tr>
    </w:tbl>
    <w:p w14:paraId="65804F47">
      <w:pPr>
        <w:spacing w:line="360" w:lineRule="auto"/>
        <w:jc w:val="both"/>
        <w:rPr>
          <w:rFonts w:hint="eastAsia"/>
        </w:rPr>
      </w:pPr>
    </w:p>
    <w:p w14:paraId="75C6E6B1">
      <w:pPr>
        <w:spacing w:line="360" w:lineRule="auto"/>
        <w:jc w:val="both"/>
      </w:pPr>
    </w:p>
    <w:p w14:paraId="18636EFC">
      <w:pPr>
        <w:spacing w:line="360" w:lineRule="auto"/>
        <w:jc w:val="both"/>
      </w:pPr>
    </w:p>
    <w:p w14:paraId="5C282B90">
      <w:pPr>
        <w:spacing w:line="360" w:lineRule="auto"/>
        <w:jc w:val="both"/>
      </w:pPr>
    </w:p>
    <w:p w14:paraId="59C952C9">
      <w:pPr>
        <w:spacing w:line="360" w:lineRule="auto"/>
        <w:jc w:val="both"/>
      </w:pPr>
    </w:p>
    <w:p w14:paraId="6F15B30E">
      <w:pPr>
        <w:spacing w:line="360" w:lineRule="auto"/>
        <w:jc w:val="both"/>
      </w:pPr>
    </w:p>
    <w:p w14:paraId="087C711C">
      <w:pPr>
        <w:spacing w:line="360" w:lineRule="auto"/>
        <w:jc w:val="both"/>
      </w:pPr>
    </w:p>
    <w:p w14:paraId="30DAC137">
      <w:pPr>
        <w:spacing w:line="360" w:lineRule="auto"/>
        <w:jc w:val="both"/>
      </w:pPr>
    </w:p>
    <w:p w14:paraId="7916763E">
      <w:pPr>
        <w:spacing w:line="360" w:lineRule="auto"/>
        <w:jc w:val="both"/>
      </w:pPr>
    </w:p>
    <w:p w14:paraId="107A7CA8">
      <w:pPr>
        <w:spacing w:line="360" w:lineRule="auto"/>
        <w:jc w:val="both"/>
      </w:pPr>
    </w:p>
    <w:p w14:paraId="3F5381C0">
      <w:pPr>
        <w:spacing w:line="360" w:lineRule="auto"/>
        <w:jc w:val="both"/>
      </w:pPr>
    </w:p>
    <w:p w14:paraId="5575320C">
      <w:pPr>
        <w:spacing w:line="360" w:lineRule="auto"/>
        <w:jc w:val="both"/>
      </w:pPr>
    </w:p>
    <w:p w14:paraId="17D50E52">
      <w:pPr>
        <w:spacing w:line="360" w:lineRule="auto"/>
        <w:jc w:val="both"/>
      </w:pPr>
    </w:p>
    <w:p w14:paraId="72976B16">
      <w:pPr>
        <w:spacing w:line="360" w:lineRule="auto"/>
        <w:jc w:val="both"/>
      </w:pPr>
    </w:p>
    <w:sdt>
      <w:sdtPr>
        <w:rPr>
          <w:rFonts w:ascii="宋体" w:hAnsi="宋体" w:eastAsia="宋体" w:cs="宋体"/>
          <w:snapToGrid w:val="0"/>
          <w:sz w:val="21"/>
          <w:lang w:val="en-US" w:eastAsia="zh-CN" w:bidi="ar-SA"/>
        </w:rPr>
        <w:id w:val="147479605"/>
        <w15:color w:val="DBDBDB"/>
        <w:docPartObj>
          <w:docPartGallery w:val="Table of Contents"/>
          <w:docPartUnique/>
        </w:docPartObj>
      </w:sdtPr>
      <w:sdtEndPr>
        <w:rPr>
          <w:rFonts w:ascii="宋体" w:hAnsi="Times New Roman" w:eastAsia="宋体" w:cs="宋体"/>
          <w:snapToGrid w:val="0"/>
          <w:sz w:val="21"/>
          <w:lang w:val="en-US" w:eastAsia="zh-CN" w:bidi="ar-SA"/>
        </w:rPr>
      </w:sdtEndPr>
      <w:sdtContent>
        <w:p w14:paraId="6B8B000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239D23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_Toc20001 </w:instrText>
          </w:r>
          <w:r>
            <w:fldChar w:fldCharType="separate"/>
          </w:r>
          <w:r>
            <w:rPr>
              <w:spacing w:val="-7"/>
              <w:szCs w:val="42"/>
            </w:rPr>
            <w:t>1. 系统概述</w:t>
          </w:r>
          <w:r>
            <w:tab/>
          </w:r>
          <w:r>
            <w:fldChar w:fldCharType="begin"/>
          </w:r>
          <w:r>
            <w:instrText xml:space="preserve"> PAGEREF _Toc20001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072B73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_Toc23609 </w:instrText>
          </w:r>
          <w:r>
            <w:fldChar w:fldCharType="separate"/>
          </w:r>
          <w:r>
            <w:rPr>
              <w:spacing w:val="-3"/>
              <w:szCs w:val="42"/>
            </w:rPr>
            <w:t>1.1 项目背景与目标</w:t>
          </w:r>
          <w:r>
            <w:tab/>
          </w:r>
          <w:r>
            <w:fldChar w:fldCharType="begin"/>
          </w:r>
          <w:r>
            <w:instrText xml:space="preserve"> PAGEREF _Toc23609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B7421B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_Toc3080 </w:instrText>
          </w:r>
          <w:r>
            <w:fldChar w:fldCharType="separate"/>
          </w:r>
          <w:r>
            <w:rPr>
              <w:spacing w:val="-6"/>
            </w:rPr>
            <w:t>1.2 系统定位</w:t>
          </w:r>
          <w:r>
            <w:rPr>
              <w:spacing w:val="24"/>
            </w:rPr>
            <w:t xml:space="preserve"/>
          </w:r>
          <w:r>
            <w:rPr>
              <w:bCs/>
              <w:spacing w:val="-6"/>
            </w:rPr>
            <w:t/>
          </w:r>
          <w:r>
            <w:rPr>
              <w:spacing w:val="-6"/>
            </w:rPr>
            <w:t/>
          </w:r>
          <w:r>
            <w:tab/>
          </w:r>
          <w:r>
            <w:fldChar w:fldCharType="begin"/>
          </w:r>
          <w:r>
            <w:instrText xml:space="preserve"> PAGEREF _Toc3080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3555E4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_Toc646 </w:instrText>
          </w:r>
          <w:r>
            <w:fldChar w:fldCharType="separate"/>
          </w:r>
          <w:r>
            <w:rPr>
              <w:spacing w:val="-3"/>
            </w:rPr>
            <w:t>1.3 核心需求摘要</w:t>
          </w:r>
          <w:r>
            <w:rPr>
              <w:spacing w:val="17"/>
              <w:w w:val="101"/>
            </w:rPr>
            <w:t xml:space="preserve"/>
          </w:r>
          <w:r>
            <w:rPr>
              <w:bCs/>
              <w:spacing w:val="-3"/>
            </w:rPr>
            <w:t/>
          </w:r>
          <w:r>
            <w:rPr>
              <w:spacing w:val="-3"/>
            </w:rPr>
            <w:t/>
          </w:r>
          <w:r>
            <w:tab/>
          </w:r>
          <w:r>
            <w:fldChar w:fldCharType="begin"/>
          </w:r>
          <w:r>
            <w:instrText xml:space="preserve"> PAGEREF _Toc646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9F103F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_Toc4287 </w:instrText>
          </w:r>
          <w:r>
            <w:fldChar w:fldCharType="separate"/>
          </w:r>
          <w:r>
            <w:rPr>
              <w:spacing w:val="-2"/>
            </w:rPr>
            <w:t xml:space="preserve">2. 总体架构设计</w:t>
          </w:r>
          <w:r>
            <w:rPr>
              <w:bCs/>
              <w:spacing w:val="-2"/>
            </w:rPr>
            <w:t/>
          </w:r>
          <w:r>
            <w:rPr>
              <w:spacing w:val="-2"/>
            </w:rPr>
            <w:t/>
          </w:r>
          <w:r>
            <w:rPr>
              <w:spacing w:val="-3"/>
            </w:rPr>
            <w:t/>
          </w:r>
          <w:r>
            <w:tab/>
          </w:r>
          <w:r>
            <w:fldChar w:fldCharType="begin"/>
          </w:r>
          <w:r>
            <w:instrText xml:space="preserve"> PAGEREF _Toc4287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ED8731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_Toc18094 </w:instrText>
          </w:r>
          <w:r>
            <w:fldChar w:fldCharType="separate"/>
          </w:r>
          <w:r>
            <w:rPr>
              <w:spacing w:val="-2"/>
            </w:rPr>
            <w:t>2.1 架构分层（纵向）</w:t>
          </w:r>
          <w:r>
            <w:rPr>
              <w:spacing w:val="16"/>
            </w:rPr>
            <w:t xml:space="preserve"/>
          </w:r>
          <w:r>
            <w:rPr>
              <w:bCs/>
              <w:spacing w:val="-2"/>
            </w:rPr>
            <w:t/>
          </w:r>
          <w:r>
            <w:rPr>
              <w:spacing w:val="-2"/>
            </w:rPr>
            <w:t/>
          </w:r>
          <w:r>
            <w:tab/>
          </w:r>
          <w:r>
            <w:fldChar w:fldCharType="begin"/>
          </w:r>
          <w:r>
            <w:instrText xml:space="preserve"> PAGEREF _Toc18094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A3F819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_Toc8702 </w:instrText>
          </w:r>
          <w:r>
            <w:fldChar w:fldCharType="separate"/>
          </w:r>
          <w:r>
            <w:t xml:space="preserve">2.2 核心模块划分（横向）</w:t>
          </w:r>
          <w:r>
            <w:rPr>
              <w:bCs/>
            </w:rPr>
            <w:t/>
          </w:r>
          <w:r>
            <w:t/>
          </w:r>
          <w:r>
            <w:tab/>
          </w:r>
          <w:r>
            <w:fldChar w:fldCharType="begin"/>
          </w:r>
          <w:r>
            <w:instrText xml:space="preserve"> PAGEREF _Toc8702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3FCCD6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_Toc31714 </w:instrText>
          </w:r>
          <w:r>
            <w:fldChar w:fldCharType="separate"/>
          </w:r>
          <w:r>
            <w:rPr>
              <w:spacing w:val="-3"/>
              <w:szCs w:val="42"/>
            </w:rPr>
            <w:t>2.3 系统边界</w:t>
          </w:r>
          <w:r>
            <w:tab/>
          </w:r>
          <w:r>
            <w:fldChar w:fldCharType="begin"/>
          </w:r>
          <w:r>
            <w:instrText xml:space="preserve"> PAGEREF _Toc31714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D85FBE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_Toc16686 </w:instrText>
          </w:r>
          <w:r>
            <w:fldChar w:fldCharType="separate"/>
          </w:r>
          <w:r>
            <w:rPr>
              <w:spacing w:val="-4"/>
              <w:szCs w:val="42"/>
            </w:rPr>
            <w:t>3. 技术选型设计</w:t>
          </w:r>
          <w:r>
            <w:tab/>
          </w:r>
          <w:r>
            <w:fldChar w:fldCharType="begin"/>
          </w:r>
          <w:r>
            <w:instrText xml:space="preserve"> PAGEREF _Toc16686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EDB141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_Toc29970 </w:instrText>
          </w:r>
          <w:r>
            <w:fldChar w:fldCharType="separate"/>
          </w:r>
          <w:r>
            <w:rPr>
              <w:spacing w:val="-3"/>
              <w:szCs w:val="42"/>
            </w:rPr>
            <w:t>4. 核心模块详细设计（以“学分认证与账户模块”为例）</w:t>
          </w:r>
          <w:r>
            <w:tab/>
          </w:r>
          <w:r>
            <w:fldChar w:fldCharType="begin"/>
          </w:r>
          <w:r>
            <w:instrText xml:space="preserve"> PAGEREF _Toc29970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8894E28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_Toc6137 </w:instrText>
          </w:r>
          <w:r>
            <w:fldChar w:fldCharType="separate"/>
          </w:r>
          <w:r>
            <w:rPr>
              <w:spacing w:val="-4"/>
              <w:szCs w:val="42"/>
            </w:rPr>
            <w:t>5. 非功能需求设计</w:t>
          </w:r>
          <w:r>
            <w:tab/>
          </w:r>
          <w:r>
            <w:fldChar w:fldCharType="begin"/>
          </w:r>
          <w:r>
            <w:instrText xml:space="preserve"> PAGEREF _Toc6137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96242E7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_Toc21949 </w:instrText>
          </w:r>
          <w:r>
            <w:fldChar w:fldCharType="separate"/>
          </w:r>
          <w:r>
            <w:rPr>
              <w:spacing w:val="-2"/>
              <w:szCs w:val="34"/>
            </w:rPr>
            <w:t>6. 数据架构设计</w:t>
          </w:r>
          <w:r>
            <w:tab/>
          </w:r>
          <w:r>
            <w:fldChar w:fldCharType="begin"/>
          </w:r>
          <w:r>
            <w:instrText xml:space="preserve"> PAGEREF _Toc21949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D685F2A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_Toc17019 </w:instrText>
          </w:r>
          <w:r>
            <w:fldChar w:fldCharType="separate"/>
          </w:r>
          <w:r>
            <w:rPr>
              <w:spacing w:val="-4"/>
              <w:szCs w:val="36"/>
            </w:rPr>
            <w:t>6.2.3 缓存数据存储（Redis）</w:t>
          </w:r>
          <w:r>
            <w:tab/>
          </w:r>
          <w:r>
            <w:fldChar w:fldCharType="begin"/>
          </w:r>
          <w:r>
            <w:instrText xml:space="preserve"> PAGEREF _Toc17019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80F70FD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_Toc32213 </w:instrText>
          </w:r>
          <w:r>
            <w:fldChar w:fldCharType="separate"/>
          </w:r>
          <w:r>
            <w:rPr>
              <w:spacing w:val="-4"/>
              <w:szCs w:val="42"/>
            </w:rPr>
            <w:t>6.3 数据流转设计</w:t>
          </w:r>
          <w:r>
            <w:tab/>
          </w:r>
          <w:r>
            <w:fldChar w:fldCharType="begin"/>
          </w:r>
          <w:r>
            <w:instrText xml:space="preserve"> PAGEREF _Toc32213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67B67E9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_Toc11256 </w:instrText>
          </w:r>
          <w:r>
            <w:fldChar w:fldCharType="separate"/>
          </w:r>
          <w:r>
            <w:rPr>
              <w:spacing w:val="-2"/>
            </w:rPr>
            <w:t xml:space="preserve">7. 部署架构设计</w:t>
          </w:r>
          <w:r>
            <w:rPr>
              <w:bCs/>
              <w:spacing w:val="-2"/>
            </w:rPr>
            <w:t/>
          </w:r>
          <w:r>
            <w:rPr>
              <w:spacing w:val="-2"/>
            </w:rPr>
            <w:t/>
          </w:r>
          <w:r>
            <w:tab/>
          </w:r>
          <w:r>
            <w:fldChar w:fldCharType="begin"/>
          </w:r>
          <w:r>
            <w:instrText xml:space="preserve"> PAGEREF _Toc11256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3B5CE5C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_Toc4647 </w:instrText>
          </w:r>
          <w:r>
            <w:fldChar w:fldCharType="separate"/>
          </w:r>
          <w:r>
            <w:rPr>
              <w:spacing w:val="-2"/>
            </w:rPr>
            <w:t>7.3 部署流程</w:t>
          </w:r>
          <w:r>
            <w:rPr>
              <w:spacing w:val="16"/>
            </w:rPr>
            <w:t xml:space="preserve"/>
          </w:r>
          <w:r>
            <w:rPr>
              <w:bCs/>
              <w:spacing w:val="-2"/>
            </w:rPr>
            <w:t/>
          </w:r>
          <w:r>
            <w:rPr>
              <w:spacing w:val="-2"/>
            </w:rPr>
            <w:t/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CED41A0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_Toc6722 </w:instrText>
          </w:r>
          <w:r>
            <w:fldChar w:fldCharType="separate"/>
          </w:r>
          <w:r>
            <w:rPr>
              <w:spacing w:val="-3"/>
              <w:szCs w:val="42"/>
            </w:rPr>
            <w:t>8. 设计约束与风险</w:t>
          </w:r>
          <w:r>
            <w:tab/>
          </w:r>
          <w:r>
            <w:fldChar w:fldCharType="begin"/>
          </w:r>
          <w:r>
            <w:instrText xml:space="preserve"> PAGEREF _Toc6722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CEBFB69">
          <w:pPr>
            <w:spacing w:line="20" w:lineRule="exact" w:before="0" w:after="0"/>
            <w:jc w:val="both"/>
            <w:rPr>
              <w:rFonts w:ascii="宋体" w:hAnsi="Times New Roman" w:eastAsia="宋体" w:cs="宋体"/>
              <w:snapToGrid w:val="0"/>
              <w:lang w:val="en-US" w:eastAsia="zh-CN" w:bidi="ar-SA"/>
              <w:sz w:val="2"/>
              <w:szCs w:val="2"/>
            </w:rPr>
            <w:sectPr>
              <w:headerReference r:id="rId5" w:type="default"/>
              <w:footerReference r:id="rId6" w:type="default"/>
              <w:pgSz w:w="11906" w:h="16838"/>
              <w:pgMar w:top="1246" w:right="287" w:bottom="0" w:left="604" w:header="0" w:footer="0" w:gutter="0"/>
              <w:pgBorders w:offsetFrom="page"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/>
              <w:cols w:space="720" w:num="1"/>
            </w:sectPr>
          </w:pPr>
        </w:p>
      </w:sdtContent>
    </w:sdt>
    <w:p w14:paraId="597CB52C">
      <w:pPr>
        <w:spacing w:line="360" w:lineRule="auto"/>
        <w:jc w:val="both"/>
      </w:pPr>
    </w:p>
    <w:p w14:paraId="57259E2F">
      <w:pPr>
        <w:pStyle w:val="3"/>
        <w:numPr>
          <w:ilvl w:val="0"/>
          <w:numId w:val="2"/>
        </w:numPr>
        <w:spacing w:before="180" w:line="360" w:lineRule="auto"/>
        <w:ind w:left="31"/>
        <w:jc w:val="both"/>
        <w:outlineLvl w:val="0"/>
        <w:rPr>
          <w:b/>
          <w:bCs/>
          <w:spacing w:val="-7"/>
          <w:sz w:val="42"/>
          <w:szCs w:val="42"/>
        </w:rPr>
      </w:pPr>
      <w:r>
        <w:rPr>
          <w:b/>
          <w:bCs/>
          <w:spacing w:val="-7"/>
          <w:sz w:val="42"/>
          <w:szCs w:val="42"/>
        </w:rPr>
        <w:t>系统概述</w:t>
      </w:r>
    </w:p>
    <w:p w14:paraId="70E94B1A">
      <w:pPr>
        <w:pStyle w:val="3"/>
        <w:spacing w:before="155" w:line="360" w:lineRule="auto"/>
        <w:ind w:left="26"/>
        <w:jc w:val="both"/>
        <w:outlineLvl w:val="1"/>
        <w:rPr>
          <w:b/>
          <w:bCs/>
          <w:spacing w:val="-5"/>
          <w:sz w:val="36"/>
          <w:szCs w:val="36"/>
        </w:rPr>
      </w:pPr>
      <w:r>
        <w:rPr>
          <w:b/>
          <w:bCs/>
          <w:spacing w:val="-5"/>
          <w:sz w:val="36"/>
          <w:szCs w:val="36"/>
        </w:rPr>
        <w:t>1.1 项目背景与目标</w:t>
      </w:r>
    </w:p>
    <w:p w14:paraId="15C97019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终身学习学分银行信息平台面向学习者、审核员、专家和管理员，围绕学习成果认证、学分账户、成果转换和规则评审形成闭环服务。系统以“学习成果可记录、可认证、可转换、可追溯”为目标，解决学习成果来源分散、审核过程线下化、学分余额难以统一管理、转换规则执行不透明等问题，支撑终身教育成果在平台内规范流转。</w:t>
      </w:r>
    </w:p>
    <w:p w14:paraId="31CF97C3">
      <w:pPr>
        <w:pStyle w:val="3"/>
        <w:spacing w:before="155" w:line="360" w:lineRule="auto"/>
        <w:ind w:left="26"/>
        <w:jc w:val="both"/>
        <w:outlineLvl w:val="1"/>
        <w:rPr>
          <w:rFonts w:hint="eastAsia"/>
          <w:b/>
          <w:bCs/>
          <w:spacing w:val="-6"/>
          <w:sz w:val="36"/>
          <w:szCs w:val="36"/>
          <w:lang w:val="en-US" w:eastAsia="zh-CN"/>
        </w:rPr>
      </w:pPr>
      <w:r>
        <w:rPr>
          <w:b/>
          <w:bCs/>
          <w:spacing w:val="-6"/>
          <w:sz w:val="36"/>
          <w:szCs w:val="36"/>
        </w:rPr>
        <w:t>1.2 系统定位</w:t>
      </w:r>
    </w:p>
    <w:p w14:paraId="595F4718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核心角色：学习者端提供成果申报、账户查询、转换申请和消息查看；管理端提供目录维护、认证审核、规则配置、专家评审、公告反馈和统计看板；</w:t>
      </w:r>
    </w:p>
    <w:p w14:paraId="22A8AC5B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外部关联：当前业务边界以平台内材料提交和人工审核为主，预留院校学习平台、职业资格平台和省级终身教育数据中心对接能力；MySQL、Redis、TOS、Nginx 和 Jenkins 属于系统运行与部署支撑，不作为外部业务系统。</w:t>
      </w:r>
    </w:p>
    <w:p w14:paraId="16A88FDA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覆盖范围：涵盖用户权限、学习成果目录、学分认证、学分账户、成果转换、规则评审、消息公告、文件上传和统计支撑等核心场景，覆盖“成果提交-审核入账-转换申请-交易归档”全周期。</w:t>
      </w:r>
    </w:p>
    <w:p w14:paraId="31E1E310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5"/>
          <w:sz w:val="36"/>
          <w:szCs w:val="36"/>
        </w:rPr>
        <w:t>1.3 核心需求摘要</w:t>
      </w:r>
    </w:p>
    <w:p w14:paraId="445B8351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功能需求：8个业务模块（用户与权限、学习成果目录、学分认证、学分账户、成果转换、规则评审与专家、消息公告与反馈、文件与统计支撑），含注册登录、成果目录维护、认证提交、审核入账、学分冻结、转换审核、站内信通知、TOS 文件管理等细分功能；</w:t>
      </w:r>
    </w:p>
    <w:p w14:paraId="4323232A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非功能需求：</w:t>
      </w:r>
    </w:p>
    <w:p w14:paraId="53C182A2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易用性：学习者端围绕“提交材料、查看进度、查询余额、申请转换”组织入口；管理端以列表、筛选、详情和批量操作为主，降低重复审核与资料核对成本；</w:t>
      </w:r>
    </w:p>
    <w:p w14:paraId="3C2B4871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性能：认证、账户和转换查询接口按分页返回；Redis 用于字典项缓存和登录失败计数；文件材料通过 TOS 对象存储，避免大文件占用应用节点存储空间；</w:t>
      </w:r>
    </w:p>
    <w:p w14:paraId="6857D1B6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兼容性：前端采用 Vue 3 + Vite + Element Plus，适配主流桌面浏览器；后端采用 Java 17 与 Spring Boot 3.2.5，支持 Docker Compose 本地演示与集成部署；</w:t>
      </w:r>
    </w:p>
    <w:p w14:paraId="2BEA0430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安全性：使用 JWT、Spring Security、BCrypt、AES 和 SHA-256 保护登录凭证与敏感身份信息，所有关键业务表保留创建、更新和逻辑删除字段。</w:t>
      </w:r>
    </w:p>
    <w:p w14:paraId="4693910C">
      <w:pPr>
        <w:pStyle w:val="3"/>
        <w:spacing w:before="184" w:line="360" w:lineRule="auto"/>
        <w:ind w:left="706" w:right="29" w:hanging="226"/>
        <w:jc w:val="both"/>
        <w:rPr>
          <w:spacing w:val="-12"/>
        </w:rPr>
      </w:pPr>
      <w:r/>
    </w:p>
    <w:p w14:paraId="0832C005">
      <w:pPr>
        <w:pStyle w:val="3"/>
        <w:spacing w:before="180" w:line="360" w:lineRule="auto"/>
        <w:ind w:left="2"/>
        <w:jc w:val="both"/>
        <w:outlineLvl w:val="0"/>
        <w:rPr>
          <w:rFonts w:ascii="Arial"/>
          <w:b/>
          <w:bCs/>
          <w:sz w:val="21"/>
        </w:rPr>
      </w:pPr>
      <w:r>
        <w:rPr>
          <w:b/>
          <w:bCs/>
          <w:spacing w:val="-3"/>
          <w:sz w:val="42"/>
          <w:szCs w:val="42"/>
        </w:rPr>
        <w:t>2. 总体架构设计</w:t>
      </w:r>
    </w:p>
    <w:p w14:paraId="1CA52236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8"/>
          <w:sz w:val="36"/>
          <w:szCs w:val="36"/>
        </w:rPr>
        <w:t>2.1 架构分层（纵向）</w:t>
      </w:r>
    </w:p>
    <w:p w14:paraId="03AF0370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color w:val="000000"/>
          <w:spacing w:val="-6"/>
        </w:rPr>
        <w:t>1. 前端层：</w:t>
      </w:r>
    </w:p>
    <w:p w14:paraId="4AEA9A2B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学习者端：提供注册登录、学习成果查询、认证申请、学分账户、转换申请、站内消息和个人档案维护；</w:t>
      </w:r>
    </w:p>
    <w:p w14:paraId="283CD79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管理端：基于角色呈现成果目录、认证审核、转换规则、专家评审、公告反馈、统计看板和系统配置等页面，按菜单和按钮权限控制可见操作；</w:t>
      </w:r>
    </w:p>
    <w:p w14:paraId="480D9DD8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接入层：</w:t>
      </w:r>
    </w:p>
    <w:p w14:paraId="0BF215C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安全过滤链：Spring Security 负责 JWT 校验、匿名接口放行、跨域控制和未授权响应；Nginx 负责静态资源分发与 /api 反向代理；</w:t>
      </w:r>
    </w:p>
    <w:p w14:paraId="19230BF3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接口规范：后端采用 REST API 与统一 ApiResponse，Swagger UI 提供联调入口，前端 Axios 拦截器统一处理 token、错误码和重试提示；</w:t>
      </w:r>
    </w:p>
    <w:p w14:paraId="2B5F85E3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应用层：围绕用户权限、成果目录、认证入账、账户流水、成果转换、规则评审、消息反馈、文件和统计等业务域组织服务；控制器、服务、Mapper 与 DTO 按领域拆分，认证入账、转换冻结、转换成交等关键流程通过事务保持一致；</w:t>
      </w:r>
    </w:p>
    <w:p w14:paraId="3AB1E32F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</w:p>
    <w:p w14:paraId="5E7D88E1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数据层：</w:t>
      </w:r>
    </w:p>
    <w:p w14:paraId="52CA361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结构化数据库：MySQL 8.0 保存用户、角色、成果目录、认证申请、学习者成果、账户、流水、转换规则和业务审计记录；</w:t>
      </w:r>
    </w:p>
    <w:p w14:paraId="3CDE2520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非结构化存储：火山引擎 TOS 保存证书材料、证明附件、头像与批量导入文件，sys_file 表维护对象键、业务归属和文件元数据；</w:t>
      </w:r>
    </w:p>
    <w:p w14:paraId="4B80384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缓存数据库：Redis 用于字典项缓存和登录失败计数；短信验证码保存于 sys_sms_code，菜单权限由 MySQL 中的角色、菜单和关系表查询；</w:t>
      </w:r>
    </w:p>
    <w:p w14:paraId="28D99F4C">
      <w:pPr>
        <w:pStyle w:val="3"/>
        <w:spacing w:before="0" w:line="20" w:lineRule="exact" w:after="0"/>
        <w:ind w:left="26"/>
        <w:jc w:val="both"/>
        <w:outlineLvl w:val="1"/>
        <w:rPr>
          <w:rFonts w:hint="eastAsia" w:ascii="宋体" w:hAnsi="宋体" w:eastAsia="宋体" w:cs="宋体"/>
          <w:sz w:val="2"/>
          <w:szCs w:val="2"/>
        </w:rPr>
        <w:sectPr>
          <w:headerReference r:id="rId7" w:type="default"/>
          <w:pgSz w:w="11906" w:h="16838"/>
          <w:pgMar w:top="1440" w:right="1440" w:bottom="1440" w:left="144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33E4CB2F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基础设施层：</w:t>
      </w:r>
    </w:p>
    <w:p w14:paraId="5AE11B82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服务器：Docker Compose 编排 MySQL、Redis、后端服务、前端 Nginx 与 Jenkins，便于本地演示、集成测试和构建归档；</w:t>
      </w:r>
    </w:p>
    <w:p w14:paraId="20634A37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网络设备：Nginx 提供前端静态托管、反向代理和安全响应头，生产环境可前置负载均衡；</w:t>
      </w:r>
    </w:p>
    <w:p w14:paraId="1CEABFB8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监控组件：Spring Boot Actuator 暴露健康检查，Jenkins 保存构建记录；生产环境建议补充独立监控、日志采集和告警策略。</w:t>
      </w:r>
    </w:p>
    <w:p w14:paraId="3AA695D2">
      <w:pPr>
        <w:pStyle w:val="3"/>
        <w:spacing w:before="193" w:line="360" w:lineRule="auto"/>
        <w:ind w:left="0" w:leftChars="0" w:firstLine="420" w:firstLineChars="0"/>
        <w:jc w:val="both"/>
        <w:rPr>
          <w:spacing w:val="-4"/>
        </w:rPr>
      </w:pPr>
      <w:r/>
    </w:p>
    <w:p w14:paraId="7FF443C7">
      <w:pPr>
        <w:pStyle w:val="3"/>
        <w:spacing w:before="154" w:line="360" w:lineRule="auto"/>
        <w:ind w:left="13"/>
        <w:jc w:val="both"/>
        <w:outlineLvl w:val="1"/>
      </w:pPr>
      <w:r>
        <w:rPr>
          <w:b/>
          <w:bCs/>
          <w:spacing w:val="-7"/>
          <w:sz w:val="36"/>
          <w:szCs w:val="36"/>
        </w:rPr>
        <w:t>2.2 核心模块划分（横向）</w:t>
      </w:r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2666"/>
        <w:gridCol w:w="2667"/>
        <w:gridCol w:w="2676"/>
      </w:tblGrid>
      <w:tr w14:paraId="0271DD56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2676" w:type="dxa"/>
            <w:vAlign w:val="top"/>
          </w:tcPr>
          <w:p w14:paraId="41416CA8">
            <w:pPr>
              <w:pStyle w:val="15"/>
              <w:spacing w:before="193" w:line="360" w:lineRule="auto"/>
              <w:ind w:lef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模块名称</w:t>
            </w:r>
          </w:p>
        </w:tc>
        <w:tc>
          <w:tcPr>
            <w:tcW w:w="2666" w:type="dxa"/>
            <w:vAlign w:val="top"/>
          </w:tcPr>
          <w:p w14:paraId="6D52440A">
            <w:pPr>
              <w:pStyle w:val="15"/>
              <w:spacing w:before="193" w:line="360" w:lineRule="auto"/>
              <w:ind w:left="20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核心职责</w:t>
            </w:r>
          </w:p>
        </w:tc>
        <w:tc>
          <w:tcPr>
            <w:tcW w:w="2667" w:type="dxa"/>
            <w:vAlign w:val="top"/>
          </w:tcPr>
          <w:p w14:paraId="4EE9AC24">
            <w:pPr>
              <w:pStyle w:val="15"/>
              <w:spacing w:before="193" w:line="360" w:lineRule="auto"/>
              <w:ind w:left="2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关键使用者</w:t>
            </w:r>
          </w:p>
        </w:tc>
        <w:tc>
          <w:tcPr>
            <w:tcW w:w="2676" w:type="dxa"/>
            <w:vAlign w:val="top"/>
          </w:tcPr>
          <w:p w14:paraId="78A73A1E">
            <w:pPr>
              <w:pStyle w:val="15"/>
              <w:spacing w:before="193" w:line="360" w:lineRule="auto"/>
              <w:ind w:left="21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细分功能清单</w:t>
            </w:r>
          </w:p>
        </w:tc>
      </w:tr>
      <w:tr w14:paraId="2E581BF7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vAlign w:val="top"/>
          </w:tcPr>
          <w:p w14:paraId="5113BBFD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用户与权限模块</w:t>
            </w:r>
          </w:p>
        </w:tc>
        <w:tc>
          <w:tcPr>
            <w:tcW w:w="2666" w:type="dxa"/>
            <w:vAlign w:val="top"/>
          </w:tcPr>
          <w:p w14:paraId="27209743">
            <w:pPr>
              <w:pStyle w:val="15"/>
              <w:spacing w:before="182" w:line="360" w:lineRule="auto"/>
              <w:ind w:left="227" w:right="207" w:hanging="2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注册、密码/短信登录、个人资料、角色、菜单、API 权限和操作日志</w:t>
            </w:r>
          </w:p>
        </w:tc>
        <w:tc>
          <w:tcPr>
            <w:tcW w:w="2667" w:type="dxa"/>
            <w:vAlign w:val="top"/>
          </w:tcPr>
          <w:p w14:paraId="59A35C73">
            <w:pPr>
              <w:pStyle w:val="15"/>
              <w:spacing w:before="183" w:line="360" w:lineRule="auto"/>
              <w:ind w:left="209" w:right="20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学习者、管理员、审核员、专家</w:t>
            </w:r>
          </w:p>
        </w:tc>
        <w:tc>
          <w:tcPr>
            <w:tcW w:w="2676" w:type="dxa"/>
            <w:vAlign w:val="top"/>
          </w:tcPr>
          <w:p w14:paraId="58EE39D1">
            <w:pPr>
              <w:pStyle w:val="15"/>
              <w:spacing w:before="185" w:line="360" w:lineRule="auto"/>
              <w:ind w:left="212" w:righ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注册/登录、密码重置、角色分配、菜单授权、API 授权、日志导出</w:t>
            </w:r>
          </w:p>
        </w:tc>
      </w:tr>
      <w:tr w14:paraId="54FFE36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vAlign w:val="top"/>
          </w:tcPr>
          <w:p w14:paraId="356C89D1">
            <w:pPr>
              <w:pStyle w:val="15"/>
              <w:spacing w:before="183" w:line="360" w:lineRule="auto"/>
              <w:ind w:left="208" w:right="212" w:hanging="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学习成果目录模块</w:t>
            </w:r>
          </w:p>
        </w:tc>
        <w:tc>
          <w:tcPr>
            <w:tcW w:w="2666" w:type="dxa"/>
            <w:vAlign w:val="top"/>
          </w:tcPr>
          <w:p w14:paraId="103944EA">
            <w:pPr>
              <w:pStyle w:val="15"/>
              <w:spacing w:before="183" w:line="360" w:lineRule="auto"/>
              <w:ind w:left="204" w:right="207" w:firstLine="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维护标准学习成果目录及认证条件，为认证申请和转换规则提供基础标准</w:t>
            </w:r>
          </w:p>
        </w:tc>
        <w:tc>
          <w:tcPr>
            <w:tcW w:w="2667" w:type="dxa"/>
            <w:vAlign w:val="top"/>
          </w:tcPr>
          <w:p w14:paraId="3C516E37">
            <w:pPr>
              <w:pStyle w:val="15"/>
              <w:spacing w:before="181" w:line="360" w:lineRule="auto"/>
              <w:ind w:left="211" w:right="202" w:firstLine="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管理员、学习者</w:t>
            </w:r>
          </w:p>
        </w:tc>
        <w:tc>
          <w:tcPr>
            <w:tcW w:w="2676" w:type="dxa"/>
            <w:vAlign w:val="top"/>
          </w:tcPr>
          <w:p w14:paraId="54BA7A40">
            <w:pPr>
              <w:pStyle w:val="15"/>
              <w:spacing w:before="180" w:line="360" w:lineRule="auto"/>
              <w:ind w:left="213" w:right="207" w:hanging="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成果查询、成果详情、目录新增/编辑/导入/导出、启停管理</w:t>
            </w:r>
          </w:p>
        </w:tc>
      </w:tr>
      <w:tr w14:paraId="7295E46D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676" w:type="dxa"/>
            <w:vAlign w:val="top"/>
          </w:tcPr>
          <w:p w14:paraId="5F413F7B">
            <w:pPr>
              <w:pStyle w:val="15"/>
              <w:spacing w:before="185" w:line="360" w:lineRule="auto"/>
              <w:ind w:left="207" w:right="212" w:firstLine="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学分认证模块</w:t>
            </w:r>
          </w:p>
        </w:tc>
        <w:tc>
          <w:tcPr>
            <w:tcW w:w="2666" w:type="dxa"/>
            <w:vAlign w:val="top"/>
          </w:tcPr>
          <w:p w14:paraId="5FD22A13">
            <w:pPr>
              <w:pStyle w:val="15"/>
              <w:spacing w:before="183" w:line="360" w:lineRule="auto"/>
              <w:ind w:left="202" w:righ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处理学习者成果认证申请，并在审核通过后生成个人成果和学分入账</w:t>
            </w:r>
          </w:p>
        </w:tc>
        <w:tc>
          <w:tcPr>
            <w:tcW w:w="2667" w:type="dxa"/>
            <w:vAlign w:val="top"/>
          </w:tcPr>
          <w:p w14:paraId="3D88A300">
            <w:pPr>
              <w:pStyle w:val="15"/>
              <w:spacing w:before="182" w:line="360" w:lineRule="auto"/>
              <w:ind w:left="212" w:right="202" w:hanging="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学习者、审核员、管理员</w:t>
            </w:r>
          </w:p>
        </w:tc>
        <w:tc>
          <w:tcPr>
            <w:tcW w:w="2676" w:type="dxa"/>
            <w:vAlign w:val="top"/>
          </w:tcPr>
          <w:p w14:paraId="5A6F12D1">
            <w:pPr>
              <w:pStyle w:val="15"/>
              <w:spacing w:before="184" w:line="360" w:lineRule="auto"/>
              <w:ind w:left="212" w:right="207" w:firstLine="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提交认证、上传材料、撤回申请、待审列表、通过/驳回、批量审核</w:t>
            </w:r>
          </w:p>
        </w:tc>
      </w:tr>
      <w:tr w14:paraId="00DC31AA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vAlign w:val="top"/>
          </w:tcPr>
          <w:p w14:paraId="4787DE34">
            <w:pPr>
              <w:pStyle w:val="15"/>
              <w:spacing w:before="184" w:line="360" w:lineRule="auto"/>
              <w:ind w:left="209" w:right="212" w:firstLine="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学分账户模块</w:t>
            </w:r>
          </w:p>
        </w:tc>
        <w:tc>
          <w:tcPr>
            <w:tcW w:w="2666" w:type="dxa"/>
            <w:vAlign w:val="top"/>
          </w:tcPr>
          <w:p w14:paraId="29903ACB">
            <w:pPr>
              <w:pStyle w:val="15"/>
              <w:spacing w:before="181" w:line="360" w:lineRule="auto"/>
              <w:ind w:left="202" w:right="207" w:firstLine="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维护学分余额、冻结学分和流水，保障账务变动可追溯</w:t>
            </w:r>
          </w:p>
        </w:tc>
        <w:tc>
          <w:tcPr>
            <w:tcW w:w="2667" w:type="dxa"/>
            <w:vAlign w:val="top"/>
          </w:tcPr>
          <w:p w14:paraId="39E8A724">
            <w:pPr>
              <w:pStyle w:val="15"/>
              <w:spacing w:before="182" w:line="360" w:lineRule="auto"/>
              <w:ind w:left="212" w:right="202" w:hanging="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学习者、审核员、管理员</w:t>
            </w:r>
          </w:p>
        </w:tc>
        <w:tc>
          <w:tcPr>
            <w:tcW w:w="2676" w:type="dxa"/>
            <w:vAlign w:val="top"/>
          </w:tcPr>
          <w:p w14:paraId="56C913B1">
            <w:pPr>
              <w:pStyle w:val="15"/>
              <w:spacing w:before="186" w:line="360" w:lineRule="auto"/>
              <w:ind w:left="214" w:right="207" w:firstLine="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账户查询、流水筛选、认证入账、转换冻结/解冻/扣减</w:t>
            </w:r>
          </w:p>
        </w:tc>
      </w:tr>
      <w:tr w14:paraId="34558C0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</w:tblPrEx>
        <w:trPr>
          <w:trHeight w:val="1630" w:hRule="atLeast"/>
        </w:trPr>
        <w:tc>
          <w:tcPr>
            <w:tcW w:w="2676" w:type="dxa"/>
            <w:vAlign w:val="top"/>
          </w:tcPr>
          <w:p w14:paraId="7F689B6F">
            <w:pPr>
              <w:pStyle w:val="15"/>
              <w:spacing w:before="180" w:line="360" w:lineRule="auto"/>
              <w:ind w:left="208" w:right="212" w:hanging="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成果转换模块</w:t>
            </w:r>
          </w:p>
        </w:tc>
        <w:tc>
          <w:tcPr>
            <w:tcW w:w="2666" w:type="dxa"/>
            <w:vAlign w:val="top"/>
          </w:tcPr>
          <w:p w14:paraId="28D35462">
            <w:pPr>
              <w:pStyle w:val="15"/>
              <w:spacing w:before="180" w:line="360" w:lineRule="auto"/>
              <w:ind w:left="201" w:righ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基于有效转换规则完成源成果到目标成果的学分转换闭环</w:t>
            </w:r>
          </w:p>
        </w:tc>
        <w:tc>
          <w:tcPr>
            <w:tcW w:w="2667" w:type="dxa"/>
            <w:vAlign w:val="top"/>
          </w:tcPr>
          <w:p w14:paraId="6189BBD4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学习者、审核员、管理员</w:t>
            </w:r>
          </w:p>
        </w:tc>
        <w:tc>
          <w:tcPr>
            <w:tcW w:w="2676" w:type="dxa"/>
            <w:vAlign w:val="top"/>
          </w:tcPr>
          <w:p w14:paraId="50E63E60">
            <w:pPr>
              <w:pStyle w:val="15"/>
              <w:spacing w:before="179" w:line="360" w:lineRule="auto"/>
              <w:ind w:left="215" w:righ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规则匹配、转换预览、提交申请、审核通过/驳回、交易记录生成</w:t>
            </w:r>
          </w:p>
        </w:tc>
      </w:tr>
      <w:tr w14:paraId="131BC6F8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2676" w:type="dxa"/>
            <w:vAlign w:val="top"/>
          </w:tcPr>
          <w:p w14:paraId="4E7BA3C7">
            <w:pPr>
              <w:pStyle w:val="15"/>
              <w:spacing w:before="184" w:line="360" w:lineRule="auto"/>
              <w:ind w:left="208" w:right="2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规则评审与专家模块</w:t>
            </w:r>
          </w:p>
        </w:tc>
        <w:tc>
          <w:tcPr>
            <w:tcW w:w="2666" w:type="dxa"/>
            <w:vAlign w:val="top"/>
          </w:tcPr>
          <w:p w14:paraId="44A12C25">
            <w:pPr>
              <w:pStyle w:val="15"/>
              <w:spacing w:before="183" w:line="360" w:lineRule="auto"/>
              <w:ind w:left="227" w:right="207" w:hanging="2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维护转换规则并分配专家评审，评审支持后使规则生效</w:t>
            </w:r>
          </w:p>
        </w:tc>
        <w:tc>
          <w:tcPr>
            <w:tcW w:w="2667" w:type="dxa"/>
            <w:vAlign w:val="top"/>
          </w:tcPr>
          <w:p w14:paraId="0CC84B39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管理员、专家</w:t>
            </w:r>
          </w:p>
        </w:tc>
        <w:tc>
          <w:tcPr>
            <w:tcW w:w="2676" w:type="dxa"/>
            <w:vAlign w:val="top"/>
          </w:tcPr>
          <w:p w14:paraId="1E6D749C">
            <w:pPr>
              <w:pStyle w:val="15"/>
              <w:spacing w:before="176" w:line="360" w:lineRule="auto"/>
              <w:ind w:left="213" w:righ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规则草稿、提交评审、指派专家、专家评审、规则生效、专家档案管理</w:t>
            </w:r>
          </w:p>
        </w:tc>
      </w:tr>
      <w:tr w14:paraId="0E464D7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676" w:type="dxa"/>
            <w:tcBorders>
              <w:bottom w:val="nil"/>
            </w:tcBorders>
            <w:vAlign w:val="top"/>
          </w:tcPr>
          <w:p w14:paraId="40351774">
            <w:pPr>
              <w:spacing w:line="360" w:lineRule="auto"/>
              <w:jc w:val="both"/>
              <w:rPr>
                <w:rFonts w:hint="default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 w:cs="宋体"/>
                <w:snapToGrid w:val="0"/>
                <w:sz w:val="24"/>
                <w:szCs w:val="24"/>
                <w:lang w:val="en-US" w:eastAsia="zh-CN" w:bidi="ar-SA"/>
              </w:rPr>
              <w:t>消息公告与反馈模块</w:t>
            </w:r>
          </w:p>
        </w:tc>
        <w:tc>
          <w:tcPr>
            <w:tcW w:w="2666" w:type="dxa"/>
            <w:tcBorders>
              <w:bottom w:val="nil"/>
            </w:tcBorders>
            <w:vAlign w:val="top"/>
          </w:tcPr>
          <w:p w14:paraId="14BB08D7">
            <w:pPr>
              <w:pStyle w:val="15"/>
              <w:spacing w:before="73" w:line="360" w:lineRule="auto"/>
              <w:ind w:left="204" w:leftChars="0" w:right="207" w:rightChars="0" w:hanging="2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发送认证和转换结果通知，维护公告与学习者反馈处理记录</w:t>
            </w:r>
          </w:p>
        </w:tc>
        <w:tc>
          <w:tcPr>
            <w:tcW w:w="2667" w:type="dxa"/>
            <w:tcBorders>
              <w:bottom w:val="nil"/>
            </w:tcBorders>
            <w:vAlign w:val="top"/>
          </w:tcPr>
          <w:p w14:paraId="0EF9414D">
            <w:pPr>
              <w:spacing w:line="360" w:lineRule="auto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t>学习者、管理员、审核员</w:t>
            </w:r>
          </w:p>
        </w:tc>
        <w:tc>
          <w:tcPr>
            <w:tcW w:w="2676" w:type="dxa"/>
            <w:tcBorders>
              <w:bottom w:val="nil"/>
            </w:tcBorders>
            <w:vAlign w:val="top"/>
          </w:tcPr>
          <w:p w14:paraId="47487D4B">
            <w:pPr>
              <w:pStyle w:val="15"/>
              <w:spacing w:before="72" w:line="360" w:lineRule="auto"/>
              <w:ind w:left="207" w:leftChars="0" w:right="198" w:rightChars="0" w:firstLine="7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站内信、消息已读、公告发布、反馈提交、反馈回复</w:t>
            </w:r>
          </w:p>
        </w:tc>
      </w:tr>
      <w:tr w14:paraId="2E581BF7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vAlign w:val="top"/>
          </w:tcPr>
          <w:p w14:paraId="5113BBFD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文件与统计支撑模块</w:t>
            </w:r>
          </w:p>
        </w:tc>
        <w:tc>
          <w:tcPr>
            <w:tcW w:w="2666" w:type="dxa"/>
            <w:vAlign w:val="top"/>
          </w:tcPr>
          <w:p w14:paraId="27209743">
            <w:pPr>
              <w:pStyle w:val="15"/>
              <w:spacing w:before="182" w:line="360" w:lineRule="auto"/>
              <w:ind w:left="227" w:right="207" w:hanging="2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管理材料文件元数据、TOS 对象归属和业务统计汇总</w:t>
            </w:r>
          </w:p>
        </w:tc>
        <w:tc>
          <w:tcPr>
            <w:tcW w:w="2667" w:type="dxa"/>
            <w:vAlign w:val="top"/>
          </w:tcPr>
          <w:p w14:paraId="59A35C73">
            <w:pPr>
              <w:pStyle w:val="15"/>
              <w:spacing w:before="183" w:line="360" w:lineRule="auto"/>
              <w:ind w:left="209" w:right="20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学习者、管理员、所有角色</w:t>
            </w:r>
          </w:p>
        </w:tc>
        <w:tc>
          <w:tcPr>
            <w:tcW w:w="2676" w:type="dxa"/>
            <w:vAlign w:val="top"/>
          </w:tcPr>
          <w:p w14:paraId="58EE39D1">
            <w:pPr>
              <w:pStyle w:val="15"/>
              <w:spacing w:before="185" w:line="360" w:lineRule="auto"/>
              <w:ind w:left="212" w:righ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文件上传、文件业务归属、对象键记录、每日统计、统计看板</w:t>
            </w:r>
          </w:p>
        </w:tc>
      </w:tr>
    </w:tbl>
    <w:p w14:paraId="524F22E4">
      <w:pPr>
        <w:spacing w:line="360" w:lineRule="auto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/>
    </w:p>
    <w:p w14:paraId="0E6D85C0">
      <w:pPr>
        <w:spacing w:line="360" w:lineRule="auto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/>
    </w:p>
    <w:p w14:paraId="71A1FAB7">
      <w:pPr>
        <w:pStyle w:val="3"/>
        <w:spacing w:before="154" w:line="360" w:lineRule="auto"/>
        <w:ind w:left="13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2.3 系统边界</w:t>
      </w:r>
    </w:p>
    <w:p w14:paraId="603E8F96">
      <w:pPr>
        <w:pStyle w:val="3"/>
        <w:spacing w:before="264" w:line="360" w:lineRule="auto"/>
        <w:ind w:left="84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◦ 包含范围：本项目实现学习成果、学分账户和成果转换闭环，包含用户权限、文件材料、消息公告、反馈和统计辅助能力；</w:t>
      </w:r>
    </w:p>
    <w:p w14:paraId="77487E70">
      <w:pPr>
        <w:pStyle w:val="3"/>
        <w:spacing w:before="181" w:line="360" w:lineRule="auto"/>
        <w:ind w:left="84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◦ 排除范围：</w:t>
      </w:r>
    </w:p>
    <w:p w14:paraId="284FADB2">
      <w:pPr>
        <w:pStyle w:val="3"/>
        <w:spacing w:before="200" w:line="360" w:lineRule="auto"/>
        <w:ind w:left="494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• 外部证书自动核验：当前以人工审核上传材料为主，预留第三方核验接口；</w:t>
      </w:r>
    </w:p>
    <w:p w14:paraId="685516E0">
      <w:pPr>
        <w:pStyle w:val="3"/>
        <w:spacing w:before="193" w:line="360" w:lineRule="auto"/>
        <w:ind w:left="724" w:hanging="230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• 跨机构学分互认结算：当前聚焦单平台内部转换规则和账户流水，不处理跨机构财务结算；</w:t>
      </w:r>
    </w:p>
    <w:p w14:paraId="3EE9CA34">
      <w:pPr>
        <w:pStyle w:val="3"/>
        <w:spacing w:before="191" w:line="360" w:lineRule="auto"/>
        <w:ind w:left="494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• 大规模数据分析：当前提供每日汇总与管理看板，后续可扩展数据仓库和画像分析。</w:t>
      </w:r>
    </w:p>
    <w:p w14:paraId="560C4842">
      <w:pPr>
        <w:pStyle w:val="3"/>
        <w:spacing w:before="191" w:line="360" w:lineRule="auto"/>
        <w:ind w:left="0" w:leftChars="0" w:firstLine="0" w:firstLineChars="0"/>
        <w:jc w:val="both"/>
        <w:rPr>
          <w:spacing w:val="-1"/>
        </w:rPr>
      </w:pPr>
      <w:r/>
    </w:p>
    <w:p w14:paraId="6DC7DC29">
      <w:pPr>
        <w:pStyle w:val="3"/>
        <w:spacing w:before="180" w:line="360" w:lineRule="auto"/>
        <w:ind w:left="11"/>
        <w:jc w:val="both"/>
        <w:outlineLvl w:val="0"/>
        <w:rPr>
          <w:b/>
          <w:bCs/>
          <w:sz w:val="42"/>
          <w:szCs w:val="42"/>
        </w:rPr>
      </w:pPr>
      <w:r>
        <w:rPr>
          <w:b/>
          <w:bCs/>
          <w:spacing w:val="-3"/>
          <w:sz w:val="42"/>
          <w:szCs w:val="42"/>
        </w:rPr>
        <w:t>3. 技术选型设计</w:t>
      </w:r>
    </w:p>
    <w:p w14:paraId="5FB39484">
      <w:pPr>
        <w:spacing w:before="108" w:line="360" w:lineRule="auto"/>
        <w:jc w:val="both"/>
      </w:pPr>
      <w:r/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2666"/>
        <w:gridCol w:w="2667"/>
        <w:gridCol w:w="2676"/>
      </w:tblGrid>
      <w:tr w14:paraId="5E79064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2676" w:type="dxa"/>
            <w:vAlign w:val="top"/>
          </w:tcPr>
          <w:p w14:paraId="458C738C">
            <w:pPr>
              <w:pStyle w:val="15"/>
              <w:spacing w:before="193" w:line="360" w:lineRule="auto"/>
              <w:ind w:left="208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技术类别</w:t>
            </w:r>
          </w:p>
        </w:tc>
        <w:tc>
          <w:tcPr>
            <w:tcW w:w="2666" w:type="dxa"/>
            <w:vAlign w:val="top"/>
          </w:tcPr>
          <w:p w14:paraId="393EC053">
            <w:pPr>
              <w:pStyle w:val="15"/>
              <w:spacing w:before="191" w:line="360" w:lineRule="auto"/>
              <w:ind w:left="206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选型方案</w:t>
            </w:r>
          </w:p>
        </w:tc>
        <w:tc>
          <w:tcPr>
            <w:tcW w:w="2667" w:type="dxa"/>
            <w:vAlign w:val="top"/>
          </w:tcPr>
          <w:p w14:paraId="5A63E98F">
            <w:pPr>
              <w:pStyle w:val="15"/>
              <w:spacing w:before="194" w:line="360" w:lineRule="auto"/>
              <w:ind w:left="2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选型理由</w:t>
            </w:r>
          </w:p>
        </w:tc>
        <w:tc>
          <w:tcPr>
            <w:tcW w:w="2676" w:type="dxa"/>
            <w:vAlign w:val="top"/>
          </w:tcPr>
          <w:p w14:paraId="4A208373">
            <w:pPr>
              <w:pStyle w:val="15"/>
              <w:spacing w:before="193" w:line="360" w:lineRule="auto"/>
              <w:ind w:left="2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版本建议</w:t>
            </w:r>
          </w:p>
        </w:tc>
      </w:tr>
      <w:tr w14:paraId="671E4E7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3" w:hRule="atLeast"/>
        </w:trPr>
        <w:tc>
          <w:tcPr>
            <w:tcW w:w="2676" w:type="dxa"/>
            <w:vAlign w:val="top"/>
          </w:tcPr>
          <w:p w14:paraId="507D6D69">
            <w:pPr>
              <w:pStyle w:val="15"/>
              <w:spacing w:before="182" w:line="360" w:lineRule="auto"/>
              <w:ind w:left="2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前端开发</w:t>
            </w:r>
          </w:p>
        </w:tc>
        <w:tc>
          <w:tcPr>
            <w:tcW w:w="2666" w:type="dxa"/>
            <w:vAlign w:val="top"/>
          </w:tcPr>
          <w:p w14:paraId="224105A7">
            <w:pPr>
              <w:pStyle w:val="15"/>
              <w:spacing w:line="360" w:lineRule="auto"/>
              <w:ind w:left="21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Vue 3、Vite、TypeScript、Element Plus、Pinia、Vue Router、ECharts</w:t>
            </w:r>
          </w:p>
        </w:tc>
        <w:tc>
          <w:tcPr>
            <w:tcW w:w="2667" w:type="dxa"/>
            <w:vAlign w:val="top"/>
          </w:tcPr>
          <w:p w14:paraId="68CEBBA9">
            <w:pPr>
              <w:pStyle w:val="15"/>
              <w:spacing w:before="6" w:line="360" w:lineRule="auto"/>
              <w:ind w:left="207" w:right="202" w:firstLine="1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前后端分离，组件生态成熟，适合后台表单、表格与学习者门户共用</w:t>
            </w:r>
          </w:p>
        </w:tc>
        <w:tc>
          <w:tcPr>
            <w:tcW w:w="2676" w:type="dxa"/>
            <w:vAlign w:val="top"/>
          </w:tcPr>
          <w:p w14:paraId="243FFB1A">
            <w:pPr>
              <w:pStyle w:val="15"/>
              <w:spacing w:before="200" w:line="360" w:lineRule="auto"/>
              <w:ind w:left="229" w:right="151" w:hanging="2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Vue 3.4+、Vite 5+/8.x、Element Plus 2.8+</w:t>
            </w:r>
          </w:p>
        </w:tc>
      </w:tr>
      <w:tr w14:paraId="05FA0846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2676" w:type="dxa"/>
            <w:vAlign w:val="top"/>
          </w:tcPr>
          <w:p w14:paraId="7D00CEF5">
            <w:pPr>
              <w:pStyle w:val="15"/>
              <w:spacing w:before="182" w:line="360" w:lineRule="auto"/>
              <w:ind w:lef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后端开发</w:t>
            </w:r>
          </w:p>
        </w:tc>
        <w:tc>
          <w:tcPr>
            <w:tcW w:w="2666" w:type="dxa"/>
            <w:vAlign w:val="top"/>
          </w:tcPr>
          <w:p w14:paraId="4B4851BD">
            <w:pPr>
              <w:pStyle w:val="15"/>
              <w:spacing w:before="200" w:line="360" w:lineRule="auto"/>
              <w:ind w:left="203" w:right="34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Java 17、Spring Boot 3.2.5、Spring Security 6、MyBatis-Plus 3.5.6</w:t>
            </w:r>
          </w:p>
        </w:tc>
        <w:tc>
          <w:tcPr>
            <w:tcW w:w="2667" w:type="dxa"/>
            <w:vAlign w:val="top"/>
          </w:tcPr>
          <w:p w14:paraId="42AEE659">
            <w:pPr>
              <w:pStyle w:val="15"/>
              <w:spacing w:before="182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Spring Boot 简化服务开发；MyBatis-Plus 适合结构化业务表；Security 与 JWT 支撑无状态认证</w:t>
            </w:r>
          </w:p>
        </w:tc>
        <w:tc>
          <w:tcPr>
            <w:tcW w:w="2676" w:type="dxa"/>
            <w:vAlign w:val="top"/>
          </w:tcPr>
          <w:p w14:paraId="06A251D0">
            <w:pPr>
              <w:pStyle w:val="15"/>
              <w:spacing w:before="209" w:line="360" w:lineRule="auto"/>
              <w:ind w:left="21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JDK 17、Spring Boot 3.2.5</w:t>
            </w:r>
          </w:p>
        </w:tc>
      </w:tr>
      <w:tr w14:paraId="5793D14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5" w:hRule="atLeast"/>
        </w:trPr>
        <w:tc>
          <w:tcPr>
            <w:tcW w:w="2676" w:type="dxa"/>
            <w:vAlign w:val="top"/>
          </w:tcPr>
          <w:p w14:paraId="417F4556">
            <w:pPr>
              <w:pStyle w:val="15"/>
              <w:spacing w:before="183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数据存储</w:t>
            </w:r>
          </w:p>
        </w:tc>
        <w:tc>
          <w:tcPr>
            <w:tcW w:w="2666" w:type="dxa"/>
            <w:vAlign w:val="top"/>
          </w:tcPr>
          <w:p w14:paraId="46F0842A">
            <w:pPr>
              <w:pStyle w:val="15"/>
              <w:spacing w:before="192" w:line="360" w:lineRule="auto"/>
              <w:ind w:left="208" w:right="266" w:firstLine="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MySQL 8.0、Redis 7、火山引擎 TOS</w:t>
            </w:r>
          </w:p>
        </w:tc>
        <w:tc>
          <w:tcPr>
            <w:tcW w:w="2667" w:type="dxa"/>
            <w:vAlign w:val="top"/>
          </w:tcPr>
          <w:p w14:paraId="3E62E1D7">
            <w:pPr>
              <w:pStyle w:val="15"/>
              <w:spacing w:before="186" w:line="360" w:lineRule="auto"/>
              <w:ind w:left="207" w:right="137" w:firstLine="1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MySQL 承载强一致业务数据；Redis 用于字典项缓存和登录失败计数；TOS 保存证明材料、头像和业务附件</w:t>
            </w:r>
          </w:p>
        </w:tc>
        <w:tc>
          <w:tcPr>
            <w:tcW w:w="2676" w:type="dxa"/>
            <w:vAlign w:val="top"/>
          </w:tcPr>
          <w:p w14:paraId="56559F49">
            <w:pPr>
              <w:pStyle w:val="15"/>
              <w:spacing w:before="195" w:line="360" w:lineRule="auto"/>
              <w:ind w:left="218" w:right="226" w:firstLine="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MySQL 8.0.33、Redis 7.2.4、TOS SDK 2.9.16</w:t>
            </w:r>
          </w:p>
        </w:tc>
      </w:tr>
      <w:tr w14:paraId="56B2FB3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5" w:hRule="atLeast"/>
        </w:trPr>
        <w:tc>
          <w:tcPr>
            <w:tcW w:w="2676" w:type="dxa"/>
            <w:tcBorders>
              <w:bottom w:val="nil"/>
            </w:tcBorders>
            <w:vAlign w:val="top"/>
          </w:tcPr>
          <w:p w14:paraId="57D751D5">
            <w:pPr>
              <w:pStyle w:val="15"/>
              <w:spacing w:before="194" w:line="360" w:lineRule="auto"/>
              <w:ind w:left="206" w:left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接口与文档</w:t>
            </w:r>
          </w:p>
        </w:tc>
        <w:tc>
          <w:tcPr>
            <w:tcW w:w="2666" w:type="dxa"/>
            <w:tcBorders>
              <w:bottom w:val="nil"/>
            </w:tcBorders>
            <w:vAlign w:val="top"/>
          </w:tcPr>
          <w:p w14:paraId="33824BAC">
            <w:pPr>
              <w:pStyle w:val="15"/>
              <w:spacing w:before="203" w:line="360" w:lineRule="auto"/>
              <w:ind w:left="206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REST API、Springdoc OpenAPI、统一 ApiResponse</w:t>
            </w:r>
          </w:p>
        </w:tc>
        <w:tc>
          <w:tcPr>
            <w:tcW w:w="2667" w:type="dxa"/>
            <w:tcBorders>
              <w:bottom w:val="nil"/>
            </w:tcBorders>
            <w:vAlign w:val="top"/>
          </w:tcPr>
          <w:p w14:paraId="2962C372">
            <w:pPr>
              <w:pStyle w:val="15"/>
              <w:spacing w:before="189" w:line="360" w:lineRule="auto"/>
              <w:ind w:left="207" w:leftChars="0" w:right="194" w:rightChars="0" w:firstLine="7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接口按资源与业务动作划分，Swagger UI 支持联调和测试</w:t>
            </w:r>
          </w:p>
        </w:tc>
        <w:tc>
          <w:tcPr>
            <w:tcW w:w="2676" w:type="dxa"/>
            <w:tcBorders>
              <w:bottom w:val="nil"/>
            </w:tcBorders>
            <w:vAlign w:val="top"/>
          </w:tcPr>
          <w:p w14:paraId="5A69B04B">
            <w:pPr>
              <w:pStyle w:val="15"/>
              <w:spacing w:before="205" w:line="360" w:lineRule="auto"/>
              <w:ind w:left="218" w:leftChars="0" w:right="919" w:rightChars="0" w:hanging="2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springdoc 2.3.0</w:t>
            </w:r>
          </w:p>
        </w:tc>
      </w:tr>
      <w:tr w14:paraId="1513054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4" w:hRule="atLeast"/>
        </w:trPr>
        <w:tc>
          <w:tcPr>
            <w:tcW w:w="2676" w:type="dxa"/>
            <w:vAlign w:val="top"/>
          </w:tcPr>
          <w:p w14:paraId="40CFEE7C">
            <w:pPr>
              <w:pStyle w:val="15"/>
              <w:spacing w:before="190" w:line="360" w:lineRule="auto"/>
              <w:ind w:left="211" w:left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安全能力</w:t>
            </w:r>
          </w:p>
        </w:tc>
        <w:tc>
          <w:tcPr>
            <w:tcW w:w="2666" w:type="dxa"/>
            <w:vAlign w:val="top"/>
          </w:tcPr>
          <w:p w14:paraId="7429D68C">
            <w:pPr>
              <w:pStyle w:val="15"/>
              <w:spacing w:before="199" w:line="360" w:lineRule="auto"/>
              <w:ind w:left="209" w:leftChars="0" w:right="812" w:rightChars="0" w:firstLine="10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JWT、BCrypt、AES 加密、SHA-256 哈希、CORS 白名单、安全响应头</w:t>
            </w:r>
          </w:p>
        </w:tc>
        <w:tc>
          <w:tcPr>
            <w:tcW w:w="2667" w:type="dxa"/>
            <w:vAlign w:val="top"/>
          </w:tcPr>
          <w:p w14:paraId="7EE93625">
            <w:pPr>
              <w:pStyle w:val="15"/>
              <w:spacing w:before="186" w:line="360" w:lineRule="auto"/>
              <w:ind w:left="208" w:leftChars="0" w:right="202" w:rightChars="0" w:firstLine="4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满足登录认证、敏感数据保护和前后端跨域控制要求</w:t>
            </w:r>
          </w:p>
        </w:tc>
        <w:tc>
          <w:tcPr>
            <w:tcW w:w="2676" w:type="dxa"/>
            <w:vAlign w:val="top"/>
          </w:tcPr>
          <w:p w14:paraId="763DEEFD">
            <w:pPr>
              <w:pStyle w:val="15"/>
              <w:spacing w:before="198" w:line="360" w:lineRule="auto"/>
              <w:ind w:left="217" w:leftChars="0" w:right="346" w:rightChars="0" w:firstLine="11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JJWT 0.11.5、Hutool 5.8.27</w:t>
            </w:r>
          </w:p>
        </w:tc>
      </w:tr>
      <w:tr w14:paraId="515EC017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2676" w:type="dxa"/>
            <w:vAlign w:val="top"/>
          </w:tcPr>
          <w:p w14:paraId="65B9D5D1">
            <w:pPr>
              <w:pStyle w:val="15"/>
              <w:spacing w:before="193" w:line="360" w:lineRule="auto"/>
              <w:ind w:left="212" w:left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部署与运维</w:t>
            </w:r>
          </w:p>
        </w:tc>
        <w:tc>
          <w:tcPr>
            <w:tcW w:w="2666" w:type="dxa"/>
            <w:vAlign w:val="top"/>
          </w:tcPr>
          <w:p w14:paraId="5BE6462C">
            <w:pPr>
              <w:pStyle w:val="15"/>
              <w:spacing w:before="1" w:line="360" w:lineRule="auto"/>
              <w:ind w:left="207" w:right="207" w:firstLine="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Docker Compose、Nginx、Jenkins、Actuator 健康检查</w:t>
            </w:r>
          </w:p>
        </w:tc>
        <w:tc>
          <w:tcPr>
            <w:tcW w:w="2667" w:type="dxa"/>
            <w:vAlign w:val="top"/>
          </w:tcPr>
          <w:p w14:paraId="7B7BA7F1">
            <w:pPr>
              <w:pStyle w:val="15"/>
              <w:spacing w:before="1" w:line="360" w:lineRule="auto"/>
              <w:ind w:left="211" w:leftChars="0" w:right="156" w:rightChars="0" w:firstLine="13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便于本地演示、集成部署、反向代理和 CI 构建归档</w:t>
            </w:r>
          </w:p>
        </w:tc>
        <w:tc>
          <w:tcPr>
            <w:tcW w:w="2676" w:type="dxa"/>
            <w:vAlign w:val="top"/>
          </w:tcPr>
          <w:p w14:paraId="3F838AD1">
            <w:pPr>
              <w:pStyle w:val="15"/>
              <w:spacing w:before="192" w:line="360" w:lineRule="auto"/>
              <w:ind w:left="211" w:right="304" w:firstLine="1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Docker Compose v2、Nginx 1.25.5、Jenkins LTS</w:t>
            </w:r>
          </w:p>
        </w:tc>
      </w:tr>
    </w:tbl>
    <w:p w14:paraId="6BA4A0AE">
      <w:pPr>
        <w:spacing w:line="20" w:lineRule="exact" w:before="0" w:after="0"/>
        <w:jc w:val="both"/>
        <w:rPr>
          <w:rFonts w:hint="eastAsia" w:ascii="宋体" w:hAnsi="宋体" w:eastAsia="宋体" w:cs="宋体"/>
          <w:snapToGrid w:val="0"/>
          <w:sz w:val="2"/>
          <w:szCs w:val="2"/>
          <w:lang w:val="en-US" w:eastAsia="zh-CN" w:bidi="ar-SA"/>
        </w:rPr>
        <w:sectPr>
          <w:pgSz w:w="11906" w:h="16838"/>
          <w:pgMar w:top="1200" w:right="334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5AF2EEBF">
      <w:pPr>
        <w:pStyle w:val="3"/>
        <w:spacing w:before="180" w:line="360" w:lineRule="auto"/>
        <w:ind w:left="0" w:leftChars="0" w:firstLine="0" w:firstLineChars="0"/>
        <w:jc w:val="both"/>
        <w:outlineLvl w:val="0"/>
        <w:rPr>
          <w:rFonts w:ascii="Arial"/>
          <w:b/>
          <w:bCs/>
          <w:sz w:val="21"/>
        </w:rPr>
      </w:pPr>
      <w:r>
        <w:rPr>
          <w:b/>
          <w:bCs/>
          <w:spacing w:val="-4"/>
          <w:sz w:val="42"/>
          <w:szCs w:val="42"/>
        </w:rPr>
        <w:t>4. 核心模块详细设计（以“学分认证与账户模块”为例）</w:t>
      </w:r>
    </w:p>
    <w:p w14:paraId="0DE05EB1">
      <w:pPr>
        <w:pStyle w:val="3"/>
        <w:spacing w:before="155" w:line="360" w:lineRule="auto"/>
        <w:ind w:left="7"/>
        <w:jc w:val="both"/>
        <w:rPr>
          <w:rFonts w:ascii="Arial"/>
          <w:b/>
          <w:bCs/>
          <w:sz w:val="21"/>
        </w:rPr>
      </w:pPr>
      <w:r>
        <w:rPr>
          <w:b/>
          <w:bCs/>
          <w:spacing w:val="-3"/>
          <w:sz w:val="36"/>
          <w:szCs w:val="36"/>
        </w:rPr>
        <w:t>4.1 模块功能详述</w:t>
      </w:r>
    </w:p>
    <w:p w14:paraId="38B82606">
      <w:pPr>
        <w:pStyle w:val="3"/>
        <w:spacing w:before="146" w:line="360" w:lineRule="auto"/>
        <w:ind w:left="6"/>
        <w:jc w:val="both"/>
        <w:outlineLvl w:val="2"/>
        <w:rPr>
          <w:b/>
          <w:bCs/>
        </w:rPr>
      </w:pPr>
      <w:r>
        <w:rPr>
          <w:b/>
          <w:bCs/>
          <w:spacing w:val="-4"/>
          <w:sz w:val="34"/>
          <w:szCs w:val="34"/>
        </w:rPr>
        <w:t>4.1.1 核心业务流程（可视化）</w:t>
      </w:r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none" w:color="auto" w:sz="0" w:space="0"/>
          <w:insideV w:val="none" w:color="auto" w:sz="0" w:space="0"/>
        </w:tblBorders>
        <w:shd w:val="clear" w:color="auto" w:fill="F5F6F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5"/>
      </w:tblGrid>
      <w:tr w14:paraId="735541E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none" w:color="auto" w:sz="0" w:space="0"/>
            <w:insideV w:val="none" w:color="auto" w:sz="0" w:space="0"/>
          </w:tblBorders>
          <w:shd w:val="clear" w:color="auto" w:fill="F5F6F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2" w:hRule="atLeast"/>
        </w:trPr>
        <w:tc>
          <w:tcPr>
            <w:tcW w:w="10685" w:type="dxa"/>
            <w:shd w:val="clear" w:color="auto" w:fill="F5F6F7"/>
            <w:vAlign w:val="top"/>
          </w:tcPr>
          <w:p w14:paraId="36D3DBAF">
            <w:pPr>
              <w:pStyle w:val="15"/>
              <w:spacing w:before="281" w:line="360" w:lineRule="auto"/>
              <w:ind w:left="20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flowchart TD</w:t>
              <w:br/>
              <w:t>A[学习者填写认证申请] --&gt; B[上传材料到 TOS]</w:t>
              <w:br/>
              <w:t>B --&gt; C[sys_file 回写业务归属]</w:t>
              <w:br/>
              <w:t>C --&gt; D[cert_application 置为 pending]</w:t>
              <w:br/>
              <w:t>D --&gt; E[审核员领取并审核]</w:t>
              <w:br/>
              <w:t>E --&gt;|通过| F[生成 learner_outcome]</w:t>
              <w:br/>
              <w:t>F --&gt; G[CreditService.earn 写入 credit_account 和 credit_flow]</w:t>
              <w:br/>
              <w:t>E --&gt;|驳回| H[保存 reject_reason 并发送站内信]</w:t>
              <w:br/>
              <w:t>G --&gt; I[学习者提交转换申请]</w:t>
              <w:br/>
              <w:t>I --&gt; J[冻结源成果学分并写入 freeze 流水]</w:t>
              <w:br/>
              <w:t>J --&gt; K[审核员审核转换]</w:t>
              <w:br/>
              <w:t>K --&gt;|通过| L[扣减冻结学分、生成目标成果、写入交易]</w:t>
              <w:br/>
              <w:t>K --&gt;|驳回| M[解冻源成果学分]</w:t>
            </w:r>
          </w:p>
        </w:tc>
      </w:tr>
    </w:tbl>
    <w:p w14:paraId="378A0C91">
      <w:pPr>
        <w:spacing w:line="360" w:lineRule="auto"/>
        <w:jc w:val="both"/>
        <w:rPr>
          <w:rFonts w:ascii="Arial"/>
          <w:sz w:val="21"/>
        </w:rPr>
      </w:pPr>
      <w:r/>
    </w:p>
    <w:p w14:paraId="287686A4">
      <w:pPr>
        <w:pStyle w:val="3"/>
        <w:spacing w:before="146" w:line="360" w:lineRule="auto"/>
        <w:ind w:left="6"/>
        <w:jc w:val="both"/>
        <w:outlineLvl w:val="2"/>
        <w:rPr>
          <w:b/>
          <w:bCs/>
          <w:sz w:val="34"/>
          <w:szCs w:val="34"/>
        </w:rPr>
      </w:pPr>
      <w:r>
        <w:rPr>
          <w:b/>
          <w:bCs/>
          <w:spacing w:val="-4"/>
          <w:sz w:val="34"/>
          <w:szCs w:val="34"/>
        </w:rPr>
        <w:t>4.1.2 关键功能拆解（提交认证）</w:t>
      </w:r>
    </w:p>
    <w:p w14:paraId="57A1982B">
      <w:pPr>
        <w:pStyle w:val="3"/>
        <w:spacing w:before="276" w:line="360" w:lineRule="auto"/>
        <w:ind w:left="325" w:hanging="24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2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2"/>
          <w:sz w:val="24"/>
          <w:szCs w:val="24"/>
          <w:b/>
          <w:bCs/>
        </w:rPr>
        <w:t>输入项</w:t>
      </w:r>
      <w:r>
        <w:rPr>
          <w:rFonts w:hint="eastAsia" w:ascii="宋体" w:hAnsi="宋体" w:eastAsia="宋体" w:cs="宋体"/>
          <w:b w:val="0"/>
          <w:spacing w:val="2"/>
          <w:sz w:val="24"/>
          <w:szCs w:val="24"/>
        </w:rPr>
        <w:t>：学习者账号、成果目录、成果名称、证书编号、发证机构、取得日期、申请学分、证明材料和补充说明；</w:t>
      </w:r>
    </w:p>
    <w:p w14:paraId="6F3F0E60">
      <w:pPr>
        <w:pStyle w:val="3"/>
        <w:spacing w:before="188" w:line="360" w:lineRule="auto"/>
        <w:ind w:left="84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10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10"/>
          <w:sz w:val="24"/>
          <w:szCs w:val="24"/>
          <w:b/>
          <w:bCs/>
        </w:rPr>
        <w:t>处理描述</w:t>
      </w:r>
      <w:r>
        <w:rPr>
          <w:rFonts w:hint="eastAsia" w:ascii="宋体" w:hAnsi="宋体" w:eastAsia="宋体" w:cs="宋体"/>
          <w:b w:val="0"/>
          <w:spacing w:val="10"/>
          <w:sz w:val="24"/>
          <w:szCs w:val="24"/>
        </w:rPr>
        <w:t>：</w:t>
      </w:r>
    </w:p>
    <w:p w14:paraId="3A82D769">
      <w:pPr>
        <w:pStyle w:val="3"/>
        <w:spacing w:before="230" w:line="360" w:lineRule="auto"/>
        <w:ind w:left="48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-10"/>
          <w:sz w:val="24"/>
          <w:szCs w:val="24"/>
        </w:rPr>
        <w:t>1. 前端校验：校验成果目录、证书编号、取得日期、申请学分和附件格式，阻断空材料和超限文件；是否重复认证以后台业务校验和审核记录为准；</w:t>
      </w:r>
    </w:p>
    <w:p w14:paraId="6612E11B">
      <w:pPr>
        <w:pStyle w:val="3"/>
        <w:spacing w:before="138" w:line="360" w:lineRule="auto"/>
        <w:ind w:left="469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-1"/>
          <w:sz w:val="24"/>
          <w:szCs w:val="24"/>
        </w:rPr>
        <w:t>2. 数据上传：证明材料先上传至 TOS，返回 object_key 后写入 sys_file，再与 cert_application 业务记录关联；</w:t>
      </w:r>
    </w:p>
    <w:p w14:paraId="40FAE5D8">
      <w:pPr>
        <w:pStyle w:val="3"/>
        <w:spacing w:before="184" w:line="360" w:lineRule="auto"/>
        <w:ind w:left="742" w:right="75" w:hanging="27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-3"/>
          <w:sz w:val="24"/>
          <w:szCs w:val="24"/>
        </w:rPr>
        <w:t>3. 后端存储：生成申请编号 CA，将申请写入 cert_application，状态置为 pending，同时记录 biz_audit_record 初始审计；</w:t>
      </w:r>
    </w:p>
    <w:p w14:paraId="4F9F1B22">
      <w:pPr>
        <w:pStyle w:val="3"/>
        <w:spacing w:before="195" w:line="360" w:lineRule="auto"/>
        <w:ind w:left="741" w:hanging="27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-3"/>
          <w:sz w:val="24"/>
          <w:szCs w:val="24"/>
        </w:rPr>
        <w:t>4. 审核反馈：提交时记录 biz_audit_record；审核通过后生成 learner_outcome，调用 CreditService.earn 写入 credit_account/credit_flow 并发送认证结果站内信；驳回时保存 reject_reason 并发送驳回通知；</w:t>
      </w:r>
    </w:p>
    <w:p w14:paraId="26068FC8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sz w:val="24"/>
          <w:szCs w:val="24"/>
        </w:rPr>
        <w:sectPr>
          <w:pgSz w:w="11906" w:h="16838"/>
          <w:pgMar w:top="1200" w:right="322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  <w:r>
        <w:rPr>
          <w:rFonts w:hint="eastAsia" w:ascii="宋体" w:hAnsi="宋体" w:eastAsia="宋体" w:cs="宋体"/>
          <w:b w:val="0"/>
          <w:spacing w:val="-1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-1"/>
          <w:sz w:val="24"/>
          <w:szCs w:val="24"/>
          <w:b/>
          <w:bCs/>
        </w:rPr>
        <w:t>输出项</w:t>
      </w:r>
      <w:r>
        <w:rPr>
          <w:rFonts w:hint="eastAsia" w:ascii="宋体" w:hAnsi="宋体" w:eastAsia="宋体" w:cs="宋体"/>
          <w:b w:val="0"/>
          <w:spacing w:val="-1"/>
          <w:sz w:val="24"/>
          <w:szCs w:val="24"/>
        </w:rPr>
        <w:t>：认证申请记录、材料文件元数据、审核记录、学习者成果、账户余额变更和站内消息。</w:t>
      </w:r>
    </w:p>
    <w:p w14:paraId="4B67FABA">
      <w:pPr>
        <w:pStyle w:val="3"/>
        <w:spacing w:before="191" w:line="360" w:lineRule="auto"/>
        <w:ind w:left="0" w:leftChars="0" w:firstLine="0" w:firstLineChars="0"/>
        <w:jc w:val="both"/>
        <w:rPr>
          <w:spacing w:val="-1"/>
        </w:rPr>
      </w:pPr>
      <w:r/>
    </w:p>
    <w:p w14:paraId="2D4DA94D">
      <w:pPr>
        <w:pStyle w:val="3"/>
        <w:spacing w:before="146" w:line="360" w:lineRule="auto"/>
        <w:ind w:left="6"/>
        <w:jc w:val="both"/>
        <w:outlineLvl w:val="2"/>
        <w:rPr>
          <w:b/>
          <w:bCs/>
        </w:rPr>
      </w:pPr>
      <w:r>
        <w:rPr>
          <w:b/>
          <w:bCs/>
          <w:spacing w:val="-1"/>
          <w:sz w:val="34"/>
          <w:szCs w:val="34"/>
        </w:rPr>
        <w:t>4.1.3 核心数据表设计</w:t>
      </w:r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65"/>
        <w:gridCol w:w="3555"/>
        <w:gridCol w:w="3565"/>
      </w:tblGrid>
      <w:tr w14:paraId="2F54EF3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3565" w:type="dxa"/>
            <w:vAlign w:val="top"/>
          </w:tcPr>
          <w:p w14:paraId="1325FC5E">
            <w:pPr>
              <w:pStyle w:val="15"/>
              <w:spacing w:before="192" w:line="360" w:lineRule="auto"/>
              <w:ind w:left="208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表名</w:t>
            </w:r>
          </w:p>
        </w:tc>
        <w:tc>
          <w:tcPr>
            <w:tcW w:w="3555" w:type="dxa"/>
            <w:vAlign w:val="top"/>
          </w:tcPr>
          <w:p w14:paraId="28FA45FD">
            <w:pPr>
              <w:pStyle w:val="15"/>
              <w:spacing w:before="191" w:line="360" w:lineRule="auto"/>
              <w:ind w:left="204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核心字段</w:t>
            </w:r>
          </w:p>
        </w:tc>
        <w:tc>
          <w:tcPr>
            <w:tcW w:w="3565" w:type="dxa"/>
            <w:vAlign w:val="top"/>
          </w:tcPr>
          <w:p w14:paraId="13EE7EFD">
            <w:pPr>
              <w:pStyle w:val="15"/>
              <w:spacing w:before="191" w:line="360" w:lineRule="auto"/>
              <w:ind w:left="22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字段说明</w:t>
            </w:r>
          </w:p>
        </w:tc>
      </w:tr>
      <w:tr w14:paraId="4EA1663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5" w:hRule="atLeast"/>
        </w:trPr>
        <w:tc>
          <w:tcPr>
            <w:tcW w:w="3565" w:type="dxa"/>
            <w:vAlign w:val="top"/>
          </w:tcPr>
          <w:p w14:paraId="00C2F358">
            <w:pPr>
              <w:pStyle w:val="15"/>
              <w:spacing w:before="196" w:line="360" w:lineRule="auto"/>
              <w:ind w:left="21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cert_application</w:t>
            </w:r>
          </w:p>
        </w:tc>
        <w:tc>
          <w:tcPr>
            <w:tcW w:w="3555" w:type="dxa"/>
            <w:vAlign w:val="top"/>
          </w:tcPr>
          <w:p w14:paraId="0DD310FF">
            <w:pPr>
              <w:pStyle w:val="15"/>
              <w:spacing w:before="179" w:line="360" w:lineRule="auto"/>
              <w:ind w:left="199" w:right="196" w:firstLine="15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id、application_no、applicant_id、catalog_id、certify_type、requested_credit、recognized_credit、status、submitted_at、audit_user_id</w:t>
            </w:r>
          </w:p>
        </w:tc>
        <w:tc>
          <w:tcPr>
            <w:tcW w:w="3565" w:type="dxa"/>
            <w:vAlign w:val="top"/>
          </w:tcPr>
          <w:p w14:paraId="396A0F66">
            <w:pPr>
              <w:pStyle w:val="15"/>
              <w:spacing w:before="183" w:line="360" w:lineRule="auto"/>
              <w:ind w:left="212" w:right="199" w:hanging="1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保存认证申请、申请学分、审核状态和审核人，是提交认证到审核反馈的主记录。</w:t>
            </w:r>
          </w:p>
        </w:tc>
      </w:tr>
      <w:tr w14:paraId="61A3FFF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3565" w:type="dxa"/>
            <w:vAlign w:val="top"/>
          </w:tcPr>
          <w:p w14:paraId="15356E80">
            <w:pPr>
              <w:pStyle w:val="15"/>
              <w:spacing w:before="204" w:line="360" w:lineRule="auto"/>
              <w:ind w:left="21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sys_file</w:t>
            </w:r>
          </w:p>
        </w:tc>
        <w:tc>
          <w:tcPr>
            <w:tcW w:w="3555" w:type="dxa"/>
            <w:vAlign w:val="top"/>
          </w:tcPr>
          <w:p w14:paraId="541CFD2A">
            <w:pPr>
              <w:pStyle w:val="15"/>
              <w:spacing w:before="184" w:line="360" w:lineRule="auto"/>
              <w:ind w:left="205" w:right="207" w:firstLine="1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id、biz_type、biz_id、uploader_id、object_key、file_url、content_type、file_size、status</w:t>
            </w:r>
          </w:p>
        </w:tc>
        <w:tc>
          <w:tcPr>
            <w:tcW w:w="3565" w:type="dxa"/>
            <w:vAlign w:val="top"/>
          </w:tcPr>
          <w:p w14:paraId="3BF6BAD8">
            <w:pPr>
              <w:pStyle w:val="15"/>
              <w:spacing w:before="193" w:line="360" w:lineRule="auto"/>
              <w:ind w:left="211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保存上传材料元数据和 TOS 对象归属；认证提交后回写 cert_application 的业务编号。</w:t>
            </w:r>
          </w:p>
        </w:tc>
      </w:tr>
      <w:tr w14:paraId="30DCA2C4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2" w:hRule="atLeast"/>
        </w:trPr>
        <w:tc>
          <w:tcPr>
            <w:tcW w:w="3565" w:type="dxa"/>
            <w:vAlign w:val="top"/>
          </w:tcPr>
          <w:p w14:paraId="3470F6F6">
            <w:pPr>
              <w:pStyle w:val="15"/>
              <w:spacing w:before="210" w:line="360" w:lineRule="auto"/>
              <w:ind w:left="21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learner_outcome</w:t>
            </w:r>
          </w:p>
        </w:tc>
        <w:tc>
          <w:tcPr>
            <w:tcW w:w="3555" w:type="dxa"/>
            <w:vAlign w:val="top"/>
          </w:tcPr>
          <w:p w14:paraId="771FADC7">
            <w:pPr>
              <w:pStyle w:val="15"/>
              <w:spacing w:before="192" w:line="360" w:lineRule="auto"/>
              <w:ind w:left="205" w:right="182" w:firstLine="9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id、user_id、catalog_id、source_type、source_application_id、total_credit、available_credit、frozen_credit、status</w:t>
            </w:r>
          </w:p>
        </w:tc>
        <w:tc>
          <w:tcPr>
            <w:tcW w:w="3565" w:type="dxa"/>
            <w:vAlign w:val="top"/>
          </w:tcPr>
          <w:p w14:paraId="77B5DF66">
            <w:pPr>
              <w:pStyle w:val="15"/>
              <w:spacing w:before="195" w:line="360" w:lineRule="auto"/>
              <w:ind w:left="211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保存审核通过后的个人学习成果，区分认证来源和转换来源，并记录可用与冻结学分。</w:t>
            </w:r>
          </w:p>
        </w:tc>
      </w:tr>
      <w:tr w14:paraId="4EA1663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5" w:hRule="atLeast"/>
        </w:trPr>
        <w:tc>
          <w:tcPr>
            <w:tcW w:w="3565" w:type="dxa"/>
            <w:vAlign w:val="top"/>
          </w:tcPr>
          <w:p w14:paraId="00C2F358">
            <w:pPr>
              <w:pStyle w:val="15"/>
              <w:spacing w:before="196" w:line="360" w:lineRule="auto"/>
              <w:ind w:left="21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credit_account</w:t>
            </w:r>
          </w:p>
        </w:tc>
        <w:tc>
          <w:tcPr>
            <w:tcW w:w="3555" w:type="dxa"/>
            <w:vAlign w:val="top"/>
          </w:tcPr>
          <w:p w14:paraId="0DD310FF">
            <w:pPr>
              <w:pStyle w:val="15"/>
              <w:spacing w:before="179" w:line="360" w:lineRule="auto"/>
              <w:ind w:left="199" w:right="196" w:firstLine="15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id、user_id、balance、frozen_credit、total_earned、total_deducted、version</w:t>
            </w:r>
          </w:p>
        </w:tc>
        <w:tc>
          <w:tcPr>
            <w:tcW w:w="3565" w:type="dxa"/>
            <w:vAlign w:val="top"/>
          </w:tcPr>
          <w:p w14:paraId="396A0F66">
            <w:pPr>
              <w:pStyle w:val="15"/>
              <w:spacing w:before="183" w:line="360" w:lineRule="auto"/>
              <w:ind w:left="212" w:right="199" w:hanging="1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保存学习者账户汇总余额，供账户首页、余额校验和流水计算使用。</w:t>
            </w:r>
          </w:p>
        </w:tc>
      </w:tr>
      <w:tr w14:paraId="4EA1663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5" w:hRule="atLeast"/>
        </w:trPr>
        <w:tc>
          <w:tcPr>
            <w:tcW w:w="3565" w:type="dxa"/>
            <w:vAlign w:val="top"/>
          </w:tcPr>
          <w:p w14:paraId="00C2F358">
            <w:pPr>
              <w:pStyle w:val="15"/>
              <w:spacing w:before="196" w:line="360" w:lineRule="auto"/>
              <w:ind w:left="21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credit_flow</w:t>
            </w:r>
          </w:p>
        </w:tc>
        <w:tc>
          <w:tcPr>
            <w:tcW w:w="3555" w:type="dxa"/>
            <w:vAlign w:val="top"/>
          </w:tcPr>
          <w:p w14:paraId="0DD310FF">
            <w:pPr>
              <w:pStyle w:val="15"/>
              <w:spacing w:before="179" w:line="360" w:lineRule="auto"/>
              <w:ind w:left="199" w:right="196" w:firstLine="15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id、flow_no、account_id、user_id、learner_outcome_id、biz_type、biz_id、change_type、credit_amount、balance_before、balance_after</w:t>
            </w:r>
          </w:p>
        </w:tc>
        <w:tc>
          <w:tcPr>
            <w:tcW w:w="3565" w:type="dxa"/>
            <w:vAlign w:val="top"/>
          </w:tcPr>
          <w:p w14:paraId="396A0F66">
            <w:pPr>
              <w:pStyle w:val="15"/>
              <w:spacing w:before="183" w:line="360" w:lineRule="auto"/>
              <w:ind w:left="212" w:right="199" w:hanging="1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记录 earn、freeze、unfreeze、deduct 等变动及前后余额，支撑账户追溯。</w:t>
            </w:r>
          </w:p>
        </w:tc>
      </w:tr>
      <w:tr w14:paraId="4EA1663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5" w:hRule="atLeast"/>
        </w:trPr>
        <w:tc>
          <w:tcPr>
            <w:tcW w:w="3565" w:type="dxa"/>
            <w:vAlign w:val="top"/>
          </w:tcPr>
          <w:p w14:paraId="00C2F358">
            <w:pPr>
              <w:pStyle w:val="15"/>
              <w:spacing w:before="196" w:line="360" w:lineRule="auto"/>
              <w:ind w:left="21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biz_audit_record</w:t>
            </w:r>
          </w:p>
        </w:tc>
        <w:tc>
          <w:tcPr>
            <w:tcW w:w="3555" w:type="dxa"/>
            <w:vAlign w:val="top"/>
          </w:tcPr>
          <w:p w14:paraId="0DD310FF">
            <w:pPr>
              <w:pStyle w:val="15"/>
              <w:spacing w:before="179" w:line="360" w:lineRule="auto"/>
              <w:ind w:left="199" w:right="196" w:firstLine="15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id、biz_type、biz_id、operator_id、action、from_status、to_status、opinion、operated_at</w:t>
            </w:r>
          </w:p>
        </w:tc>
        <w:tc>
          <w:tcPr>
            <w:tcW w:w="3565" w:type="dxa"/>
            <w:vAlign w:val="top"/>
          </w:tcPr>
          <w:p w14:paraId="396A0F66">
            <w:pPr>
              <w:pStyle w:val="15"/>
              <w:spacing w:before="183" w:line="360" w:lineRule="auto"/>
              <w:ind w:left="212" w:right="199" w:hanging="1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保存认证审核、转换审核和规则评审的状态变化，支撑责任追踪和问题复盘。</w:t>
            </w:r>
          </w:p>
        </w:tc>
      </w:tr>
    </w:tbl>
    <w:p w14:paraId="07823440">
      <w:pPr>
        <w:spacing w:line="360" w:lineRule="auto"/>
        <w:jc w:val="both"/>
        <w:rPr>
          <w:rFonts w:hint="eastAsia" w:ascii="宋体" w:hAnsi="宋体" w:eastAsia="宋体" w:cs="宋体"/>
          <w:sz w:val="24"/>
          <w:szCs w:val="24"/>
        </w:rPr>
      </w:pPr>
      <w:r/>
    </w:p>
    <w:p w14:paraId="2F5E0419">
      <w:pPr>
        <w:pStyle w:val="3"/>
        <w:spacing w:before="155" w:line="360" w:lineRule="auto"/>
        <w:ind w:left="7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4.2 模块间交互</w:t>
      </w:r>
    </w:p>
    <w:p w14:paraId="75FDC82A">
      <w:pPr>
        <w:pStyle w:val="3"/>
        <w:spacing w:before="265" w:line="360" w:lineRule="auto"/>
        <w:ind w:left="325" w:right="166" w:hanging="24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-3"/>
          <w:sz w:val="24"/>
          <w:szCs w:val="24"/>
        </w:rPr>
        <w:t>◦ 内部交互：cert_application 审核通过后生成 learner_outcome，并通过 CreditService 更新 credit_account 与 credit_flow；conversion_application 提交时冻结源成果可用学分，审核通过后扣减冻结学分、生成目标成果并写入 conversion_transaction，驳回时解冻源学分；</w:t>
      </w:r>
    </w:p>
    <w:p w14:paraId="21C105FB">
      <w:pPr>
        <w:pStyle w:val="3"/>
        <w:spacing w:before="235" w:line="360" w:lineRule="auto"/>
        <w:ind w:left="84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37EA70F">
      <w:pPr>
        <w:spacing w:line="20" w:lineRule="exact" w:before="0" w:after="0"/>
        <w:jc w:val="both"/>
        <w:rPr>
          <w:rFonts w:hint="eastAsia" w:ascii="宋体" w:hAnsi="宋体" w:eastAsia="宋体" w:cs="宋体"/>
          <w:sz w:val="2"/>
          <w:szCs w:val="2"/>
        </w:rPr>
        <w:sectPr>
          <w:pgSz w:w="11906" w:h="16838"/>
          <w:pgMar w:top="1219" w:right="266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076F0D73">
      <w:pPr>
        <w:pStyle w:val="3"/>
        <w:spacing w:before="46" w:line="360" w:lineRule="auto"/>
        <w:ind w:left="83" w:right="2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b/>
          <w:bCs/>
        </w:rPr>
        <w:t>与其他模块交互</w:t>
      </w:r>
      <w:r>
        <w:rPr>
          <w:rFonts w:hint="eastAsia" w:ascii="宋体" w:hAnsi="宋体" w:eastAsia="宋体" w:cs="宋体"/>
          <w:b w:val="0"/>
          <w:spacing w:val="-1"/>
          <w:sz w:val="24"/>
          <w:szCs w:val="24"/>
        </w:rPr>
        <w:t>：成果目录提供可认证标准，文件模块提供材料存储，消息模块推送审核结果，权限模块限定审核员、专家和管理员的操作范围。</w:t>
      </w:r>
    </w:p>
    <w:p w14:paraId="2F7BBCA1">
      <w:pPr>
        <w:spacing w:line="360" w:lineRule="auto"/>
        <w:jc w:val="both"/>
        <w:rPr>
          <w:rFonts w:hint="eastAsia" w:ascii="宋体" w:hAnsi="宋体" w:eastAsia="宋体" w:cs="宋体"/>
          <w:sz w:val="24"/>
          <w:szCs w:val="24"/>
        </w:rPr>
      </w:pPr>
      <w:r/>
    </w:p>
    <w:p w14:paraId="4BA76EC6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4.3 界面设计规范</w:t>
      </w:r>
    </w:p>
    <w:p w14:paraId="218793A2">
      <w:pPr>
        <w:pStyle w:val="3"/>
        <w:spacing w:before="263" w:line="360" w:lineRule="auto"/>
        <w:ind w:left="7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6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6"/>
          <w:sz w:val="24"/>
          <w:szCs w:val="24"/>
          <w:b/>
          <w:bCs/>
        </w:rPr>
        <w:t>学习者端（认证申请页）</w:t>
      </w:r>
      <w:r>
        <w:rPr>
          <w:rFonts w:hint="eastAsia" w:ascii="宋体" w:hAnsi="宋体" w:eastAsia="宋体" w:cs="宋体"/>
          <w:b w:val="0"/>
          <w:spacing w:val="6"/>
          <w:sz w:val="24"/>
          <w:szCs w:val="24"/>
        </w:rPr>
        <w:t>：</w:t>
      </w:r>
    </w:p>
    <w:p w14:paraId="023AA075">
      <w:pPr>
        <w:pStyle w:val="3"/>
        <w:spacing w:before="206" w:line="360" w:lineRule="auto"/>
        <w:ind w:left="713" w:right="11" w:hanging="22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布局：顶部成果目录信息，中部材料表单和附件上传，底部提交按钮与草稿提示；</w:t>
      </w:r>
    </w:p>
    <w:p w14:paraId="48822CC2">
      <w:pPr>
        <w:pStyle w:val="3"/>
        <w:spacing w:before="192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交互：附件上传显示文件名和大小，提交后返回申请编号，列表中实时显示 pending、approved、rejected、withdrawn 等状态；</w:t>
      </w:r>
    </w:p>
    <w:p w14:paraId="014E979F">
      <w:pPr>
        <w:pStyle w:val="3"/>
        <w:spacing w:before="190" w:line="360" w:lineRule="auto"/>
        <w:ind w:left="7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7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7"/>
          <w:sz w:val="24"/>
          <w:szCs w:val="24"/>
          <w:b/>
          <w:bCs/>
        </w:rPr>
        <w:t>管理端（审核页）</w:t>
      </w:r>
      <w:r>
        <w:rPr>
          <w:rFonts w:hint="eastAsia" w:ascii="宋体" w:hAnsi="宋体" w:eastAsia="宋体" w:cs="宋体"/>
          <w:b w:val="0"/>
          <w:spacing w:val="7"/>
          <w:sz w:val="24"/>
          <w:szCs w:val="24"/>
        </w:rPr>
        <w:t>：</w:t>
      </w:r>
    </w:p>
    <w:p w14:paraId="49C18402">
      <w:pPr>
        <w:pStyle w:val="3"/>
        <w:spacing w:before="204" w:line="360" w:lineRule="auto"/>
        <w:ind w:left="717" w:right="142" w:hanging="23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"/>
          <w:sz w:val="24"/>
          <w:szCs w:val="24"/>
        </w:rPr>
        <w:t>• 布局：左侧筛选与申请列表，右侧申请详情、材料预览、审核意见和操作按钮；</w:t>
      </w:r>
    </w:p>
    <w:p w14:paraId="08624F17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交互：点击列表加载详情，审核通过时填写认定学分，驳回时必须填写原因，批量通过需二次确认。</w:t>
      </w:r>
    </w:p>
    <w:p w14:paraId="479B78C4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pacing w:val="-1"/>
          <w:sz w:val="24"/>
          <w:szCs w:val="24"/>
        </w:rPr>
      </w:pPr>
      <w:r/>
    </w:p>
    <w:p w14:paraId="244FB521">
      <w:pPr>
        <w:pStyle w:val="3"/>
        <w:spacing w:before="181" w:line="360" w:lineRule="auto"/>
        <w:ind w:left="4"/>
        <w:jc w:val="both"/>
        <w:outlineLvl w:val="0"/>
        <w:rPr>
          <w:rFonts w:ascii="Arial"/>
          <w:b/>
          <w:bCs/>
          <w:sz w:val="21"/>
        </w:rPr>
      </w:pPr>
      <w:r>
        <w:rPr>
          <w:b/>
          <w:bCs/>
          <w:spacing w:val="-3"/>
          <w:sz w:val="42"/>
          <w:szCs w:val="42"/>
        </w:rPr>
        <w:t>5. 非功能需求设计</w:t>
      </w:r>
    </w:p>
    <w:p w14:paraId="77361245">
      <w:pPr>
        <w:pStyle w:val="3"/>
        <w:spacing w:before="154" w:line="360" w:lineRule="auto"/>
        <w:ind w:left="2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5.1 易用性设计</w:t>
      </w:r>
    </w:p>
    <w:p w14:paraId="39597908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学习者端优化：</w:t>
      </w:r>
    </w:p>
    <w:p w14:paraId="4F4BBFD1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查询功能：成果目录支持关键字、类型和状态筛选；学分账户展示总学分、可用学分、冻结学分和流水明细；</w:t>
      </w:r>
    </w:p>
    <w:p w14:paraId="1750CC13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表单填写：对证书编号、发证机构、日期、学分范围和附件格式做即时校验，减少审核退回；</w:t>
      </w:r>
    </w:p>
    <w:p w14:paraId="3B4B6EF8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管理端优化：</w:t>
      </w:r>
    </w:p>
    <w:p w14:paraId="4AC0BC61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批量操作：支持目录导入导出、认证批量审核、公告发布和反馈回复；</w:t>
      </w:r>
    </w:p>
    <w:p w14:paraId="1F500CB8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快捷搜索：认证、转换、规则和流水列表支持申请编号、学习者、状态、日期范围等组合筛选。</w:t>
      </w:r>
    </w:p>
    <w:p w14:paraId="317D701B">
      <w:pPr>
        <w:spacing w:line="360" w:lineRule="auto"/>
        <w:jc w:val="both"/>
        <w:rPr>
          <w:rFonts w:ascii="Arial"/>
          <w:sz w:val="21"/>
        </w:rPr>
      </w:pPr>
      <w:r/>
    </w:p>
    <w:p w14:paraId="5CCF436A">
      <w:pPr>
        <w:pStyle w:val="3"/>
        <w:spacing w:before="155" w:line="360" w:lineRule="auto"/>
        <w:ind w:left="2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5.2 安全性设计</w:t>
      </w:r>
    </w:p>
    <w:p w14:paraId="2F476A4E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数据安全：</w:t>
      </w:r>
    </w:p>
    <w:p w14:paraId="4A773324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敏感数据加密：身份证号、手机号等字段采用 AES 密文与 SHA-256 哈希双字段设计；文件上传由后端读取 TOS 凭据并写入对象存储，前端只接收文件记录和访问地址，不接触 TOS 凭据或 AccessKey；</w:t>
      </w:r>
    </w:p>
    <w:p w14:paraId="5E779632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数据备份：MySQL 数据以 Docker 卷保存，提供备份恢复脚本；Redis 用于字典项缓存和登录失败计数，短信验证码以 sys_sms_code 记录为准；</w:t>
      </w:r>
    </w:p>
    <w:p w14:paraId="3293F985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权限安全：</w:t>
      </w:r>
    </w:p>
    <w:p w14:paraId="064D0259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角色权限矩阵：</w:t>
      </w:r>
    </w:p>
    <w:p w14:paraId="5BEC7A5E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/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14:paraId="25D51668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33" w:type="dxa"/>
            <w:vAlign w:val="top"/>
          </w:tcPr>
          <w:p w14:paraId="54E35EE8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</w:t>
            </w:r>
          </w:p>
        </w:tc>
        <w:tc>
          <w:tcPr>
            <w:tcW w:w="1524" w:type="dxa"/>
            <w:vAlign w:val="top"/>
          </w:tcPr>
          <w:p w14:paraId="1CBDCB0D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提交认证</w:t>
            </w:r>
          </w:p>
        </w:tc>
        <w:tc>
          <w:tcPr>
            <w:tcW w:w="1524" w:type="dxa"/>
            <w:vAlign w:val="top"/>
          </w:tcPr>
          <w:p w14:paraId="62203E6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查看申请</w:t>
            </w:r>
          </w:p>
        </w:tc>
        <w:tc>
          <w:tcPr>
            <w:tcW w:w="1523" w:type="dxa"/>
            <w:vAlign w:val="top"/>
          </w:tcPr>
          <w:p w14:paraId="1DA4C888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认证审核</w:t>
            </w:r>
          </w:p>
        </w:tc>
        <w:tc>
          <w:tcPr>
            <w:tcW w:w="1524" w:type="dxa"/>
            <w:vAlign w:val="top"/>
          </w:tcPr>
          <w:p w14:paraId="45B11D0A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转换审核</w:t>
            </w:r>
          </w:p>
        </w:tc>
        <w:tc>
          <w:tcPr>
            <w:tcW w:w="1524" w:type="dxa"/>
            <w:vAlign w:val="top"/>
          </w:tcPr>
          <w:p w14:paraId="1F8879A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规则评审</w:t>
            </w:r>
          </w:p>
        </w:tc>
        <w:tc>
          <w:tcPr>
            <w:tcW w:w="1533" w:type="dxa"/>
            <w:vAlign w:val="top"/>
          </w:tcPr>
          <w:p w14:paraId="03DF33A6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系统配置</w:t>
            </w:r>
          </w:p>
        </w:tc>
      </w:tr>
      <w:tr w14:paraId="3CF5D0F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33" w:type="dxa"/>
            <w:vAlign w:val="top"/>
          </w:tcPr>
          <w:p w14:paraId="31BDDC9B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学习者</w:t>
            </w:r>
          </w:p>
        </w:tc>
        <w:tc>
          <w:tcPr>
            <w:tcW w:w="1524" w:type="dxa"/>
            <w:vAlign w:val="top"/>
          </w:tcPr>
          <w:p w14:paraId="186ABEC9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39BFC505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仅自己的</w:t>
            </w:r>
          </w:p>
        </w:tc>
        <w:tc>
          <w:tcPr>
            <w:tcW w:w="1523" w:type="dxa"/>
            <w:vAlign w:val="top"/>
          </w:tcPr>
          <w:p w14:paraId="341F4EDB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5D8D4C8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220594BD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33" w:type="dxa"/>
            <w:vAlign w:val="top"/>
          </w:tcPr>
          <w:p w14:paraId="1331E0B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</w:tr>
      <w:tr w14:paraId="0EB3D96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33" w:type="dxa"/>
            <w:vAlign w:val="top"/>
          </w:tcPr>
          <w:p w14:paraId="18C5073C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审核员</w:t>
            </w:r>
          </w:p>
        </w:tc>
        <w:tc>
          <w:tcPr>
            <w:tcW w:w="1524" w:type="dxa"/>
            <w:vAlign w:val="top"/>
          </w:tcPr>
          <w:p w14:paraId="25143FC4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3E17E9CD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待审与已审申请</w:t>
            </w:r>
          </w:p>
        </w:tc>
        <w:tc>
          <w:tcPr>
            <w:tcW w:w="1523" w:type="dxa"/>
            <w:vAlign w:val="top"/>
          </w:tcPr>
          <w:p w14:paraId="47E30DAF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6DA66B7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26B918E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33" w:type="dxa"/>
            <w:vAlign w:val="top"/>
          </w:tcPr>
          <w:p w14:paraId="002C7F2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</w:tr>
      <w:tr w14:paraId="62AB25A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533" w:type="dxa"/>
            <w:vAlign w:val="top"/>
          </w:tcPr>
          <w:p w14:paraId="0826A21A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专家</w:t>
            </w:r>
          </w:p>
        </w:tc>
        <w:tc>
          <w:tcPr>
            <w:tcW w:w="1524" w:type="dxa"/>
            <w:vAlign w:val="top"/>
          </w:tcPr>
          <w:p w14:paraId="0BF7D28A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518B3478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本人评审任务</w:t>
            </w:r>
          </w:p>
        </w:tc>
        <w:tc>
          <w:tcPr>
            <w:tcW w:w="1523" w:type="dxa"/>
            <w:vAlign w:val="top"/>
          </w:tcPr>
          <w:p w14:paraId="693293E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1DB271D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2AF3722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33" w:type="dxa"/>
            <w:vAlign w:val="top"/>
          </w:tcPr>
          <w:p w14:paraId="2FA034C2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</w:p>
        </w:tc>
      </w:tr>
      <w:tr w14:paraId="70A18E5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33" w:type="dxa"/>
            <w:vAlign w:val="top"/>
          </w:tcPr>
          <w:p w14:paraId="55262459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</w:t>
            </w:r>
          </w:p>
        </w:tc>
        <w:tc>
          <w:tcPr>
            <w:tcW w:w="1524" w:type="dxa"/>
            <w:vAlign w:val="top"/>
          </w:tcPr>
          <w:p w14:paraId="686B11FF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6C98709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全部</w:t>
            </w:r>
          </w:p>
        </w:tc>
        <w:tc>
          <w:tcPr>
            <w:tcW w:w="1523" w:type="dxa"/>
            <w:vAlign w:val="top"/>
          </w:tcPr>
          <w:p w14:paraId="2A1F2D53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25713AB2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7FDD484F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  <w:tc>
          <w:tcPr>
            <w:tcW w:w="1533" w:type="dxa"/>
            <w:vAlign w:val="top"/>
          </w:tcPr>
          <w:p w14:paraId="4E9069EB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√</w:t>
            </w:r>
          </w:p>
        </w:tc>
      </w:tr>
    </w:tbl>
    <w:p w14:paraId="554D0FD5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  <w:sectPr>
          <w:pgSz w:w="11906" w:h="16838"/>
          <w:pgMar w:top="1221" w:right="284" w:bottom="0" w:left="607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  <w:r>
        <w:rPr>
          <w:rFonts w:hint="eastAsia" w:ascii="宋体" w:hAnsi="宋体" w:eastAsia="宋体" w:cs="宋体"/>
          <w:sz w:val="24"/>
          <w:szCs w:val="24"/>
        </w:rPr>
        <w:t>• 登录安全：密码采用 BCrypt 存储，JWT 设置有效期；登录失败计数写入 Redis，短信验证码写入 sys_sms_code，管理端敏感操作记录 sys_operation_log 与 biz_audit_record。</w:t>
      </w:r>
    </w:p>
    <w:p w14:paraId="31D06A53">
      <w:pPr>
        <w:pStyle w:val="3"/>
        <w:spacing w:before="186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/>
    </w:p>
    <w:p w14:paraId="4BBB2680">
      <w:pPr>
        <w:pStyle w:val="3"/>
        <w:spacing w:before="155" w:line="360" w:lineRule="auto"/>
        <w:ind w:left="9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5.3 性能设计</w:t>
      </w:r>
    </w:p>
    <w:p w14:paraId="17173D7A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缓存策略：Redis 用于字典项缓存和登录失败计数。短信验证码保存于 sys_sms_code；菜单缓存、热点成果缓存和导入临时数据可作为后续性能优化方向；</w:t>
      </w:r>
    </w:p>
    <w:p w14:paraId="3082232A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数据库优化：核心业务表使用 InnoDB 与 utf8mb4，按 user_id、status、application_no、flow_no、rule_code 等字段建立唯一或普通索引；</w:t>
      </w:r>
    </w:p>
    <w:p w14:paraId="26FBA70B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◦ 接口优化：列表接口分页返回，文件上传走对象存储，转换预览只返回规则、比例和目标学分，减少前后端往返数据量。</w:t>
      </w:r>
    </w:p>
    <w:p w14:paraId="7E046EBD">
      <w:pPr>
        <w:spacing w:line="360" w:lineRule="auto"/>
        <w:jc w:val="both"/>
        <w:rPr>
          <w:rFonts w:ascii="Arial"/>
          <w:sz w:val="21"/>
        </w:rPr>
      </w:pPr>
      <w:r/>
    </w:p>
    <w:p w14:paraId="514173A0">
      <w:pPr>
        <w:pStyle w:val="3"/>
        <w:spacing w:before="155" w:line="360" w:lineRule="auto"/>
        <w:ind w:left="9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5.4 可靠性设计</w:t>
      </w:r>
    </w:p>
    <w:p w14:paraId="53ED72F3">
      <w:pPr>
        <w:pStyle w:val="3"/>
        <w:spacing w:before="266" w:line="360" w:lineRule="auto"/>
        <w:ind w:left="84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9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9"/>
          <w:sz w:val="24"/>
          <w:szCs w:val="24"/>
          <w:b/>
          <w:bCs/>
        </w:rPr>
        <w:t>故障处理</w:t>
      </w:r>
      <w:r>
        <w:rPr>
          <w:rFonts w:hint="eastAsia" w:ascii="宋体" w:hAnsi="宋体" w:eastAsia="宋体" w:cs="宋体"/>
          <w:b w:val="0"/>
          <w:spacing w:val="9"/>
          <w:sz w:val="24"/>
          <w:szCs w:val="24"/>
        </w:rPr>
        <w:t>：</w:t>
      </w:r>
    </w:p>
    <w:p w14:paraId="4B104186">
      <w:pPr>
        <w:pStyle w:val="3"/>
        <w:spacing w:before="201" w:line="360" w:lineRule="auto"/>
        <w:ind w:left="494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附件上传失败：前端保留表单内容并提示重新上传；后端对 TOS 返回异常记录日志，避免产生无业务归属的文件；</w:t>
      </w:r>
    </w:p>
    <w:p w14:paraId="42E23B51">
      <w:pPr>
        <w:pStyle w:val="3"/>
        <w:spacing w:before="184" w:line="360" w:lineRule="auto"/>
        <w:ind w:left="721" w:right="139" w:hanging="22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"/>
          <w:sz w:val="24"/>
          <w:szCs w:val="24"/>
        </w:rPr>
        <w:t>• 接口调用失败：统一错误码和错误消息返回前端，后端记录请求路径、操作人、结果和异常信息；事务内失败时回滚成果、账户、流水和交易写入。</w:t>
      </w:r>
    </w:p>
    <w:p w14:paraId="228AD99B">
      <w:pPr>
        <w:pStyle w:val="3"/>
        <w:spacing w:before="189" w:line="360" w:lineRule="auto"/>
        <w:ind w:left="323" w:hanging="239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-2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-2"/>
          <w:sz w:val="24"/>
          <w:szCs w:val="24"/>
          <w:b/>
          <w:bCs/>
        </w:rPr>
        <w:t>高可用保障</w:t>
      </w:r>
      <w:r>
        <w:rPr>
          <w:rFonts w:hint="eastAsia" w:ascii="宋体" w:hAnsi="宋体" w:eastAsia="宋体" w:cs="宋体"/>
          <w:b w:val="0"/>
          <w:spacing w:val="-2"/>
          <w:sz w:val="24"/>
          <w:szCs w:val="24"/>
        </w:rPr>
        <w:t>：Docker Compose 固定健康检查顺序，后端依赖 MySQL、Redis 和 Nginx；生产环境建议补充 HTTPS、数据库备份、Redis 高可用、多应用节点和独立监控告警。</w:t>
      </w:r>
    </w:p>
    <w:p w14:paraId="0D408F01">
      <w:pPr>
        <w:spacing w:line="20" w:lineRule="exact" w:before="0" w:after="0"/>
        <w:jc w:val="both"/>
        <w:rPr>
          <w:rFonts w:hint="eastAsia" w:ascii="宋体" w:hAnsi="宋体" w:eastAsia="宋体" w:cs="宋体"/>
          <w:sz w:val="2"/>
          <w:szCs w:val="2"/>
        </w:rPr>
        <w:sectPr>
          <w:pgSz w:w="11906" w:h="16838"/>
          <w:pgMar w:top="1216" w:right="287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717CA5EE">
      <w:pPr>
        <w:pStyle w:val="3"/>
        <w:spacing w:before="79" w:line="360" w:lineRule="auto"/>
        <w:ind w:left="4"/>
        <w:jc w:val="both"/>
        <w:outlineLvl w:val="0"/>
        <w:rPr>
          <w:rFonts w:ascii="Arial"/>
          <w:b/>
          <w:bCs/>
          <w:sz w:val="21"/>
        </w:rPr>
      </w:pPr>
      <w:r>
        <w:rPr>
          <w:b/>
          <w:bCs/>
          <w:spacing w:val="-4"/>
          <w:sz w:val="42"/>
          <w:szCs w:val="42"/>
        </w:rPr>
        <w:t>6. 数据架构设计</w:t>
      </w:r>
    </w:p>
    <w:p w14:paraId="2A1CBE28">
      <w:pPr>
        <w:pStyle w:val="3"/>
        <w:spacing w:before="154" w:line="360" w:lineRule="auto"/>
        <w:ind w:left="1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6.1 核心数据模型概要</w:t>
      </w:r>
    </w:p>
    <w:p w14:paraId="3DDF1E8D">
      <w:pPr>
        <w:pStyle w:val="3"/>
        <w:spacing w:before="273" w:line="360" w:lineRule="auto"/>
        <w:ind w:left="306" w:hanging="24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◦ 核心实体：本节从数据实体角度概括核心模型，主要包括学习者、用户、角色、菜单、学习成果目录、认证申请、学习者成果、学分账户、学分流水、转换规则、专家、转换申请和交易记录；</w:t>
      </w:r>
    </w:p>
    <w:p w14:paraId="6FC3A4BD">
      <w:pPr>
        <w:pStyle w:val="3"/>
        <w:spacing w:before="185" w:line="360" w:lineRule="auto"/>
        <w:ind w:left="65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9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9"/>
          <w:sz w:val="24"/>
          <w:szCs w:val="24"/>
          <w:b/>
          <w:bCs/>
        </w:rPr>
        <w:t>关键关联</w:t>
      </w:r>
      <w:r>
        <w:rPr>
          <w:rFonts w:hint="eastAsia" w:ascii="宋体" w:hAnsi="宋体" w:eastAsia="宋体" w:cs="宋体"/>
          <w:b w:val="0"/>
          <w:spacing w:val="9"/>
          <w:sz w:val="24"/>
          <w:szCs w:val="24"/>
        </w:rPr>
        <w:t>：</w:t>
      </w:r>
    </w:p>
    <w:p w14:paraId="2687637F">
      <w:pPr>
        <w:pStyle w:val="3"/>
        <w:spacing w:before="198" w:line="360" w:lineRule="auto"/>
        <w:ind w:left="47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• 学习者与认证申请：1对多（1个学习者可提交多个成果认证申请）；</w:t>
      </w:r>
    </w:p>
    <w:p w14:paraId="274B6CEE">
      <w:pPr>
        <w:pStyle w:val="3"/>
        <w:spacing w:before="192" w:line="360" w:lineRule="auto"/>
        <w:ind w:left="47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• 认证申请与学习者成果：0..1对1（审核通过后形成个人成果）；</w:t>
      </w:r>
    </w:p>
    <w:p w14:paraId="022D6FE3">
      <w:pPr>
        <w:pStyle w:val="3"/>
        <w:spacing w:before="191" w:line="360" w:lineRule="auto"/>
        <w:ind w:left="47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学习者与学分账户：1对1（账户保存总学分、可用学分和冻结学分）；</w:t>
      </w:r>
    </w:p>
    <w:p w14:paraId="7E6ED6CB">
      <w:pPr>
        <w:pStyle w:val="3"/>
        <w:spacing w:before="191" w:line="360" w:lineRule="auto"/>
        <w:ind w:left="47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• 转换规则与专家评审：1对多（1条规则可由多位专家给出评审意见）。</w:t>
      </w:r>
    </w:p>
    <w:p w14:paraId="51DB4A66">
      <w:pPr>
        <w:spacing w:line="360" w:lineRule="auto"/>
        <w:jc w:val="both"/>
        <w:rPr>
          <w:rFonts w:ascii="Arial"/>
          <w:b/>
          <w:bCs/>
          <w:sz w:val="21"/>
        </w:rPr>
      </w:pPr>
      <w:r>
        <w:rPr>
          <w:rFonts w:ascii="宋体" w:hAnsi="宋体" w:eastAsia="宋体" w:cs="宋体"/>
          <w:sz w:val="24"/>
          <w:szCs w:val="24"/>
        </w:rPr>
      </w:r>
    </w:p>
    <w:p w14:paraId="0C628A5D">
      <w:pPr>
        <w:pStyle w:val="3"/>
        <w:spacing w:before="155" w:line="360" w:lineRule="auto"/>
        <w:ind w:left="1"/>
        <w:jc w:val="both"/>
        <w:rPr>
          <w:b/>
          <w:bCs/>
          <w:spacing w:val="-4"/>
          <w:sz w:val="36"/>
          <w:szCs w:val="36"/>
        </w:rPr>
      </w:pPr>
      <w:r/>
    </w:p>
    <w:p w14:paraId="0F00F458">
      <w:pPr>
        <w:pStyle w:val="3"/>
        <w:spacing w:before="155" w:line="360" w:lineRule="auto"/>
        <w:ind w:left="1"/>
        <w:jc w:val="both"/>
        <w:rPr>
          <w:rFonts w:ascii="Arial"/>
          <w:b/>
          <w:bCs/>
          <w:sz w:val="21"/>
        </w:rPr>
      </w:pPr>
      <w:r>
        <w:rPr>
          <w:b/>
          <w:bCs/>
          <w:spacing w:val="-4"/>
          <w:sz w:val="36"/>
          <w:szCs w:val="36"/>
        </w:rPr>
        <w:t>6.2 数据存储方案</w:t>
      </w:r>
    </w:p>
    <w:p w14:paraId="68FF3F82">
      <w:pPr>
        <w:pStyle w:val="3"/>
        <w:spacing w:before="146" w:line="360" w:lineRule="auto"/>
        <w:jc w:val="both"/>
        <w:outlineLvl w:val="2"/>
        <w:rPr>
          <w:b/>
          <w:bCs/>
          <w:sz w:val="34"/>
          <w:szCs w:val="34"/>
        </w:rPr>
      </w:pPr>
      <w:r>
        <w:rPr>
          <w:b/>
          <w:bCs/>
          <w:spacing w:val="-6"/>
          <w:sz w:val="34"/>
          <w:szCs w:val="34"/>
        </w:rPr>
        <w:t>6.2.1 结构化数据存储（MySQL）</w:t>
      </w:r>
    </w:p>
    <w:p w14:paraId="070E73FA">
      <w:pPr>
        <w:pStyle w:val="3"/>
        <w:spacing w:before="260" w:line="360" w:lineRule="auto"/>
        <w:ind w:left="302" w:right="60" w:hanging="23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1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1"/>
          <w:sz w:val="24"/>
          <w:szCs w:val="24"/>
          <w:b/>
          <w:bCs/>
        </w:rPr>
        <w:t>分库分表策略</w:t>
      </w:r>
      <w:r>
        <w:rPr>
          <w:rFonts w:hint="eastAsia" w:ascii="宋体" w:hAnsi="宋体" w:eastAsia="宋体" w:cs="宋体"/>
          <w:b w:val="0"/>
          <w:spacing w:val="1"/>
          <w:sz w:val="24"/>
          <w:szCs w:val="24"/>
        </w:rPr>
        <w:t>：当前采用单库多表，按系统权限、学习成果、学分账户、成果转换、消息反馈和统计支撑划分业务表；后续可对 credit_flow、biz_audit_record、sys_operation_log 按时间归档；</w:t>
      </w:r>
    </w:p>
    <w:p w14:paraId="4FA42C98">
      <w:pPr>
        <w:pStyle w:val="3"/>
        <w:spacing w:before="193" w:line="360" w:lineRule="auto"/>
        <w:ind w:left="305" w:right="108" w:hanging="24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1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1"/>
          <w:sz w:val="24"/>
          <w:szCs w:val="24"/>
          <w:b/>
          <w:bCs/>
        </w:rPr>
        <w:t>数据库备份与读写扩展</w:t>
      </w:r>
      <w:r>
        <w:rPr>
          <w:rFonts w:hint="eastAsia" w:ascii="宋体" w:hAnsi="宋体" w:eastAsia="宋体" w:cs="宋体"/>
          <w:b w:val="0"/>
          <w:spacing w:val="1"/>
          <w:sz w:val="24"/>
          <w:szCs w:val="24"/>
        </w:rPr>
        <w:t>：演示环境使用 mysql:8.0.33 单实例；生产环境建议补充备份策略、只读副本和容量监控，保障账户流水查询和统计报表的读取能力。</w:t>
      </w:r>
    </w:p>
    <w:p w14:paraId="4F1AA23C">
      <w:pPr>
        <w:pStyle w:val="3"/>
        <w:spacing w:before="146" w:line="360" w:lineRule="auto"/>
        <w:jc w:val="both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6.2.2 非结构化数据存储（TOS）</w:t>
      </w:r>
    </w:p>
    <w:p w14:paraId="30D99ABE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-2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-2"/>
          <w:sz w:val="24"/>
          <w:szCs w:val="24"/>
          <w:b/>
          <w:bCs/>
        </w:rPr>
        <w:t>文件分类</w:t>
      </w:r>
      <w:r>
        <w:rPr>
          <w:rFonts w:hint="eastAsia" w:ascii="宋体" w:hAnsi="宋体" w:eastAsia="宋体" w:cs="宋体"/>
          <w:b w:val="0"/>
          <w:spacing w:val="-2"/>
          <w:sz w:val="24"/>
          <w:szCs w:val="24"/>
        </w:rPr>
        <w:t>：按 biz_type 和 object_key 管理证书材料、头像、批量导入文件和审核附件，sys_file 保存原始文件名、内容类型、扩展名、大小、业务归属和上传人；</w:t>
      </w:r>
    </w:p>
    <w:p w14:paraId="16315D4C">
      <w:pPr>
        <w:pStyle w:val="3"/>
        <w:spacing w:before="192" w:line="360" w:lineRule="auto"/>
        <w:ind w:left="310" w:right="214" w:hanging="245"/>
        <w:jc w:val="both"/>
        <w:rPr>
          <w:rFonts w:hint="eastAsia" w:ascii="宋体" w:hAnsi="宋体" w:eastAsia="宋体" w:cs="宋体"/>
          <w:spacing w:val="1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z w:val="24"/>
          <w:szCs w:val="24"/>
          <w:b/>
          <w:bCs/>
        </w:rPr>
        <w:t>访问控制</w:t>
      </w:r>
      <w:r>
        <w:rPr>
          <w:rFonts w:hint="eastAsia" w:ascii="宋体" w:hAnsi="宋体" w:eastAsia="宋体" w:cs="宋体"/>
          <w:b w:val="0"/>
          <w:sz w:val="24"/>
          <w:szCs w:val="24"/>
        </w:rPr>
        <w:t>：文件上传由后端读取 TOS 凭据并写入对象存储，前端只接收文件记录和访问地址，不接触 TOS 凭据或 AccessKey；</w:t>
      </w:r>
    </w:p>
    <w:p w14:paraId="57C8DA2E">
      <w:pPr>
        <w:pStyle w:val="3"/>
        <w:spacing w:before="321" w:line="360" w:lineRule="auto"/>
        <w:ind w:left="317" w:hanging="233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pacing w:val="-1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spacing w:val="-1"/>
          <w:sz w:val="24"/>
          <w:szCs w:val="24"/>
          <w:b/>
          <w:bCs/>
        </w:rPr>
        <w:t>文件记录</w:t>
      </w:r>
      <w:r>
        <w:rPr>
          <w:rFonts w:hint="eastAsia" w:ascii="宋体" w:hAnsi="宋体" w:eastAsia="宋体" w:cs="宋体"/>
          <w:b w:val="0"/>
          <w:spacing w:val="-1"/>
          <w:sz w:val="24"/>
          <w:szCs w:val="24"/>
        </w:rPr>
        <w:t>：sys_file.file_md5 为预留字段，当前记录重点包括对象键、文件 URL、文件类型、扩展名、大小和业务归属，后续可加入查重、生命周期规则和低频归档。</w:t>
      </w:r>
    </w:p>
    <w:p w14:paraId="1D5E1128">
      <w:pPr>
        <w:spacing w:line="360" w:lineRule="auto"/>
        <w:jc w:val="both"/>
        <w:rPr>
          <w:rFonts w:ascii="Arial"/>
          <w:sz w:val="21"/>
        </w:rPr>
      </w:pPr>
      <w:r/>
    </w:p>
    <w:p w14:paraId="0C40D977">
      <w:pPr>
        <w:pStyle w:val="3"/>
        <w:spacing w:before="146" w:line="360" w:lineRule="auto"/>
        <w:ind w:left="18"/>
        <w:jc w:val="both"/>
        <w:outlineLvl w:val="0"/>
        <w:rPr>
          <w:b/>
          <w:bCs/>
          <w:sz w:val="34"/>
          <w:szCs w:val="34"/>
        </w:rPr>
      </w:pPr>
      <w:r>
        <w:rPr>
          <w:b/>
          <w:bCs/>
          <w:spacing w:val="-2"/>
          <w:sz w:val="34"/>
          <w:szCs w:val="34"/>
        </w:rPr>
        <w:t>6.2.3 缓存数据存储（Redis）</w:t>
      </w:r>
    </w:p>
    <w:p w14:paraId="2CB5657E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◦ 数据分类与过期策略：</w:t>
      </w:r>
    </w:p>
    <w:p w14:paraId="7B2BF33D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• 登录安全数据：登录失败计数使用分钟级过期时间，避免长期占用内存；</w:t>
      </w:r>
    </w:p>
    <w:p w14:paraId="061FC449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• 字典数据：字典项采用较长过期时间，管理端更新后可主动清理缓存；</w:t>
      </w:r>
    </w:p>
    <w:p w14:paraId="39A0C772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• 后续优化：菜单缓存、热点成果缓存、导入临时数据和统计临时结果可按短周期 key 管理；</w:t>
      </w:r>
    </w:p>
    <w:p w14:paraId="2E30011F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◦ 数据结构：当前采用 String 保存字典缓存和登录失败计数，Hash、List/Set 可作为后续扩展。</w:t>
      </w:r>
    </w:p>
    <w:p w14:paraId="297CA9A2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/>
    </w:p>
    <w:p w14:paraId="52DCFD4A">
      <w:pPr>
        <w:pStyle w:val="3"/>
        <w:spacing w:before="155" w:line="360" w:lineRule="auto"/>
        <w:ind w:left="19"/>
        <w:jc w:val="both"/>
        <w:outlineLvl w:val="0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6.3 数据流转设计</w:t>
      </w:r>
    </w:p>
    <w:p w14:paraId="4CCB4B23">
      <w:pPr>
        <w:spacing w:before="118" w:line="360" w:lineRule="auto"/>
        <w:jc w:val="both"/>
      </w:pPr>
      <w:r/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none" w:color="auto" w:sz="0" w:space="0"/>
          <w:insideV w:val="none" w:color="auto" w:sz="0" w:space="0"/>
        </w:tblBorders>
        <w:shd w:val="clear" w:color="auto" w:fill="F5F6F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5"/>
      </w:tblGrid>
      <w:tr w14:paraId="518DFE14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none" w:color="auto" w:sz="0" w:space="0"/>
            <w:insideV w:val="none" w:color="auto" w:sz="0" w:space="0"/>
          </w:tblBorders>
          <w:shd w:val="clear" w:color="auto" w:fill="F5F6F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5" w:hRule="atLeast"/>
        </w:trPr>
        <w:tc>
          <w:tcPr>
            <w:tcW w:w="10685" w:type="dxa"/>
            <w:shd w:val="clear" w:color="auto" w:fill="F5F6F7"/>
            <w:vAlign w:val="top"/>
          </w:tcPr>
          <w:p w14:paraId="0C4B31CF">
            <w:pPr>
              <w:pStyle w:val="15"/>
              <w:spacing w:before="26" w:line="360" w:lineRule="auto"/>
              <w:ind w:left="278"/>
              <w:jc w:val="both"/>
              <w:rPr>
                <w:rFonts w:hint="eastAsia" w:ascii="宋体" w:hAnsi="宋体" w:eastAsia="宋体" w:cs="宋体"/>
                <w:snapToGrid w:val="0"/>
                <w:spacing w:val="-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pacing w:val="-2"/>
                <w:sz w:val="24"/>
                <w:szCs w:val="24"/>
                <w:lang w:val="en-US" w:eastAsia="zh-CN" w:bidi="ar-SA"/>
              </w:rPr>
              <w:t>flowchart LR</w:t>
              <w:br/>
              <w:t>A[学习者端/管理端] --&gt; B[Vue3 前端]</w:t>
              <w:br/>
              <w:t>B --&gt; C[Nginx 静态资源与 /api 代理]</w:t>
              <w:br/>
              <w:t>C --&gt; D[Spring Boot API]</w:t>
              <w:br/>
              <w:t>D --&gt; E[认证、账户、转换、规则、消息等服务]</w:t>
              <w:br/>
              <w:t>E --&gt; F[MySQL: 用户、成果、申请、账户、流水、规则、验证码、审计]</w:t>
              <w:br/>
              <w:t>E --&gt; G[Redis: 字典缓存、登录失败计数]</w:t>
              <w:br/>
              <w:t>E --&gt; H[TOS: 证书材料、头像、业务附件]</w:t>
              <w:br/>
              <w:t>F --&gt; I[审核结果、账户余额、转换交易]</w:t>
              <w:br/>
              <w:t>G --&gt; D</w:t>
              <w:br/>
              <w:t>H --&gt; D</w:t>
            </w:r>
          </w:p>
        </w:tc>
      </w:tr>
    </w:tbl>
    <w:p w14:paraId="6C3E1C4B">
      <w:pPr>
        <w:spacing w:line="20" w:lineRule="exact" w:before="0" w:after="0"/>
        <w:jc w:val="both"/>
        <w:rPr>
          <w:sz w:val="2"/>
          <w:szCs w:val="2"/>
        </w:rPr>
        <w:sectPr>
          <w:pgSz w:w="11906" w:h="16838"/>
          <w:pgMar w:top="1246" w:right="287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231651F3">
      <w:pPr>
        <w:pStyle w:val="3"/>
        <w:spacing w:before="181" w:line="360" w:lineRule="auto"/>
        <w:ind w:left="20"/>
        <w:jc w:val="both"/>
        <w:outlineLvl w:val="0"/>
        <w:rPr>
          <w:b/>
          <w:bCs/>
          <w:spacing w:val="-7"/>
          <w:sz w:val="36"/>
          <w:szCs w:val="36"/>
        </w:rPr>
      </w:pPr>
      <w:r>
        <w:rPr>
          <w:b/>
          <w:bCs/>
          <w:spacing w:val="-4"/>
          <w:sz w:val="42"/>
          <w:szCs w:val="42"/>
        </w:rPr>
        <w:t>7. 部署架构设计</w:t>
      </w:r>
    </w:p>
    <w:p w14:paraId="0C37396E">
      <w:pPr>
        <w:pStyle w:val="3"/>
        <w:spacing w:before="68" w:line="360" w:lineRule="auto"/>
        <w:ind w:left="17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7"/>
          <w:sz w:val="36"/>
          <w:szCs w:val="36"/>
        </w:rPr>
        <w:t>7.1 部署拓扑图（文字描述）</w:t>
      </w:r>
    </w:p>
    <w:p w14:paraId="26FFB0AB">
      <w:pPr>
        <w:spacing w:before="123" w:line="360" w:lineRule="auto"/>
        <w:jc w:val="both"/>
      </w:pPr>
      <w:r/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none" w:color="auto" w:sz="0" w:space="0"/>
          <w:insideV w:val="none" w:color="auto" w:sz="0" w:space="0"/>
        </w:tblBorders>
        <w:shd w:val="clear" w:color="auto" w:fill="F5F6F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5"/>
      </w:tblGrid>
      <w:tr w14:paraId="1895C5CF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none" w:color="auto" w:sz="0" w:space="0"/>
            <w:insideV w:val="none" w:color="auto" w:sz="0" w:space="0"/>
          </w:tblBorders>
          <w:shd w:val="clear" w:color="auto" w:fill="F5F6F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5" w:hRule="atLeast"/>
        </w:trPr>
        <w:tc>
          <w:tcPr>
            <w:tcW w:w="10685" w:type="dxa"/>
            <w:shd w:val="clear" w:color="auto" w:fill="F5F6F7"/>
            <w:vAlign w:val="top"/>
          </w:tcPr>
          <w:p w14:paraId="578C07CC">
            <w:pPr>
              <w:pStyle w:val="15"/>
              <w:spacing w:before="268" w:line="360" w:lineRule="auto"/>
              <w:ind w:left="212" w:right="307" w:firstLine="13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4"/>
              </w:rPr>
              <w:t>[浏览器] -&gt; [Nginx: 静态资源托管、/api 反向代理、安全响应头]</w:t>
              <w:br/>
              <w:t>[Nginx] -&gt; [Spring Boot: Auth/Cert/Credit/Conversion/Admin API]</w:t>
              <w:br/>
              <w:t>[Spring Boot] -&gt; [MySQL: 用户、角色、成果、申请、账户、流水、规则、验证码、审计]</w:t>
              <w:br/>
              <w:t>[Spring Boot] -&gt; [Redis: 字典缓存、登录失败计数]</w:t>
              <w:br/>
              <w:t>[Spring Boot] -&gt; [TOS: 材料、头像、附件对象]</w:t>
              <w:br/>
              <w:t>[Jenkins] -&gt; [Maven/Node 构建] -&gt; [Docker Compose 演示部署]</w:t>
              <w:br/>
              <w:t>[Docker Compose] -&gt; [数据卷、端口映射、健康检查]</w:t>
            </w:r>
          </w:p>
        </w:tc>
      </w:tr>
    </w:tbl>
    <w:p w14:paraId="43FB208A">
      <w:pPr>
        <w:spacing w:line="360" w:lineRule="auto"/>
        <w:jc w:val="both"/>
        <w:rPr>
          <w:rFonts w:ascii="Arial"/>
          <w:sz w:val="21"/>
        </w:rPr>
      </w:pPr>
      <w:r/>
    </w:p>
    <w:p w14:paraId="337D6A32">
      <w:pPr>
        <w:pStyle w:val="3"/>
        <w:spacing w:before="155" w:line="360" w:lineRule="auto"/>
        <w:ind w:left="17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7.2 环境配置差异</w:t>
      </w:r>
    </w:p>
    <w:p w14:paraId="6C8FD6DF">
      <w:pPr>
        <w:spacing w:before="114" w:line="360" w:lineRule="auto"/>
        <w:jc w:val="both"/>
      </w:pPr>
      <w:r/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2666"/>
        <w:gridCol w:w="2667"/>
        <w:gridCol w:w="2676"/>
      </w:tblGrid>
      <w:tr w14:paraId="4C9F46B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2676" w:type="dxa"/>
            <w:vAlign w:val="top"/>
          </w:tcPr>
          <w:p w14:paraId="24B38419">
            <w:pPr>
              <w:pStyle w:val="15"/>
              <w:spacing w:before="192" w:line="360" w:lineRule="auto"/>
              <w:ind w:left="20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环境类型</w:t>
            </w:r>
          </w:p>
        </w:tc>
        <w:tc>
          <w:tcPr>
            <w:tcW w:w="2666" w:type="dxa"/>
            <w:vAlign w:val="top"/>
          </w:tcPr>
          <w:p w14:paraId="31D7F574">
            <w:pPr>
              <w:pStyle w:val="15"/>
              <w:spacing w:before="194" w:line="360" w:lineRule="auto"/>
              <w:ind w:left="203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服务器配置</w:t>
            </w:r>
          </w:p>
        </w:tc>
        <w:tc>
          <w:tcPr>
            <w:tcW w:w="2667" w:type="dxa"/>
            <w:vAlign w:val="top"/>
          </w:tcPr>
          <w:p w14:paraId="5F198560">
            <w:pPr>
              <w:pStyle w:val="15"/>
              <w:spacing w:before="192" w:line="360" w:lineRule="auto"/>
              <w:ind w:left="20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核心组件部署情况</w:t>
            </w:r>
          </w:p>
        </w:tc>
        <w:tc>
          <w:tcPr>
            <w:tcW w:w="2676" w:type="dxa"/>
            <w:vAlign w:val="top"/>
          </w:tcPr>
          <w:p w14:paraId="114FFCBD">
            <w:pPr>
              <w:pStyle w:val="15"/>
              <w:spacing w:before="191" w:line="360" w:lineRule="auto"/>
              <w:ind w:left="2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用途</w:t>
            </w:r>
          </w:p>
        </w:tc>
      </w:tr>
      <w:tr w14:paraId="351F9ED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3" w:hRule="atLeast"/>
        </w:trPr>
        <w:tc>
          <w:tcPr>
            <w:tcW w:w="2676" w:type="dxa"/>
            <w:vAlign w:val="top"/>
          </w:tcPr>
          <w:p w14:paraId="77C7BF28">
            <w:pPr>
              <w:pStyle w:val="15"/>
              <w:spacing w:before="182" w:line="360" w:lineRule="auto"/>
              <w:ind w:left="2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开发环境</w:t>
            </w:r>
          </w:p>
        </w:tc>
        <w:tc>
          <w:tcPr>
            <w:tcW w:w="2666" w:type="dxa"/>
            <w:vAlign w:val="top"/>
          </w:tcPr>
          <w:p w14:paraId="0E3CE2A8">
            <w:pPr>
              <w:pStyle w:val="15"/>
              <w:spacing w:before="181" w:line="360" w:lineRule="auto"/>
              <w:ind w:left="206" w:right="199" w:hanging="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本机 JDK/Node/MySQL/Redis</w:t>
            </w:r>
          </w:p>
        </w:tc>
        <w:tc>
          <w:tcPr>
            <w:tcW w:w="2667" w:type="dxa"/>
            <w:vAlign w:val="top"/>
          </w:tcPr>
          <w:p w14:paraId="4E75DE28">
            <w:pPr>
              <w:pStyle w:val="15"/>
              <w:spacing w:before="179" w:line="360" w:lineRule="auto"/>
              <w:ind w:left="207" w:right="156" w:firstLine="5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后端服务、前端 Vite、MySQL、Redis、TOS 配置</w:t>
            </w:r>
          </w:p>
        </w:tc>
        <w:tc>
          <w:tcPr>
            <w:tcW w:w="2676" w:type="dxa"/>
            <w:vAlign w:val="top"/>
          </w:tcPr>
          <w:p w14:paraId="4DAAE5EF">
            <w:pPr>
              <w:pStyle w:val="15"/>
              <w:spacing w:before="184" w:line="360" w:lineRule="auto"/>
              <w:ind w:left="214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本地开发与接口联调</w:t>
            </w:r>
          </w:p>
        </w:tc>
      </w:tr>
      <w:tr w14:paraId="31A39AB1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5" w:hRule="atLeast"/>
        </w:trPr>
        <w:tc>
          <w:tcPr>
            <w:tcW w:w="2676" w:type="dxa"/>
            <w:vAlign w:val="top"/>
          </w:tcPr>
          <w:p w14:paraId="1FCA93E9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集成测试环境</w:t>
            </w:r>
          </w:p>
        </w:tc>
        <w:tc>
          <w:tcPr>
            <w:tcW w:w="2666" w:type="dxa"/>
            <w:vAlign w:val="top"/>
          </w:tcPr>
          <w:p w14:paraId="6AE94273">
            <w:pPr>
              <w:pStyle w:val="15"/>
              <w:spacing w:before="180" w:line="360" w:lineRule="auto"/>
              <w:ind w:left="226" w:right="304" w:hanging="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Docker Compose</w:t>
            </w:r>
          </w:p>
        </w:tc>
        <w:tc>
          <w:tcPr>
            <w:tcW w:w="2667" w:type="dxa"/>
            <w:vAlign w:val="top"/>
          </w:tcPr>
          <w:p w14:paraId="23DB5CCE">
            <w:pPr>
              <w:pStyle w:val="15"/>
              <w:spacing w:before="176" w:line="360" w:lineRule="auto"/>
              <w:ind w:left="208" w:right="170" w:firstLine="4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MySQL、Redis、后端、Nginx、Jenkins</w:t>
            </w:r>
          </w:p>
        </w:tc>
        <w:tc>
          <w:tcPr>
            <w:tcW w:w="2676" w:type="dxa"/>
            <w:vAlign w:val="top"/>
          </w:tcPr>
          <w:p w14:paraId="3885463E">
            <w:pPr>
              <w:pStyle w:val="15"/>
              <w:spacing w:before="182" w:line="360" w:lineRule="auto"/>
              <w:ind w:left="2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自动构建、接口回归和演示前验证</w:t>
            </w:r>
          </w:p>
        </w:tc>
      </w:tr>
      <w:tr w14:paraId="351F9ED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3" w:hRule="atLeast"/>
        </w:trPr>
        <w:tc>
          <w:tcPr>
            <w:tcW w:w="2676" w:type="dxa"/>
            <w:vAlign w:val="top"/>
          </w:tcPr>
          <w:p w14:paraId="77C7BF28">
            <w:pPr>
              <w:pStyle w:val="15"/>
              <w:spacing w:before="182" w:line="360" w:lineRule="auto"/>
              <w:ind w:left="2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演示环境</w:t>
            </w:r>
          </w:p>
        </w:tc>
        <w:tc>
          <w:tcPr>
            <w:tcW w:w="2666" w:type="dxa"/>
            <w:vAlign w:val="top"/>
          </w:tcPr>
          <w:p w14:paraId="0E3CE2A8">
            <w:pPr>
              <w:pStyle w:val="15"/>
              <w:spacing w:before="181" w:line="360" w:lineRule="auto"/>
              <w:ind w:left="206" w:right="199" w:hanging="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Docker Compose</w:t>
            </w:r>
          </w:p>
        </w:tc>
        <w:tc>
          <w:tcPr>
            <w:tcW w:w="2667" w:type="dxa"/>
            <w:vAlign w:val="top"/>
          </w:tcPr>
          <w:p w14:paraId="4E75DE28">
            <w:pPr>
              <w:pStyle w:val="15"/>
              <w:spacing w:before="179" w:line="360" w:lineRule="auto"/>
              <w:ind w:left="207" w:right="156" w:firstLine="5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Nginx、后端 Jar、MySQL、Redis、TOS、Jenkins</w:t>
            </w:r>
          </w:p>
        </w:tc>
        <w:tc>
          <w:tcPr>
            <w:tcW w:w="2676" w:type="dxa"/>
            <w:vAlign w:val="top"/>
          </w:tcPr>
          <w:p w14:paraId="4DAAE5EF">
            <w:pPr>
              <w:pStyle w:val="15"/>
              <w:spacing w:before="184" w:line="360" w:lineRule="auto"/>
              <w:ind w:left="214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课堂演示、功能验收和证据留存</w:t>
            </w:r>
          </w:p>
        </w:tc>
      </w:tr>
      <w:tr w14:paraId="351F9ED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3" w:hRule="atLeast"/>
        </w:trPr>
        <w:tc>
          <w:tcPr>
            <w:tcW w:w="2676" w:type="dxa"/>
            <w:vAlign w:val="top"/>
          </w:tcPr>
          <w:p w14:paraId="77C7BF28">
            <w:pPr>
              <w:pStyle w:val="15"/>
              <w:spacing w:before="182" w:line="360" w:lineRule="auto"/>
              <w:ind w:left="2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生产建议环境</w:t>
            </w:r>
          </w:p>
        </w:tc>
        <w:tc>
          <w:tcPr>
            <w:tcW w:w="2666" w:type="dxa"/>
            <w:vAlign w:val="top"/>
          </w:tcPr>
          <w:p w14:paraId="0E3CE2A8">
            <w:pPr>
              <w:pStyle w:val="15"/>
              <w:spacing w:before="181" w:line="360" w:lineRule="auto"/>
              <w:ind w:left="206" w:right="199" w:hanging="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云服务器或内网服务器</w:t>
            </w:r>
          </w:p>
        </w:tc>
        <w:tc>
          <w:tcPr>
            <w:tcW w:w="2667" w:type="dxa"/>
            <w:vAlign w:val="top"/>
          </w:tcPr>
          <w:p w14:paraId="4E75DE28">
            <w:pPr>
              <w:pStyle w:val="15"/>
              <w:spacing w:before="179" w:line="360" w:lineRule="auto"/>
              <w:ind w:left="207" w:right="156" w:firstLine="5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7"/>
              </w:rPr>
              <w:t>Nginx、多应用节点、MySQL、Redis、TOS、监控告警</w:t>
            </w:r>
          </w:p>
        </w:tc>
        <w:tc>
          <w:tcPr>
            <w:tcW w:w="2676" w:type="dxa"/>
            <w:vAlign w:val="top"/>
          </w:tcPr>
          <w:p w14:paraId="4DAAE5EF">
            <w:pPr>
              <w:pStyle w:val="15"/>
              <w:spacing w:before="184" w:line="360" w:lineRule="auto"/>
              <w:ind w:left="214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正式运行前规划</w:t>
            </w:r>
          </w:p>
        </w:tc>
      </w:tr>
    </w:tbl>
    <w:p w14:paraId="3D9D34E3">
      <w:pPr>
        <w:spacing w:line="20" w:lineRule="exact" w:before="0" w:after="0"/>
        <w:jc w:val="both"/>
        <w:rPr>
          <w:rFonts w:ascii="Arial" w:hAnsi="Arial" w:eastAsia="Arial" w:cs="Arial"/>
          <w:sz w:val="2"/>
          <w:szCs w:val="2"/>
        </w:rPr>
        <w:sectPr>
          <w:pgSz w:w="11906" w:h="16838"/>
          <w:pgMar w:top="1234" w:right="600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1F03A6F5">
      <w:pPr>
        <w:spacing w:line="360" w:lineRule="auto"/>
        <w:jc w:val="both"/>
        <w:rPr>
          <w:rFonts w:ascii="Arial"/>
          <w:sz w:val="21"/>
        </w:rPr>
      </w:pPr>
      <w:r/>
    </w:p>
    <w:p w14:paraId="5F0AEED5">
      <w:pPr>
        <w:pStyle w:val="3"/>
        <w:spacing w:before="155" w:line="360" w:lineRule="auto"/>
        <w:ind w:left="17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7"/>
          <w:sz w:val="36"/>
          <w:szCs w:val="36"/>
        </w:rPr>
        <w:t>7.3 部署流程</w:t>
      </w:r>
    </w:p>
    <w:p w14:paraId="6D2C526E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1. 基础设施准备：准备 JDK 17、Maven、Node.js、Docker、Docker Compose、MySQL、Redis、Nginx、Jenkins 和 TOS 存储桶；</w:t>
      </w:r>
    </w:p>
    <w:p w14:paraId="5ACE9F20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2. 环境初始化：配置 MYSQL_PASSWORD、REDIS_PASSWORD、JWT_SECRET、DATA_CRYPTO_SECRET、ADMIN_PASSWORD、TOS_ACCESS_KEY_FILE 等环境变量；</w:t>
      </w:r>
    </w:p>
    <w:p w14:paraId="33239D11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3. 组件部署：</w:t>
      </w:r>
    </w:p>
    <w:p w14:paraId="5ECEB3A6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后端：执行 mvn -DskipTests package 生成 Spring Boot Jar，通过 Dockerfile 构建镜像并接入 /api 路由；</w:t>
      </w:r>
    </w:p>
    <w:p w14:paraId="15D10DEB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前端：执行 npm run build 生成 Vite 静态资源，部署至 Nginx 并配置反向代理；</w:t>
      </w:r>
    </w:p>
    <w:p w14:paraId="5EFF59CB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数据库：使用 Spring SQL 初始化 schema.sql 等结构，Redis 开启密码和持久化，TOS 配置 bucket、endpoint 与前缀；</w:t>
      </w:r>
    </w:p>
    <w:p w14:paraId="74C99301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监控：通过 Actuator 健康检查、Jenkins 构建记录和 QA 脚本输出运行证据；</w:t>
      </w:r>
    </w:p>
    <w:p w14:paraId="21C4ACFD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4. 测试验证：访问学习者端和管理端，验证注册登录、认证提交、审核入账、账户流水、规则评审和转换审核；</w:t>
      </w:r>
    </w:p>
    <w:p w14:paraId="0BBB4DC5">
      <w:pPr>
        <w:pStyle w:val="3"/>
        <w:spacing w:before="200" w:line="360" w:lineRule="auto"/>
        <w:ind w:left="719" w:right="7" w:hanging="225"/>
        <w:jc w:val="both"/>
        <w:rPr>
          <w:rFonts w:ascii="Arial"/>
          <w:sz w:val="21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5. 上线准备：生产环境建议配置 HTTPS、CORS 白名单、安全响应头、备份计划、Redis 高可用和独立监控告警。</w:t>
      </w:r>
    </w:p>
    <w:p w14:paraId="2CFD72D2">
      <w:pPr>
        <w:pStyle w:val="3"/>
        <w:spacing w:before="180" w:line="360" w:lineRule="auto"/>
        <w:ind w:left="19"/>
        <w:jc w:val="both"/>
        <w:rPr>
          <w:rFonts w:ascii="Arial"/>
          <w:b/>
          <w:bCs/>
          <w:sz w:val="21"/>
        </w:rPr>
      </w:pPr>
      <w:r>
        <w:rPr>
          <w:b/>
          <w:bCs/>
          <w:spacing w:val="-3"/>
          <w:sz w:val="42"/>
          <w:szCs w:val="42"/>
        </w:rPr>
        <w:t>8. 设计约束与风险</w:t>
      </w:r>
    </w:p>
    <w:p w14:paraId="7A69E52F">
      <w:pPr>
        <w:pStyle w:val="3"/>
        <w:spacing w:before="155" w:line="360" w:lineRule="auto"/>
        <w:ind w:left="16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8.1 设计约束</w:t>
      </w:r>
    </w:p>
    <w:p w14:paraId="044E8EF2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◦ 功能约束：</w:t>
      </w:r>
    </w:p>
    <w:p w14:paraId="1BAD6BDC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不支持外部平台实时核验：当前认证材料以平台内人工审核为主，后续再对接教育、职业资格或院校接口；</w:t>
      </w:r>
    </w:p>
    <w:p w14:paraId="0E96DDC3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不处理资金结算：平台管理学分账户和成果转换，不涉及现金支付、财务结算或跨机构清分；</w:t>
      </w:r>
    </w:p>
    <w:p w14:paraId="4583E304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◦ 技术约束：</w:t>
      </w:r>
    </w:p>
    <w:p w14:paraId="1B079DDE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依赖 TOS 服务：材料和头像文件依赖对象存储，若凭据或网络异常会影响上传下载；</w:t>
      </w:r>
    </w:p>
    <w:p w14:paraId="00EDA5D5">
      <w:pPr>
        <w:pStyle w:val="3"/>
        <w:spacing w:before="200" w:line="360" w:lineRule="auto"/>
        <w:ind w:left="719" w:right="7" w:hanging="225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en-US" w:bidi="ar-SA"/>
        </w:rPr>
        <w:t>• 运行环境约束：演示环境使用 Docker Compose 单机编排；生产环境需独立规划 HTTPS、数据库备份、Redis 高可用、多应用节点和监控告警。</w:t>
      </w:r>
    </w:p>
    <w:p w14:paraId="1FDA9C69">
      <w:pPr>
        <w:pStyle w:val="3"/>
        <w:spacing w:before="0" w:line="20" w:lineRule="exact" w:after="0"/>
        <w:ind w:left="719" w:right="7" w:hanging="225"/>
        <w:jc w:val="both"/>
        <w:rPr>
          <w:rFonts w:hint="eastAsia" w:ascii="宋体" w:hAnsi="宋体" w:eastAsia="宋体" w:cs="宋体"/>
          <w:snapToGrid w:val="0"/>
          <w:sz w:val="2"/>
          <w:szCs w:val="2"/>
          <w:lang w:val="en-US" w:eastAsia="en-US" w:bidi="ar-SA"/>
        </w:rPr>
        <w:sectPr>
          <w:pgSz w:w="11906" w:h="16838"/>
          <w:pgMar w:top="1200" w:right="287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3D1348FB">
      <w:pPr>
        <w:pStyle w:val="3"/>
        <w:spacing w:before="68" w:line="360" w:lineRule="auto"/>
        <w:ind w:left="16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8.2 风险与应对</w:t>
      </w:r>
    </w:p>
    <w:p w14:paraId="24178652">
      <w:pPr>
        <w:spacing w:before="111" w:line="360" w:lineRule="auto"/>
        <w:jc w:val="both"/>
      </w:pPr>
      <w:r/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65"/>
        <w:gridCol w:w="3555"/>
        <w:gridCol w:w="3565"/>
      </w:tblGrid>
      <w:tr w14:paraId="7827D3F6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3565" w:type="dxa"/>
            <w:vAlign w:val="top"/>
          </w:tcPr>
          <w:p w14:paraId="6C48BEAB">
            <w:pPr>
              <w:pStyle w:val="15"/>
              <w:spacing w:before="192" w:line="360" w:lineRule="auto"/>
              <w:ind w:left="209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风险类型</w:t>
            </w:r>
          </w:p>
        </w:tc>
        <w:tc>
          <w:tcPr>
            <w:tcW w:w="3555" w:type="dxa"/>
            <w:vAlign w:val="top"/>
          </w:tcPr>
          <w:p w14:paraId="239E6160">
            <w:pPr>
              <w:pStyle w:val="15"/>
              <w:spacing w:before="193" w:line="360" w:lineRule="auto"/>
              <w:ind w:left="206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具体描述</w:t>
            </w:r>
          </w:p>
        </w:tc>
        <w:tc>
          <w:tcPr>
            <w:tcW w:w="3565" w:type="dxa"/>
            <w:vAlign w:val="top"/>
          </w:tcPr>
          <w:p w14:paraId="37807367">
            <w:pPr>
              <w:pStyle w:val="15"/>
              <w:spacing w:before="191" w:line="360" w:lineRule="auto"/>
              <w:ind w:left="21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应对措施</w:t>
            </w:r>
          </w:p>
        </w:tc>
      </w:tr>
      <w:tr w14:paraId="21B5E89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8" w:hRule="atLeast"/>
        </w:trPr>
        <w:tc>
          <w:tcPr>
            <w:tcW w:w="3565" w:type="dxa"/>
            <w:vAlign w:val="top"/>
          </w:tcPr>
          <w:p w14:paraId="39965ACE">
            <w:pPr>
              <w:pStyle w:val="15"/>
              <w:spacing w:before="182" w:line="360" w:lineRule="auto"/>
              <w:ind w:left="206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数据一致性风险</w:t>
            </w:r>
          </w:p>
        </w:tc>
        <w:tc>
          <w:tcPr>
            <w:tcW w:w="3555" w:type="dxa"/>
            <w:vAlign w:val="top"/>
          </w:tcPr>
          <w:p w14:paraId="1E89B609">
            <w:pPr>
              <w:pStyle w:val="15"/>
              <w:spacing w:before="181" w:line="360" w:lineRule="auto"/>
              <w:ind w:left="204" w:right="15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认证入账、转换冻结和扣减涉及 cert_application、learner_outcome、credit_account、credit_flow 等多表写入，异常中断可能造成余额不一致</w:t>
            </w:r>
          </w:p>
        </w:tc>
        <w:tc>
          <w:tcPr>
            <w:tcW w:w="3565" w:type="dxa"/>
            <w:vAlign w:val="top"/>
          </w:tcPr>
          <w:p w14:paraId="29748D27">
            <w:pPr>
              <w:pStyle w:val="15"/>
              <w:spacing w:before="211" w:line="360" w:lineRule="auto"/>
              <w:ind w:left="224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</w:rPr>
              <w:t>关键流程使用事务边界；冻结、解冻和扣减按条件更新学习者成果与账户，写入 credit_flow 和 biz_audit_record 后再返回结果</w:t>
            </w:r>
          </w:p>
        </w:tc>
      </w:tr>
      <w:tr w14:paraId="1519E9B5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3" w:hRule="atLeast"/>
        </w:trPr>
        <w:tc>
          <w:tcPr>
            <w:tcW w:w="3565" w:type="dxa"/>
            <w:vAlign w:val="top"/>
          </w:tcPr>
          <w:p w14:paraId="5036699F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材料存储风险</w:t>
            </w:r>
          </w:p>
        </w:tc>
        <w:tc>
          <w:tcPr>
            <w:tcW w:w="3555" w:type="dxa"/>
            <w:vAlign w:val="top"/>
          </w:tcPr>
          <w:p w14:paraId="6912AE6E">
            <w:pPr>
              <w:pStyle w:val="15"/>
              <w:spacing w:before="183" w:line="360" w:lineRule="auto"/>
              <w:ind w:left="205" w:right="15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TOS 凭据配置错误或网络异常会影响证明材料上传与访问</w:t>
            </w:r>
          </w:p>
        </w:tc>
        <w:tc>
          <w:tcPr>
            <w:tcW w:w="3565" w:type="dxa"/>
            <w:vAlign w:val="top"/>
          </w:tcPr>
          <w:p w14:paraId="57DF99A5">
            <w:pPr>
              <w:pStyle w:val="15"/>
              <w:spacing w:before="210" w:line="360" w:lineRule="auto"/>
              <w:ind w:left="224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</w:rPr>
              <w:t>后端读取 AccessKey 文件并写入对象存储，前端只接收文件记录和访问地址；sys_file 记录 object_key、file_url 和业务归属</w:t>
            </w:r>
          </w:p>
        </w:tc>
      </w:tr>
      <w:tr w14:paraId="4C797696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0" w:hRule="atLeast"/>
        </w:trPr>
        <w:tc>
          <w:tcPr>
            <w:tcW w:w="3565" w:type="dxa"/>
            <w:vAlign w:val="top"/>
          </w:tcPr>
          <w:p w14:paraId="20504F0A">
            <w:pPr>
              <w:pStyle w:val="15"/>
              <w:spacing w:before="181" w:line="360" w:lineRule="auto"/>
              <w:ind w:left="213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权限误配风险</w:t>
            </w:r>
          </w:p>
        </w:tc>
        <w:tc>
          <w:tcPr>
            <w:tcW w:w="3555" w:type="dxa"/>
            <w:vAlign w:val="top"/>
          </w:tcPr>
          <w:p w14:paraId="2AB395D6">
            <w:pPr>
              <w:pStyle w:val="15"/>
              <w:spacing w:before="183" w:line="360" w:lineRule="auto"/>
              <w:ind w:left="207" w:right="196" w:firstLine="8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菜单、API 和角色关系配置不当可能导致学习者、审核员、专家或管理员越权访问</w:t>
            </w:r>
          </w:p>
        </w:tc>
        <w:tc>
          <w:tcPr>
            <w:tcW w:w="3565" w:type="dxa"/>
            <w:vAlign w:val="top"/>
          </w:tcPr>
          <w:p w14:paraId="159F7349">
            <w:pPr>
              <w:pStyle w:val="15"/>
              <w:spacing w:before="210" w:line="360" w:lineRule="auto"/>
              <w:ind w:left="224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</w:rPr>
              <w:t>以 sys_role、sys_menu、sys_api_permission 及关系表为权限数据源，后端继续通过认证过滤链和角色注解限制访问</w:t>
            </w:r>
          </w:p>
        </w:tc>
      </w:tr>
      <w:tr w14:paraId="1E9FF547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8" w:hRule="atLeast"/>
        </w:trPr>
        <w:tc>
          <w:tcPr>
            <w:tcW w:w="3565" w:type="dxa"/>
            <w:tcBorders>
              <w:bottom w:val="nil"/>
            </w:tcBorders>
            <w:vAlign w:val="top"/>
          </w:tcPr>
          <w:p w14:paraId="5B7B14BB">
            <w:pPr>
              <w:pStyle w:val="15"/>
              <w:spacing w:before="182" w:line="360" w:lineRule="auto"/>
              <w:ind w:left="208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缓存单点风险</w:t>
            </w:r>
          </w:p>
        </w:tc>
        <w:tc>
          <w:tcPr>
            <w:tcW w:w="3555" w:type="dxa"/>
            <w:tcBorders>
              <w:bottom w:val="nil"/>
            </w:tcBorders>
            <w:vAlign w:val="top"/>
          </w:tcPr>
          <w:p w14:paraId="59D4519C">
            <w:pPr>
              <w:pStyle w:val="15"/>
              <w:spacing w:before="180" w:line="360" w:lineRule="auto"/>
              <w:ind w:left="204" w:right="157" w:firstLine="2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演示环境 Redis 为单实例，缓存不可用会影响字典项读取性能和登录失败计数</w:t>
            </w:r>
          </w:p>
        </w:tc>
        <w:tc>
          <w:tcPr>
            <w:tcW w:w="3565" w:type="dxa"/>
            <w:tcBorders>
              <w:bottom w:val="nil"/>
            </w:tcBorders>
            <w:vAlign w:val="top"/>
          </w:tcPr>
          <w:p w14:paraId="0D7C625E">
            <w:pPr>
              <w:pStyle w:val="15"/>
              <w:spacing w:before="210" w:line="360" w:lineRule="auto"/>
              <w:ind w:left="224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</w:rPr>
              <w:t>Redis 只作为字典缓存和登录失败计数优化；短信验证码、菜单权限和业务状态仍以 MySQL 记录为准，生产环境建议补充高可用和告警</w:t>
            </w:r>
          </w:p>
        </w:tc>
      </w:tr>
      <w:tr w14:paraId="21B5E89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8" w:hRule="atLeast"/>
        </w:trPr>
        <w:tc>
          <w:tcPr>
            <w:tcW w:w="3565" w:type="dxa"/>
            <w:vAlign w:val="top"/>
          </w:tcPr>
          <w:p w14:paraId="39965ACE">
            <w:pPr>
              <w:pStyle w:val="15"/>
              <w:spacing w:before="182" w:line="360" w:lineRule="auto"/>
              <w:ind w:left="206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部署运维风险</w:t>
            </w:r>
          </w:p>
        </w:tc>
        <w:tc>
          <w:tcPr>
            <w:tcW w:w="3555" w:type="dxa"/>
            <w:vAlign w:val="top"/>
          </w:tcPr>
          <w:p w14:paraId="1E89B609">
            <w:pPr>
              <w:pStyle w:val="15"/>
              <w:spacing w:before="181" w:line="360" w:lineRule="auto"/>
              <w:ind w:left="204" w:right="157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演示环境组件集中在 Docker Compose 中，服务重启、端口冲突或数据卷异常会影响联调</w:t>
            </w:r>
          </w:p>
        </w:tc>
        <w:tc>
          <w:tcPr>
            <w:tcW w:w="3565" w:type="dxa"/>
            <w:vAlign w:val="top"/>
          </w:tcPr>
          <w:p w14:paraId="29748D27">
            <w:pPr>
              <w:pStyle w:val="15"/>
              <w:spacing w:before="211" w:line="360" w:lineRule="auto"/>
              <w:ind w:left="224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</w:rPr>
              <w:t>固定依赖顺序和数据卷；生产环境建议补充 HTTPS、数据库备份、多应用节点、独立监控和恢复演练</w:t>
            </w:r>
          </w:p>
        </w:tc>
      </w:tr>
    </w:tbl>
    <w:p w14:paraId="583941E9">
      <w:pPr>
        <w:spacing w:line="20" w:lineRule="exact" w:before="0" w:after="0"/>
        <w:jc w:val="both"/>
        <w:rPr>
          <w:rFonts w:hint="eastAsia" w:ascii="宋体" w:hAnsi="宋体" w:eastAsia="宋体" w:cs="宋体"/>
          <w:sz w:val="2"/>
          <w:szCs w:val="2"/>
        </w:rPr>
        <w:sectPr>
          <w:pgSz w:w="11906" w:h="16838"/>
          <w:pgMar w:top="1236" w:right="600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1D5807C1">
      <w:pPr>
        <w:spacing w:line="360" w:lineRule="auto"/>
        <w:jc w:val="both"/>
        <w:rPr>
          <w:rFonts w:ascii="Arial"/>
          <w:sz w:val="21"/>
        </w:rPr>
      </w:pPr>
      <w:r/>
    </w:p>
    <w:p w14:paraId="32B9A9D6">
      <w:pPr>
        <w:pStyle w:val="3"/>
        <w:spacing w:before="154" w:line="360" w:lineRule="auto"/>
        <w:ind w:left="16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8.3 后续扩展建议</w:t>
      </w:r>
    </w:p>
    <w:p w14:paraId="041E0C7D">
      <w:pPr>
        <w:pStyle w:val="3"/>
        <w:spacing w:before="266" w:line="360" w:lineRule="auto"/>
        <w:ind w:left="8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◦ 功能扩展：</w:t>
      </w:r>
    </w:p>
    <w:p w14:paraId="7AD9B159">
      <w:pPr>
        <w:pStyle w:val="3"/>
        <w:spacing w:before="202" w:line="360" w:lineRule="auto"/>
        <w:ind w:left="49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• 对接外部学习平台：新增课程完成记录、证书核验和职业资格数据接口，实现自动化佐证；</w:t>
      </w:r>
    </w:p>
    <w:p w14:paraId="650865D5">
      <w:pPr>
        <w:pStyle w:val="3"/>
        <w:spacing w:before="185" w:line="360" w:lineRule="auto"/>
        <w:ind w:left="49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• 增加规则模拟器：在提交转换申请前展示可转换成果、比例、目标学分和扣减影响；</w:t>
      </w:r>
    </w:p>
    <w:p w14:paraId="4E69275E">
      <w:pPr>
        <w:pStyle w:val="3"/>
        <w:spacing w:before="184" w:line="360" w:lineRule="auto"/>
        <w:ind w:left="8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◦ 技术扩展：</w:t>
      </w:r>
    </w:p>
    <w:p w14:paraId="7E5FB5B9">
      <w:pPr>
        <w:pStyle w:val="3"/>
        <w:spacing w:before="198" w:line="360" w:lineRule="auto"/>
        <w:ind w:left="713" w:hanging="219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• 服务拆分：将认证、账户、转换、消息和文件模块拆为独立服务，通过注册中心和网关统一治理；</w:t>
      </w:r>
    </w:p>
    <w:p w14:paraId="5BD7F053">
      <w:pPr>
        <w:pStyle w:val="3"/>
        <w:spacing w:before="185" w:line="360" w:lineRule="auto"/>
        <w:ind w:left="724" w:right="51" w:hanging="230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• 数据分析：引入 Elasticsearch 或数仓，分析成果类型、认证通过率、转换成功率和学习者成长路径；</w:t>
      </w:r>
    </w:p>
    <w:p w14:paraId="0F018734">
      <w:pPr>
        <w:pStyle w:val="3"/>
        <w:spacing w:before="190" w:line="360" w:lineRule="auto"/>
        <w:ind w:left="8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◦ 体验优化：</w:t>
      </w:r>
    </w:p>
    <w:p w14:paraId="12B429F9">
      <w:pPr>
        <w:pStyle w:val="3"/>
        <w:spacing w:before="200" w:line="360" w:lineRule="auto"/>
        <w:ind w:left="49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• 移动端适配：为学习者端增加移动端布局和材料拍照上传流程；</w:t>
      </w:r>
    </w:p>
    <w:p w14:paraId="4483D6DE">
      <w:pPr>
        <w:pStyle w:val="3"/>
        <w:spacing w:before="183" w:line="360" w:lineRule="auto"/>
        <w:ind w:left="721" w:right="137" w:hanging="227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• 个性化推荐：基于已认证成果和目标目录，推荐可申请转换的规则和待补充材料。</w:t>
      </w:r>
    </w:p>
    <w:p w14:paraId="4DCBE868">
      <w:pPr>
        <w:pStyle w:val="3"/>
        <w:spacing w:before="183" w:line="360" w:lineRule="auto"/>
        <w:ind w:left="721" w:right="137" w:hanging="227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/>
    </w:p>
    <w:p w14:paraId="1F60F130">
      <w:pPr>
        <w:pStyle w:val="3"/>
        <w:spacing w:before="183" w:line="360" w:lineRule="auto"/>
        <w:ind w:left="721" w:right="137" w:hanging="227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/>
    </w:p>
    <w:p w14:paraId="3C456494">
      <w:pPr>
        <w:pStyle w:val="3"/>
        <w:spacing w:before="183" w:line="360" w:lineRule="auto"/>
        <w:ind w:left="721" w:right="137" w:hanging="227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/>
    </w:p>
    <w:p w14:paraId="12F1F590">
      <w:pPr>
        <w:pStyle w:val="3"/>
        <w:spacing w:before="183" w:line="360" w:lineRule="auto"/>
        <w:ind w:left="721" w:right="137" w:hanging="227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/>
    </w:p>
    <w:p w14:paraId="71BBBE91">
      <w:pPr>
        <w:pStyle w:val="3"/>
        <w:spacing w:before="183" w:line="360" w:lineRule="auto"/>
        <w:ind w:left="721" w:right="137" w:hanging="227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/>
    </w:p>
    <w:p w14:paraId="1F7249FD">
      <w:pPr>
        <w:pStyle w:val="3"/>
        <w:spacing w:before="183" w:line="360" w:lineRule="auto"/>
        <w:ind w:left="0" w:leftChars="0" w:right="137" w:firstLine="0" w:firstLineChars="0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/>
    </w:p>
    <w:p w14:paraId="4BCA4656">
      <w:pPr>
        <w:pStyle w:val="3"/>
        <w:spacing w:before="181" w:line="360" w:lineRule="auto"/>
        <w:ind w:left="17"/>
        <w:jc w:val="both"/>
        <w:outlineLvl w:val="0"/>
        <w:rPr>
          <w:rFonts w:ascii="Arial"/>
          <w:b/>
          <w:bCs/>
          <w:sz w:val="21"/>
        </w:rPr>
      </w:pPr>
      <w:r>
        <w:rPr>
          <w:b/>
          <w:bCs/>
          <w:spacing w:val="-3"/>
          <w:sz w:val="42"/>
          <w:szCs w:val="42"/>
        </w:rPr>
        <w:t>9. 附录</w:t>
      </w:r>
    </w:p>
    <w:p w14:paraId="56DE598F">
      <w:pPr>
        <w:pStyle w:val="3"/>
        <w:spacing w:before="154" w:line="360" w:lineRule="auto"/>
        <w:ind w:left="15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9.1 术语定义</w:t>
      </w:r>
    </w:p>
    <w:p w14:paraId="373E01A2">
      <w:pPr>
        <w:spacing w:before="116" w:line="360" w:lineRule="auto"/>
        <w:jc w:val="both"/>
      </w:pPr>
      <w:r/>
    </w:p>
    <w:tbl>
      <w:tblPr>
        <w:tblStyle w:val="16"/>
        <w:tblW w:w="8699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49"/>
        <w:gridCol w:w="4350"/>
      </w:tblGrid>
      <w:tr w14:paraId="67739F0C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4349" w:type="dxa"/>
            <w:vAlign w:val="top"/>
          </w:tcPr>
          <w:p w14:paraId="19951470">
            <w:pPr>
              <w:pStyle w:val="15"/>
              <w:spacing w:before="194" w:line="360" w:lineRule="auto"/>
              <w:ind w:left="20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术语</w:t>
            </w:r>
          </w:p>
        </w:tc>
        <w:tc>
          <w:tcPr>
            <w:tcW w:w="4350" w:type="dxa"/>
            <w:vAlign w:val="top"/>
          </w:tcPr>
          <w:p w14:paraId="1CA9C14C">
            <w:pPr>
              <w:pStyle w:val="15"/>
              <w:spacing w:before="192" w:line="360" w:lineRule="auto"/>
              <w:ind w:left="209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定义</w:t>
            </w:r>
          </w:p>
        </w:tc>
      </w:tr>
      <w:tr w14:paraId="612236DD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7" w:hRule="atLeast"/>
        </w:trPr>
        <w:tc>
          <w:tcPr>
            <w:tcW w:w="4349" w:type="dxa"/>
            <w:vAlign w:val="top"/>
          </w:tcPr>
          <w:p w14:paraId="354A18A2">
            <w:pPr>
              <w:pStyle w:val="15"/>
              <w:spacing w:before="186" w:line="360" w:lineRule="auto"/>
              <w:ind w:left="20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学习成果</w:t>
            </w:r>
          </w:p>
        </w:tc>
        <w:tc>
          <w:tcPr>
            <w:tcW w:w="4350" w:type="dxa"/>
            <w:vAlign w:val="top"/>
          </w:tcPr>
          <w:p w14:paraId="74BD4446">
            <w:pPr>
              <w:pStyle w:val="15"/>
              <w:spacing w:before="184" w:line="360" w:lineRule="auto"/>
              <w:ind w:left="207" w:right="238" w:firstLine="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学习者通过课程、培训、证书或实践形成的可认证成果。</w:t>
            </w:r>
          </w:p>
        </w:tc>
      </w:tr>
      <w:tr w14:paraId="31816315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7" w:hRule="atLeast"/>
        </w:trPr>
        <w:tc>
          <w:tcPr>
            <w:tcW w:w="4349" w:type="dxa"/>
            <w:vAlign w:val="top"/>
          </w:tcPr>
          <w:p w14:paraId="76253058">
            <w:pPr>
              <w:pStyle w:val="15"/>
              <w:spacing w:before="190" w:line="360" w:lineRule="auto"/>
              <w:ind w:left="213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学分账户</w:t>
            </w:r>
          </w:p>
        </w:tc>
        <w:tc>
          <w:tcPr>
            <w:tcW w:w="4350" w:type="dxa"/>
            <w:vAlign w:val="top"/>
          </w:tcPr>
          <w:p w14:paraId="1FBB3DCC">
            <w:pPr>
              <w:pStyle w:val="15"/>
              <w:spacing w:before="185" w:line="360" w:lineRule="auto"/>
              <w:ind w:left="206" w:right="238" w:firstLine="3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记录学习者总学分、可用学分、冻结学分和累计变动的账户实体。</w:t>
            </w:r>
          </w:p>
        </w:tc>
      </w:tr>
      <w:tr w14:paraId="7D9B986D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4349" w:type="dxa"/>
            <w:vAlign w:val="top"/>
          </w:tcPr>
          <w:p w14:paraId="3452A2C8">
            <w:pPr>
              <w:pStyle w:val="15"/>
              <w:spacing w:before="193" w:line="360" w:lineRule="auto"/>
              <w:ind w:left="213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成果转换</w:t>
            </w:r>
          </w:p>
        </w:tc>
        <w:tc>
          <w:tcPr>
            <w:tcW w:w="4350" w:type="dxa"/>
            <w:vAlign w:val="top"/>
          </w:tcPr>
          <w:p w14:paraId="03B93AD4">
            <w:pPr>
              <w:pStyle w:val="15"/>
              <w:spacing w:before="194" w:line="360" w:lineRule="auto"/>
              <w:ind w:left="233" w:right="199" w:hanging="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5"/>
              </w:rPr>
              <w:t>依据转换规则将源成果学分折算为目标成果学分的业务过程。</w:t>
            </w:r>
          </w:p>
        </w:tc>
      </w:tr>
      <w:tr w14:paraId="32A915C1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4349" w:type="dxa"/>
            <w:vAlign w:val="top"/>
          </w:tcPr>
          <w:p w14:paraId="2F474B46">
            <w:pPr>
              <w:pStyle w:val="15"/>
              <w:spacing w:before="198" w:line="360" w:lineRule="auto"/>
              <w:ind w:left="2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TOS</w:t>
            </w:r>
          </w:p>
        </w:tc>
        <w:tc>
          <w:tcPr>
            <w:tcW w:w="4350" w:type="dxa"/>
            <w:vAlign w:val="top"/>
          </w:tcPr>
          <w:p w14:paraId="2FE0EF92">
            <w:pPr>
              <w:pStyle w:val="15"/>
              <w:spacing w:before="199" w:line="360" w:lineRule="auto"/>
              <w:ind w:left="207" w:right="238" w:firstLine="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火山引擎对象存储服务，用于保存证书材料、头像和业务附件。</w:t>
            </w:r>
          </w:p>
        </w:tc>
      </w:tr>
    </w:tbl>
    <w:p w14:paraId="5F2860AA">
      <w:pPr>
        <w:spacing w:line="360" w:lineRule="auto"/>
        <w:jc w:val="both"/>
        <w:rPr>
          <w:rFonts w:ascii="Arial"/>
          <w:sz w:val="21"/>
        </w:rPr>
      </w:pPr>
      <w:r/>
    </w:p>
    <w:p w14:paraId="29743504">
      <w:pPr>
        <w:pStyle w:val="3"/>
        <w:spacing w:before="234" w:line="360" w:lineRule="auto"/>
        <w:ind w:left="15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9.2 参考资料</w:t>
      </w:r>
    </w:p>
    <w:p w14:paraId="71671D0A">
      <w:pPr>
        <w:pStyle w:val="3"/>
        <w:spacing w:before="269" w:line="360" w:lineRule="auto"/>
        <w:ind w:left="8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◦ 《MySQL 8.0官方文档》</w:t>
      </w:r>
    </w:p>
    <w:p w14:paraId="3B4E6953">
      <w:pPr>
        <w:pStyle w:val="3"/>
        <w:spacing w:before="193" w:line="360" w:lineRule="auto"/>
        <w:ind w:left="8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◦ 《Spring Boot 3.2官方文档》</w:t>
      </w:r>
    </w:p>
    <w:p w14:paraId="1C8075F9">
      <w:pPr>
        <w:pStyle w:val="3"/>
        <w:spacing w:before="192" w:line="360" w:lineRule="auto"/>
        <w:ind w:left="84"/>
        <w:jc w:val="both"/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◦ 《火山引擎 TOS 开发指南》</w:t>
      </w:r>
    </w:p>
    <w:p w14:paraId="2F9C4B10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spacing w:val="-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pacing w:val="-2"/>
          <w:sz w:val="24"/>
          <w:szCs w:val="24"/>
          <w:lang w:val="en-US" w:eastAsia="en-US" w:bidi="ar-SA"/>
        </w:rPr>
        <w:t>◦ 《终身学习学分银行信息平台需求规格说明书（内部文档）》</w:t>
      </w:r>
    </w:p>
    <w:sectPr>
      <w:headerReference r:id="rId8" w:type="default"/>
      <w:pgSz w:w="11906" w:h="16838"/>
      <w:pgMar w:top="1440" w:right="1800" w:bottom="1440" w:left="1800" w:header="851" w:footer="99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ourceHanSansCN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F5AE6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B761B4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B761B4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6F835">
    <w:pPr>
      <w:pStyle w:val="7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6BEE7">
    <w:pPr>
      <w:pStyle w:val="7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BD14A">
    <w:pPr>
      <w:pStyle w:val="7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7E637A21"/>
    <w:multiLevelType w:val="singleLevel"/>
    <w:tmpl w:val="7E637A2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D331A"/>
    <w:rsid w:val="091F04CD"/>
    <w:rsid w:val="0D58321F"/>
    <w:rsid w:val="0FA14F53"/>
    <w:rsid w:val="178426F4"/>
    <w:rsid w:val="196F11D7"/>
    <w:rsid w:val="1C664119"/>
    <w:rsid w:val="212E3725"/>
    <w:rsid w:val="228D331A"/>
    <w:rsid w:val="23BE32A5"/>
    <w:rsid w:val="2E045F3A"/>
    <w:rsid w:val="2E6B3C5F"/>
    <w:rsid w:val="34CA77B1"/>
    <w:rsid w:val="3C170912"/>
    <w:rsid w:val="3CAA20E0"/>
    <w:rsid w:val="3D3A4AD6"/>
    <w:rsid w:val="3F070D5C"/>
    <w:rsid w:val="455E01CE"/>
    <w:rsid w:val="4BBD10F4"/>
    <w:rsid w:val="4E195CF9"/>
    <w:rsid w:val="562B56B5"/>
    <w:rsid w:val="56D54068"/>
    <w:rsid w:val="575E097B"/>
    <w:rsid w:val="59462CB6"/>
    <w:rsid w:val="5CE95E77"/>
    <w:rsid w:val="5DBE5856"/>
    <w:rsid w:val="5DEA51EE"/>
    <w:rsid w:val="5E0B16A3"/>
    <w:rsid w:val="5E547F68"/>
    <w:rsid w:val="5F791132"/>
    <w:rsid w:val="64917820"/>
    <w:rsid w:val="68672860"/>
    <w:rsid w:val="6B8E3347"/>
    <w:rsid w:val="6BF1402D"/>
    <w:rsid w:val="6E731C15"/>
    <w:rsid w:val="6EC86534"/>
    <w:rsid w:val="711C66C3"/>
    <w:rsid w:val="73562372"/>
    <w:rsid w:val="74542618"/>
    <w:rsid w:val="748D1686"/>
    <w:rsid w:val="75862CA5"/>
    <w:rsid w:val="758E277D"/>
    <w:rsid w:val="762B0979"/>
    <w:rsid w:val="79D42231"/>
    <w:rsid w:val="7A925C48"/>
    <w:rsid w:val="7CA7666E"/>
    <w:rsid w:val="7D303CC9"/>
    <w:rsid w:val="7D5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宋体"/>
      <w:snapToGrid w:val="0"/>
      <w:lang w:val="en-US" w:eastAsia="zh-CN" w:bidi="ar-SA"/>
    </w:rPr>
  </w:style>
  <w:style w:type="paragraph" w:styleId="2">
    <w:name w:val="heading 1"/>
    <w:basedOn w:val="1"/>
    <w:next w:val="3"/>
    <w:link w:val="1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2"/>
    <w:next w:val="3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/>
    </w:pPr>
  </w:style>
  <w:style w:type="paragraph" w:styleId="5">
    <w:name w:val="Normal Indent"/>
    <w:basedOn w:val="1"/>
    <w:qFormat/>
    <w:uiPriority w:val="0"/>
    <w:pPr>
      <w:ind w:left="900" w:hanging="9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39"/>
    <w:pPr>
      <w:spacing w:before="120" w:after="120"/>
    </w:pPr>
    <w:rPr>
      <w:rFonts w:ascii="Times New Roman"/>
      <w:b/>
      <w:bCs/>
      <w:caps/>
      <w:szCs w:val="24"/>
    </w:rPr>
  </w:style>
  <w:style w:type="paragraph" w:styleId="9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Tabletext"/>
    <w:basedOn w:val="1"/>
    <w:qFormat/>
    <w:uiPriority w:val="0"/>
  </w:style>
  <w:style w:type="character" w:customStyle="1" w:styleId="14">
    <w:name w:val="标题 1 Char"/>
    <w:link w:val="2"/>
    <w:qFormat/>
    <w:uiPriority w:val="0"/>
    <w:rPr>
      <w:b/>
      <w:kern w:val="44"/>
      <w:sz w:val="44"/>
    </w:rPr>
  </w:style>
  <w:style w:type="paragraph" w:customStyle="1" w:styleId="15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7461</Words>
  <Characters>9007</Characters>
  <Lines>0</Lines>
  <Paragraphs>0</Paragraphs>
  <TotalTime>9</TotalTime>
  <ScaleCrop>false</ScaleCrop>
  <LinksUpToDate>false</LinksUpToDate>
  <CharactersWithSpaces>9457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2025-08-20T14:12:00Z</dcterms:created>
  <dc:creator>。。。。</dc:creator>
  <cp:lastModifiedBy>。。。。</cp:lastModifiedBy>
  <dcterms:modified xsi:type="dcterms:W3CDTF">2025-08-24T06:47:39Z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8BD64CD99CC24A3A9C53CAFA5B56AF4C_11</vt:lpwstr>
  </property>
  <property fmtid="{D5CDD505-2E9C-101B-9397-08002B2CF9AE}" pid="4" name="KSOTemplateDocerSaveRecord">
    <vt:lpwstr>eyJoZGlkIjoiMzY4ODQyOTM0ZTA5MWQ0ZjAzMWEzNGM0YWZlMDQ4N2EiLCJ1c2VySWQiOiI3NTg5OTQxMzEifQ==</vt:lpwstr>
  </property>
</Properties>
</file>