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left"/>
        <w:pBdr>
          <w:bottom w:val="single" w:sz="6" w:space="6" w:color="1B365D"/>
        </w:pBdr>
      </w:pPr>
      <w:r>
        <w:rPr>
          <w:rFonts w:ascii="Times New Roman" w:hAnsi="Times New Roman"/>
          <w:b/>
          <w:color w:val="1B365D"/>
          <w:sz w:val="22"/>
          <w:rFonts w:ascii="Times New Roman" w:hAnsi="Times New Roman" w:eastAsia="黑体"/>
        </w:rPr>
        <w:t>全真项目9：终身学习学分银行信息平台</w:t>
      </w:r>
    </w:p>
    <w:p>
      <w:pPr>
        <w:spacing w:before="3200" w:after="160"/>
        <w:ind w:firstLine="0"/>
        <w:jc w:val="left"/>
        <w:pBdr>
          <w:left w:val="single" w:sz="24" w:space="12" w:color="1B365D"/>
        </w:pBdr>
      </w:pPr>
      <w:r>
        <w:rPr>
          <w:rFonts w:ascii="Times New Roman" w:hAnsi="Times New Roman"/>
          <w:b/>
          <w:color w:val="2C3E50"/>
          <w:sz w:val="56"/>
          <w:rFonts w:ascii="Times New Roman" w:hAnsi="Times New Roman" w:eastAsia="黑体"/>
        </w:rPr>
        <w:t>数据库设计与架构说明书</w:t>
      </w:r>
    </w:p>
    <w:p>
      <w:pPr>
        <w:spacing w:before="80" w:after="3600"/>
        <w:ind w:firstLine="0" w:left="360"/>
        <w:jc w:val="left"/>
      </w:pPr>
      <w:r>
        <w:rPr>
          <w:rFonts w:ascii="Times New Roman" w:hAnsi="Times New Roman"/>
          <w:color w:val="7F8C8D"/>
          <w:sz w:val="22"/>
          <w:rFonts w:ascii="Times New Roman" w:hAnsi="Times New Roman" w:eastAsia="宋体"/>
        </w:rPr>
        <w:t>企业级系统建设规划与交付文档标准 / Baseline Release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360" w:type="dxa"/>
      </w:tblPr>
      <w:tblGrid>
        <w:gridCol w:w="4150"/>
        <w:gridCol w:w="4150"/>
      </w:tblGrid>
      <w:tr>
        <w:tc>
          <w:tcPr>
            <w:tcW w:type="dxa" w:w="1814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7F8C8D"/>
                <w:sz w:val="21"/>
                <w:rFonts w:ascii="Times New Roman" w:hAnsi="Times New Roman" w:eastAsia="宋体"/>
              </w:rPr>
              <w:t>起草机构：</w:t>
            </w:r>
          </w:p>
        </w:tc>
        <w:tc>
          <w:tcPr>
            <w:tcW w:type="dxa" w:w="5669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2C3E50"/>
                <w:sz w:val="21"/>
                <w:rFonts w:ascii="Times New Roman" w:hAnsi="Times New Roman" w:eastAsia="宋体"/>
              </w:rPr>
              <w:t>第十三组 终身学习学分银行建设开发团队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7F8C8D"/>
                <w:sz w:val="21"/>
                <w:rFonts w:ascii="Times New Roman" w:hAnsi="Times New Roman" w:eastAsia="宋体"/>
              </w:rPr>
              <w:t>文档版本：</w:t>
            </w:r>
          </w:p>
        </w:tc>
        <w:tc>
          <w:tcPr>
            <w:tcW w:type="dxa" w:w="5669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2C3E50"/>
                <w:sz w:val="21"/>
                <w:rFonts w:ascii="Times New Roman" w:hAnsi="Times New Roman" w:eastAsia="宋体"/>
              </w:rPr>
              <w:t>V1.0 (基线草案)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7F8C8D"/>
                <w:sz w:val="21"/>
                <w:rFonts w:ascii="Times New Roman" w:hAnsi="Times New Roman" w:eastAsia="宋体"/>
              </w:rPr>
              <w:t>发布日期：</w:t>
            </w:r>
          </w:p>
        </w:tc>
        <w:tc>
          <w:tcPr>
            <w:tcW w:type="dxa" w:w="5669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2C3E50"/>
                <w:sz w:val="21"/>
                <w:rFonts w:ascii="Times New Roman" w:hAnsi="Times New Roman" w:eastAsia="宋体"/>
              </w:rPr>
              <w:t>2026年6月18日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7F8C8D"/>
                <w:sz w:val="21"/>
                <w:rFonts w:ascii="Times New Roman" w:hAnsi="Times New Roman" w:eastAsia="宋体"/>
              </w:rPr>
              <w:t>文档状态：</w:t>
            </w:r>
          </w:p>
        </w:tc>
        <w:tc>
          <w:tcPr>
            <w:tcW w:type="dxa" w:w="5669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2C3E50"/>
                <w:sz w:val="21"/>
                <w:rFonts w:ascii="Times New Roman" w:hAnsi="Times New Roman" w:eastAsia="宋体"/>
              </w:rPr>
              <w:t>新建</w:t>
            </w:r>
          </w:p>
        </w:tc>
      </w:tr>
      <w:tr>
        <w:tc>
          <w:tcPr>
            <w:tcW w:type="dxa" w:w="1814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b/>
                <w:color w:val="7F8C8D"/>
                <w:sz w:val="21"/>
                <w:rFonts w:ascii="Times New Roman" w:hAnsi="Times New Roman" w:eastAsia="宋体"/>
              </w:rPr>
              <w:t>符合规范：</w:t>
            </w:r>
          </w:p>
        </w:tc>
        <w:tc>
          <w:tcPr>
            <w:tcW w:type="dxa" w:w="5669"/>
          </w:tcPr>
          <w:p>
            <w:pPr>
              <w:spacing w:before="80" w:after="80" w:line="276" w:lineRule="auto"/>
              <w:ind w:firstLine="0"/>
              <w:jc w:val="left"/>
            </w:pPr>
            <w:r>
              <w:rPr>
                <w:rFonts w:ascii="Times New Roman" w:hAnsi="Times New Roman"/>
                <w:color w:val="2C3E50"/>
                <w:sz w:val="21"/>
                <w:rFonts w:ascii="Times New Roman" w:hAnsi="Times New Roman" w:eastAsia="宋体"/>
              </w:rPr>
              <w:t>CMMI Level 3 / RUP</w:t>
            </w:r>
          </w:p>
        </w:tc>
      </w:tr>
    </w:tbl>
    <w:p>
      <w:r>
        <w:br w:type="page"/>
      </w:r>
    </w:p>
    <w:p>
      <w:pPr>
        <w:pStyle w:val="Heading1"/>
        <w:spacing w:line="360" w:lineRule="auto" w:before="0" w:after="24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文档修订历史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版本号</w:t>
            </w:r>
          </w:p>
        </w:tc>
        <w:tc>
          <w:tcPr>
            <w:tcW w:type="dxa" w:w="1701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修改时间</w:t>
            </w:r>
          </w:p>
        </w:tc>
        <w:tc>
          <w:tcPr>
            <w:tcW w:type="dxa" w:w="3118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修改说明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作者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审核人</w:t>
            </w:r>
          </w:p>
        </w:tc>
      </w:tr>
      <w:tr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V0.1</w:t>
            </w:r>
          </w:p>
        </w:tc>
        <w:tc>
          <w:tcPr>
            <w:tcW w:type="dxa" w:w="1701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2026-06-10</w:t>
            </w:r>
          </w:p>
        </w:tc>
        <w:tc>
          <w:tcPr>
            <w:tcW w:type="dxa" w:w="3118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创建初始草案文档大纲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周康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贾诗涵</w:t>
            </w:r>
          </w:p>
        </w:tc>
      </w:tr>
      <w:tr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V0.5</w:t>
            </w:r>
          </w:p>
        </w:tc>
        <w:tc>
          <w:tcPr>
            <w:tcW w:type="dxa" w:w="1701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2026-06-14</w:t>
            </w:r>
          </w:p>
        </w:tc>
        <w:tc>
          <w:tcPr>
            <w:tcW w:type="dxa" w:w="3118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完善各功能模块细部描述与设计内容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罗志银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刘玉萍</w:t>
            </w:r>
          </w:p>
        </w:tc>
      </w:tr>
      <w:tr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V1.0</w:t>
            </w:r>
          </w:p>
        </w:tc>
        <w:tc>
          <w:tcPr>
            <w:tcW w:type="dxa" w:w="1701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2026-06-18</w:t>
            </w:r>
          </w:p>
        </w:tc>
        <w:tc>
          <w:tcPr>
            <w:tcW w:type="dxa" w:w="3118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完成项目初评基线版本，供评审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第十三组全体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刘玉萍</w:t>
            </w:r>
          </w:p>
        </w:tc>
      </w:tr>
    </w:tbl>
    <w:p>
      <w:pPr>
        <w:spacing w:before="0" w:after="120" w:line="240" w:lineRule="auto"/>
      </w:pPr>
    </w:p>
    <w:p>
      <w:r>
        <w:br w:type="page"/>
      </w:r>
    </w:p>
    <w:p>
      <w:pPr>
        <w:pStyle w:val="Heading1"/>
        <w:spacing w:line="360" w:lineRule="auto" w:before="0" w:after="24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目录</w:t>
      </w:r>
    </w:p>
    <w:p>
      <w:pPr>
        <w:spacing w:before="120" w:after="120" w:line="276" w:lineRule="auto"/>
        <w:ind w:firstLine="0"/>
        <w:jc w:val="left"/>
      </w:pPr>
      <w:r>
        <w:rPr>
          <w:rFonts w:ascii="Times New Roman" w:hAnsi="Times New Roman"/>
          <w:rFonts w:ascii="Times New Roman" w:hAnsi="Times New Roman" w:eastAsia="宋体"/>
          <w:sz w:val="22"/>
        </w:rPr>
        <w:fldChar w:fldCharType="begin"/>
        <w:instrText xml:space="preserve"> TOC \o "1-3" \h \z \u </w:instrText>
        <w:fldChar w:fldCharType="separate"/>
        <w:t>(目录将在打开文档并更新域后自动填充)</w:t>
        <w:fldChar w:fldCharType="end"/>
      </w:r>
    </w:p>
    <w:p>
      <w:r>
        <w:br w:type="page"/>
      </w:r>
    </w:p>
    <w:p>
      <w:pPr>
        <w:pStyle w:val="Heading1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1. 引言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1.1 编写目的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本数据库设计与架构说明书旨在说明“终身学习学分银行信息平台”的总体技术框架、逻辑数据库结构和详细的数据表设计。本文档作为系统开发、数据建模和持久层代码（MyBatis Mapper）生成的根本技术规范，并指导未来的运维管理和数据库调优。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1.2 背景说明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本平台涉及的“学分认证”、“学分累积”、“学分转换”是极其严密的业务。其底层数据逻辑对于ACID特性有非常严格的要求。为了应对业务的高并发、强一致性，必须在数据库表结构、外键逻辑、事务级别以及数据索引上做好详尽设计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2. 系统技术架构设计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2.1 架构概述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本平台后端采用SpringBoot作为核心骨架，采用经典SSM框架的现代演进版（Spring Boot + Spring MVC + MyBatis-Plus）。前端采用Vue 3进行组件化开发，持久层数据存储使用MySQL 8.0企业级数据库。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2.2 逻辑架构分层设计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系统从上至下划分为以下五个核心层：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1. 用户界面层（Presentation Layer）：Vue网页接收用户交互，发送HTTP RESTful请求。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2. 控制器层（Controller Layer）：接收并分发API请求，处理基础的入参校验，返回统一JSON结果。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3. 业务逻辑层（Service Layer）：处理核心事务。包括专家随机抽取、转换学分比例换算、学分锁定机制。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4. 数据访问持久层（DAO / Mapper Layer）：利用MyBatis编写SQL映射器，提供数据库读写访问接口。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5. 数据库层（Database Layer）：MySQL执行物理SQL存储，引擎为InnoDB，支持行锁和事务管理。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3. 数据库逻辑设计 (E-R 关系说明)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本系统数据实体主要分为三组：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1. 权限基石实体：用户（sys_user）、角色（sys_role）、权限（sys_permission）。三者通过关联表实现多对多权限过滤。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2. 成果与认证实体：成果目录（achievement_catalog）是认证基础。学习者发起认证申请（achievement_certification_apply），通过后存入个人学分。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3. 转换规则与专家实体：转换规则（conversion_rule）定义折算标准。由专家（expert）在审核表（rule_expert_review）中进行多对多评估，通过后方可由学习者调用转换模块发起“成果转换”（achievement_conversion_apply）。</w:t>
      </w:r>
    </w:p>
    <w:p>
      <w:pPr>
        <w:pStyle w:val="Heading1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 数据库表结构设计 (Table Designs)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4.1 用户表 (sys_user)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用户ID (唯一主键)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username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登录账号名称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password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密码 (BCrypt加密加密串)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nickname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用户昵称/真实姓名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email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电子邮箱地址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phone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手机联系号码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7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账号状态 (0-正常, 1-禁用, 2-冻结)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8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create_time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CURRENT_TIMESTAMP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创建注册时间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4.2 角色表 (sys_role)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role_name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角色中文显示名称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role_key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角色权限标识 (如ROLE_LEARNER)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角色状态 (0-启用, 1-停用)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create_time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CURRENT_TIMESTAMP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创建时间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4.3 权限/菜单表 (sys_permission)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权限ID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菜单/权限中文名称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permission_key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接口权限标识 (如sys:user:list)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type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M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类型 (M-目录, C-菜单, F-按钮)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url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路由访问地址/API链接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parent_id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父级菜单ID (0为顶级项目)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4.4 用户角色关联表 (sys_user_role)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user_id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用户外键ID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role_id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角色外键ID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4.5 角色权限关联表 (sys_role_permission)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role_id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角色外键ID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permission_id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权限外键ID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4.6 成果目录表 (achievement_catalog)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成果唯一标识ID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catalog_name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成果条目名称(如:英语四级证书)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catalog_code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成果分类编码(如:CERT-CET4)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category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成果类型 (学历课程/行业证书/非学历)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credits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DECIMAL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5,2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0.00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基准学分值 (折算权重标准)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审核状态 (0-待审核, 1-发布, 2-停用)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7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creator_id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录入操作人外键ID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8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create_time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CURRENT_TIMESTAMP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录入时间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4.7 成果认证申请表 (achievement_certification_apply)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认证申请ID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user_id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申请人学习者ID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catalog_id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对应成果目录主键ID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achievement_name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学习成果的详细描述/课程名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material_url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佐证附件文件存储路径/OSS链接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credits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DECIMAL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5,2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0.00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申请认定学分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7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申请状态 (0-已提交, 1-初审中, 2-通过, 3-驳回)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8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reviewer_id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审核操作员ID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9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review_time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审核处理完成时间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4.8 转换规则表 (conversion_rule)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规则主键ID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rule_name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规则说明名称(如:CET4换免修英语一)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source_catalog_id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源成果目录外键ID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target_catalog_id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目标成果目录外键ID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conversion_ratio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DECIMAL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5,2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1.00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转换折算比例因子/扣减权重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规则状态 (0-草案, 1-专家评审中, 2-生效, 3-废止)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4.9 专家信息表 (expert)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专家主键ID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user_id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关联系统用户表ID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expert_name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专家真实姓名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title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专业学术职称 (如:教授, 高工)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field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专业擅长方向学科描述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在库状态 (0-可用, 1-休假, 2-移出)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4.10 规则专家审核表 (rule_expert_review)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评审记录唯一ID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rule_id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关联转换规则外键ID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expert_id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被指派的评审专家外键ID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review_opinion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VARCHAR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500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专家在线签署的具体学术评估意见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评审状态 (0-待评审, 1-支持, 2-反对, 3-保留)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create_time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CURRENT_TIMESTAMP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指派/评审提交日期时间</w:t>
            </w:r>
          </w:p>
        </w:tc>
      </w:tr>
    </w:tbl>
    <w:p>
      <w:pPr>
        <w:spacing w:before="0" w:after="120" w:line="240" w:lineRule="auto"/>
      </w:pP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4.11 成果转换交易申请表 (achievement_conversion_apply)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56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序号</w:t>
            </w:r>
          </w:p>
        </w:tc>
        <w:tc>
          <w:tcPr>
            <w:tcW w:type="dxa" w:w="1417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字段名</w:t>
            </w:r>
          </w:p>
        </w:tc>
        <w:tc>
          <w:tcPr>
            <w:tcW w:type="dxa" w:w="113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数据类型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长度</w:t>
            </w:r>
          </w:p>
        </w:tc>
        <w:tc>
          <w:tcPr>
            <w:tcW w:type="dxa" w:w="68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主键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允许空</w:t>
            </w:r>
          </w:p>
        </w:tc>
        <w:tc>
          <w:tcPr>
            <w:tcW w:type="dxa" w:w="850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默认值</w:t>
            </w:r>
          </w:p>
        </w:tc>
        <w:tc>
          <w:tcPr>
            <w:tcW w:type="dxa" w:w="2324"/>
            <w:shd w:fill="F2F2F2" w:val="clear"/>
          </w:tcPr>
          <w:p>
            <w:pPr>
              <w:spacing w:line="276" w:lineRule="auto" w:before="80" w:after="80"/>
              <w:ind w:firstLine="0"/>
              <w:jc w:val="center"/>
            </w:pPr>
            <w:r>
              <w:rPr>
                <w:rFonts w:ascii="Times New Roman" w:hAnsi="Times New Roman"/>
                <w:b/>
                <w:sz w:val="21"/>
                <w:rFonts w:ascii="Times New Roman" w:hAnsi="Times New Roman" w:eastAsia="黑体"/>
              </w:rPr>
              <w:t>字段中文说明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转换交易流水主键ID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user_id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申请人学习者ID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3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source_cert_id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源学分账户项外键ID(已认定成果)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rule_id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所依据的转换规则主键ID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target_catalog_id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无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申请转换出的目标成果目录ID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6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source_credits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DECIMAL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5,2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0.00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申请扣减/冻结的源学分值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7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target_credits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DECIMAL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5,2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0.00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依据比例折算出来的目标获得学分值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8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status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TINYINT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转换申请状态 (0-申请提交, 1-复核中, 2-转换成功, 3-驳回)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9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reviewer_id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BIGINT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20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复核审核员ID</w:t>
            </w:r>
          </w:p>
        </w:tc>
      </w:tr>
      <w:tr>
        <w:tc>
          <w:tcPr>
            <w:tcW w:type="dxa" w:w="567"/>
          </w:tcPr>
          <w:p>
            <w:pPr>
              <w:spacing w:line="276" w:lineRule="auto" w:before="60" w:after="60"/>
              <w:ind w:firstLine="0"/>
              <w:jc w:val="center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10</w:t>
            </w:r>
          </w:p>
        </w:tc>
        <w:tc>
          <w:tcPr>
            <w:tcW w:type="dxa" w:w="1417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review_time</w:t>
            </w:r>
          </w:p>
        </w:tc>
        <w:tc>
          <w:tcPr>
            <w:tcW w:type="dxa" w:w="113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DATETIME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否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是</w:t>
            </w:r>
          </w:p>
        </w:tc>
        <w:tc>
          <w:tcPr>
            <w:tcW w:type="dxa" w:w="850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NULL</w:t>
            </w:r>
          </w:p>
        </w:tc>
        <w:tc>
          <w:tcPr>
            <w:tcW w:type="dxa" w:w="2324"/>
          </w:tcPr>
          <w:p>
            <w:pPr>
              <w:spacing w:line="276" w:lineRule="auto" w:before="60" w:after="60"/>
              <w:ind w:firstLine="0"/>
              <w:jc w:val="left"/>
            </w:pPr>
            <w:r>
              <w:rPr>
                <w:rFonts w:ascii="Times New Roman" w:hAnsi="Times New Roman"/>
                <w:sz w:val="21"/>
                <w:rFonts w:ascii="Times New Roman" w:hAnsi="Times New Roman" w:eastAsia="宋体"/>
              </w:rPr>
              <w:t>审核确认时间</w:t>
            </w:r>
          </w:p>
        </w:tc>
      </w:tr>
    </w:tbl>
    <w:p>
      <w:pPr>
        <w:spacing w:before="0" w:after="120" w:line="240" w:lineRule="auto"/>
      </w:pPr>
    </w:p>
    <w:p>
      <w:pPr>
        <w:pStyle w:val="Heading1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5. 数据库物理存储与备份策略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5.1 物理存储设置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• 字符集编码（Charset）：统一指定为 `utf8mb4`，排序规则为 `utf8mb4_general_ci`，以支持生僻字及可能的前端Unicode扩展符号的存储。</w:t>
        <w:br/>
        <w:t>• 存储引擎（Engine）：所有涉及学分认证、转换和审计的关键记录表强制采用 MySQL 的 `InnoDB` 引擎，以支持行级锁定、外键约束和ACID事务特性。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黑体"/>
        </w:rPr>
        <w:t>5.2 自动备份与恢复策略</w:t>
      </w:r>
    </w:p>
    <w:p>
      <w:pPr>
        <w:spacing w:line="360" w:lineRule="auto" w:before="0" w:after="0"/>
        <w:ind w:firstLine="420"/>
      </w:pPr>
      <w:r>
        <w:rPr>
          <w:rFonts w:ascii="Times New Roman" w:hAnsi="Times New Roman"/>
          <w:b w:val="0"/>
          <w:i w:val="0"/>
          <w:sz w:val="24"/>
          <w:rFonts w:ascii="Times New Roman" w:hAnsi="Times New Roman" w:eastAsia="宋体"/>
        </w:rPr>
        <w:t>• 每日备份：运维脚本于每日凌晨2:00定时执行 `mysqldump` 备份全部Schema，生成物理备份文件归档到专门的异地OSS存储器中。</w:t>
        <w:br/>
        <w:t>• 增量备份：开启 MySQL Binary Log（binlog），保留至少15天的事务日志。在遭遇故障时，支持依靠binlog实现任意时间点恢复（Point-in-Time Recovery）。</w:t>
        <w:br/>
        <w:t>• 备份留存周期：常规每日备份文件留存30天；每月首日的月度归档基线备份应至少留存1年。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rFonts w:ascii="Times New Roman" w:hAnsi="Times New Roman" w:eastAsia="宋体"/>
        <w:sz w:val="18"/>
      </w:rPr>
      <w:fldChar w:fldCharType="begin"/>
      <w:instrText xml:space="preserve"> PAGE \* MERGEFORMAT </w:instrText>
      <w:fldChar w:fldCharType="separate"/>
      <w:t>2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360" w:lineRule="auto" w:before="48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