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900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4"/>
        <w:gridCol w:w="7076"/>
      </w:tblGrid>
      <w:tr w14:paraId="12FAE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2" w:hRule="atLeast"/>
        </w:trPr>
        <w:tc>
          <w:tcPr>
            <w:tcW w:w="1924" w:type="dxa"/>
            <w:shd w:val="clear" w:color="auto" w:fill="CCCCCC"/>
            <w:noWrap w:val="0"/>
            <w:vAlign w:val="top"/>
          </w:tcPr>
          <w:p w14:paraId="5524DBA6">
            <w:pPr>
              <w:ind w:right="100"/>
              <w:rPr>
                <w:rFonts w:hint="eastAsia" w:cs="Arial"/>
                <w:b/>
                <w:szCs w:val="21"/>
              </w:rPr>
            </w:pPr>
          </w:p>
        </w:tc>
        <w:tc>
          <w:tcPr>
            <w:tcW w:w="7076" w:type="dxa"/>
            <w:noWrap w:val="0"/>
            <w:vAlign w:val="top"/>
          </w:tcPr>
          <w:tbl>
            <w:tblPr>
              <w:tblStyle w:val="32"/>
              <w:tblpPr w:leftFromText="180" w:rightFromText="180" w:vertAnchor="text" w:horzAnchor="margin" w:tblpY="-231"/>
              <w:tblOverlap w:val="never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409"/>
              <w:gridCol w:w="1944"/>
            </w:tblGrid>
            <w:tr w14:paraId="109C49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8" w:hRule="atLeast"/>
              </w:trPr>
              <w:tc>
                <w:tcPr>
                  <w:tcW w:w="1409" w:type="dxa"/>
                  <w:noWrap w:val="0"/>
                  <w:vAlign w:val="top"/>
                </w:tcPr>
                <w:p w14:paraId="39ADE990">
                  <w:pPr>
                    <w:jc w:val="distribute"/>
                    <w:rPr>
                      <w:rFonts w:hint="eastAsia"/>
                      <w:b/>
                      <w:szCs w:val="21"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卷    号</w:t>
                  </w:r>
                </w:p>
              </w:tc>
              <w:tc>
                <w:tcPr>
                  <w:tcW w:w="1944" w:type="dxa"/>
                  <w:noWrap w:val="0"/>
                  <w:vAlign w:val="top"/>
                </w:tcPr>
                <w:p w14:paraId="0522E2BF">
                  <w:pPr>
                    <w:rPr>
                      <w:b/>
                    </w:rPr>
                  </w:pPr>
                </w:p>
              </w:tc>
            </w:tr>
            <w:tr w14:paraId="78235A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341" w:hRule="atLeast"/>
              </w:trPr>
              <w:tc>
                <w:tcPr>
                  <w:tcW w:w="1409" w:type="dxa"/>
                  <w:noWrap w:val="0"/>
                  <w:vAlign w:val="top"/>
                </w:tcPr>
                <w:p w14:paraId="18FAE82C">
                  <w:pPr>
                    <w:jc w:val="distribute"/>
                    <w:rPr>
                      <w:b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卷内编号</w:t>
                  </w:r>
                </w:p>
              </w:tc>
              <w:tc>
                <w:tcPr>
                  <w:tcW w:w="1944" w:type="dxa"/>
                  <w:noWrap w:val="0"/>
                  <w:vAlign w:val="top"/>
                </w:tcPr>
                <w:p w14:paraId="06F9136F">
                  <w:pPr>
                    <w:rPr>
                      <w:b/>
                    </w:rPr>
                  </w:pPr>
                </w:p>
              </w:tc>
            </w:tr>
            <w:tr w14:paraId="49ACCD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2" w:hRule="atLeast"/>
              </w:trPr>
              <w:tc>
                <w:tcPr>
                  <w:tcW w:w="1409" w:type="dxa"/>
                  <w:noWrap w:val="0"/>
                  <w:vAlign w:val="top"/>
                </w:tcPr>
                <w:p w14:paraId="2DBA4D78">
                  <w:pPr>
                    <w:jc w:val="distribute"/>
                    <w:rPr>
                      <w:rFonts w:hint="eastAsia"/>
                      <w:b/>
                      <w:szCs w:val="21"/>
                    </w:rPr>
                  </w:pPr>
                  <w:r>
                    <w:rPr>
                      <w:rFonts w:hint="eastAsia"/>
                      <w:b/>
                      <w:szCs w:val="21"/>
                    </w:rPr>
                    <w:t>密    级</w:t>
                  </w:r>
                </w:p>
              </w:tc>
              <w:tc>
                <w:tcPr>
                  <w:tcW w:w="1944" w:type="dxa"/>
                  <w:noWrap w:val="0"/>
                  <w:vAlign w:val="top"/>
                </w:tcPr>
                <w:p w14:paraId="33782975">
                  <w:pPr>
                    <w:rPr>
                      <w:b/>
                    </w:rPr>
                  </w:pPr>
                </w:p>
              </w:tc>
            </w:tr>
          </w:tbl>
          <w:p w14:paraId="3BD155CF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7F1192C3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42E9B229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39727297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396E58BF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5ADC039F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1661B076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5A967DCB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0A9C2BC0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676E9006">
            <w:pPr>
              <w:ind w:right="100"/>
              <w:jc w:val="right"/>
              <w:rPr>
                <w:rFonts w:hint="eastAsia" w:cs="Arial"/>
                <w:b/>
                <w:szCs w:val="21"/>
              </w:rPr>
            </w:pPr>
          </w:p>
          <w:p w14:paraId="5C3E8399">
            <w:pPr>
              <w:ind w:right="100"/>
              <w:rPr>
                <w:rFonts w:hint="eastAsia" w:cs="Arial"/>
                <w:b/>
                <w:szCs w:val="21"/>
              </w:rPr>
            </w:pPr>
          </w:p>
          <w:p w14:paraId="5EDCEF25">
            <w:pPr>
              <w:pStyle w:val="31"/>
              <w:rPr>
                <w:rFonts w:hint="eastAsia"/>
                <w:sz w:val="24"/>
              </w:rPr>
            </w:pPr>
            <w:r>
              <w:rPr>
                <w:sz w:val="24"/>
              </w:rPr>
              <w:t>项目编号</w:t>
            </w:r>
            <w:r>
              <w:rPr>
                <w:rFonts w:hint="eastAsia"/>
                <w:sz w:val="24"/>
              </w:rPr>
              <w:t>:</w:t>
            </w:r>
            <w:r>
              <w:rPr>
                <w:sz w:val="24"/>
              </w:rPr>
              <w:t xml:space="preserve"> 00</w:t>
            </w:r>
            <w:r>
              <w:rPr>
                <w:rFonts w:hint="eastAsia"/>
                <w:sz w:val="24"/>
              </w:rPr>
              <w:t>1</w:t>
            </w:r>
          </w:p>
          <w:p w14:paraId="14749CA6">
            <w:pPr>
              <w:pStyle w:val="31"/>
              <w:rPr>
                <w:rFonts w:hint="eastAsia"/>
                <w:sz w:val="44"/>
              </w:rPr>
            </w:pPr>
            <w:r>
              <w:rPr>
                <w:rFonts w:hint="eastAsia"/>
                <w:sz w:val="44"/>
                <w:szCs w:val="48"/>
              </w:rPr>
              <w:t>终身学习学分银行信息平台</w:t>
            </w:r>
          </w:p>
        </w:tc>
      </w:tr>
      <w:tr w14:paraId="53355E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15" w:hRule="atLeast"/>
        </w:trPr>
        <w:tc>
          <w:tcPr>
            <w:tcW w:w="1924" w:type="dxa"/>
            <w:shd w:val="clear" w:color="auto" w:fill="CCCCCC"/>
            <w:noWrap w:val="0"/>
            <w:vAlign w:val="bottom"/>
          </w:tcPr>
          <w:p w14:paraId="5103C1CD">
            <w:pPr>
              <w:jc w:val="both"/>
              <w:rPr>
                <w:rFonts w:hint="eastAsia" w:hAnsi="宋体"/>
                <w:szCs w:val="21"/>
              </w:rPr>
            </w:pPr>
          </w:p>
          <w:p w14:paraId="4B6C88FC">
            <w:pPr>
              <w:ind w:left="684" w:hanging="684" w:hangingChars="342"/>
              <w:rPr>
                <w:rFonts w:hint="eastAsia" w:cs="Arial"/>
                <w:szCs w:val="21"/>
                <w:u w:val="single"/>
              </w:rPr>
            </w:pPr>
          </w:p>
          <w:p w14:paraId="032B7795">
            <w:pPr>
              <w:rPr>
                <w:rFonts w:hint="eastAsia" w:cs="Arial"/>
                <w:szCs w:val="21"/>
              </w:rPr>
            </w:pPr>
          </w:p>
        </w:tc>
        <w:tc>
          <w:tcPr>
            <w:tcW w:w="7076" w:type="dxa"/>
            <w:noWrap w:val="0"/>
            <w:vAlign w:val="top"/>
          </w:tcPr>
          <w:p w14:paraId="7EBDDA8C">
            <w:pPr>
              <w:pStyle w:val="13"/>
              <w:rPr>
                <w:rFonts w:hint="eastAsia"/>
                <w:sz w:val="10"/>
                <w:szCs w:val="48"/>
              </w:rPr>
            </w:pPr>
          </w:p>
          <w:p w14:paraId="14D793A4">
            <w:pPr>
              <w:pStyle w:val="31"/>
              <w:rPr>
                <w:rFonts w:hint="eastAsia"/>
                <w:sz w:val="52"/>
                <w:szCs w:val="48"/>
              </w:rPr>
            </w:pPr>
            <w:r>
              <w:rPr>
                <w:rFonts w:hint="eastAsia"/>
                <w:sz w:val="52"/>
                <w:szCs w:val="48"/>
              </w:rPr>
              <w:t>配置管理计划</w:t>
            </w:r>
          </w:p>
          <w:p w14:paraId="022DEEB3">
            <w:pPr>
              <w:pStyle w:val="31"/>
              <w:rPr>
                <w:rFonts w:hint="eastAsia"/>
                <w:bCs w:val="0"/>
                <w:sz w:val="24"/>
                <w:szCs w:val="28"/>
              </w:rPr>
            </w:pPr>
            <w:r>
              <w:rPr>
                <w:rFonts w:hint="eastAsia" w:cs="Arial"/>
                <w:b w:val="0"/>
                <w:sz w:val="28"/>
                <w:szCs w:val="28"/>
              </w:rPr>
              <w:t>Version: 1.0</w:t>
            </w:r>
          </w:p>
          <w:p w14:paraId="64F3B96B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3521B651">
            <w:pPr>
              <w:jc w:val="center"/>
              <w:rPr>
                <w:rFonts w:hint="eastAsia" w:hAnsi="宋体"/>
                <w:sz w:val="28"/>
                <w:szCs w:val="28"/>
              </w:rPr>
            </w:pPr>
          </w:p>
          <w:p w14:paraId="5D0AEA9E">
            <w:pPr>
              <w:rPr>
                <w:rFonts w:hint="eastAsia" w:hAnsi="宋体"/>
                <w:sz w:val="30"/>
                <w:szCs w:val="30"/>
              </w:rPr>
            </w:pPr>
            <w:r>
              <w:rPr>
                <w:rFonts w:hint="eastAsia" w:hAnsi="宋体"/>
                <w:sz w:val="30"/>
                <w:szCs w:val="30"/>
              </w:rPr>
              <w:t xml:space="preserve">项 目 承 担 部 门：     </w:t>
            </w:r>
          </w:p>
          <w:p w14:paraId="5B0CD9AB">
            <w:pPr>
              <w:rPr>
                <w:rFonts w:hint="eastAsia" w:hAnsi="宋体"/>
                <w:sz w:val="30"/>
                <w:szCs w:val="30"/>
              </w:rPr>
            </w:pPr>
          </w:p>
          <w:p w14:paraId="76227F00">
            <w:pPr>
              <w:rPr>
                <w:rFonts w:hAnsi="宋体"/>
                <w:sz w:val="30"/>
                <w:szCs w:val="30"/>
              </w:rPr>
            </w:pPr>
            <w:r>
              <w:rPr>
                <w:rFonts w:hint="eastAsia" w:hAnsi="宋体"/>
                <w:sz w:val="30"/>
                <w:szCs w:val="30"/>
              </w:rPr>
              <w:t>撰</w:t>
            </w:r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int="eastAsia" w:hAnsi="宋体"/>
                <w:sz w:val="30"/>
                <w:szCs w:val="30"/>
              </w:rPr>
              <w:t>写</w:t>
            </w:r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int="eastAsia" w:hAnsi="宋体"/>
                <w:sz w:val="30"/>
                <w:szCs w:val="30"/>
              </w:rPr>
              <w:t xml:space="preserve">人（签名）：       周康      </w:t>
            </w:r>
          </w:p>
          <w:p w14:paraId="53736C7F">
            <w:pPr>
              <w:rPr>
                <w:rFonts w:hint="eastAsia" w:hAnsi="宋体"/>
                <w:sz w:val="30"/>
                <w:szCs w:val="30"/>
              </w:rPr>
            </w:pPr>
          </w:p>
          <w:p w14:paraId="37892848">
            <w:pPr>
              <w:rPr>
                <w:rFonts w:hint="eastAsia" w:hAnsi="宋体"/>
                <w:sz w:val="30"/>
                <w:szCs w:val="30"/>
              </w:rPr>
            </w:pPr>
            <w:r>
              <w:rPr>
                <w:rFonts w:hint="eastAsia" w:hAnsi="宋体"/>
                <w:sz w:val="30"/>
                <w:szCs w:val="30"/>
              </w:rPr>
              <w:t>完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int="eastAsia" w:hAnsi="宋体"/>
                <w:sz w:val="30"/>
                <w:szCs w:val="30"/>
              </w:rPr>
              <w:t xml:space="preserve">  成   日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int="eastAsia" w:hAnsi="宋体"/>
                <w:sz w:val="30"/>
                <w:szCs w:val="30"/>
              </w:rPr>
              <w:t xml:space="preserve">  期：      2026-06-18  </w:t>
            </w:r>
          </w:p>
          <w:p w14:paraId="47074738">
            <w:pPr>
              <w:rPr>
                <w:rFonts w:hint="eastAsia" w:hAnsi="宋体"/>
                <w:sz w:val="30"/>
                <w:szCs w:val="30"/>
              </w:rPr>
            </w:pPr>
          </w:p>
          <w:p w14:paraId="4FDE72D7">
            <w:pPr>
              <w:rPr>
                <w:rFonts w:hint="eastAsia" w:hAnsi="宋体"/>
                <w:sz w:val="30"/>
                <w:szCs w:val="30"/>
              </w:rPr>
            </w:pPr>
            <w:r>
              <w:rPr>
                <w:rFonts w:hint="eastAsia" w:hAnsi="宋体"/>
                <w:sz w:val="30"/>
                <w:szCs w:val="30"/>
              </w:rPr>
              <w:t xml:space="preserve">本文档 使 用部门： ■主管领导   </w:t>
            </w:r>
            <w:r>
              <w:rPr>
                <w:rFonts w:hAnsi="宋体"/>
                <w:sz w:val="30"/>
                <w:szCs w:val="30"/>
              </w:rPr>
              <w:t xml:space="preserve">  </w:t>
            </w:r>
            <w:r>
              <w:rPr>
                <w:rFonts w:hint="eastAsia" w:hAnsi="宋体"/>
                <w:sz w:val="30"/>
                <w:szCs w:val="30"/>
              </w:rPr>
              <w:t xml:space="preserve">■项目组 </w:t>
            </w:r>
          </w:p>
          <w:p w14:paraId="30B7603C">
            <w:pPr>
              <w:rPr>
                <w:rFonts w:hAnsi="宋体"/>
                <w:sz w:val="30"/>
                <w:szCs w:val="30"/>
                <w:u w:val="single"/>
              </w:rPr>
            </w:pPr>
            <w:r>
              <w:rPr>
                <w:rFonts w:hint="eastAsia" w:hAnsi="宋体"/>
                <w:sz w:val="30"/>
                <w:szCs w:val="30"/>
              </w:rPr>
              <w:t xml:space="preserve">□客户（市场）  □维护人员  □用户  </w:t>
            </w:r>
          </w:p>
          <w:p w14:paraId="2FF4C5AE">
            <w:pPr>
              <w:rPr>
                <w:rFonts w:hint="eastAsia" w:hAnsi="宋体"/>
                <w:sz w:val="30"/>
                <w:szCs w:val="30"/>
              </w:rPr>
            </w:pPr>
          </w:p>
          <w:p w14:paraId="4E2A0C2A">
            <w:pPr>
              <w:rPr>
                <w:rFonts w:hint="default" w:hAnsi="宋体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 w:hAnsi="宋体"/>
                <w:sz w:val="30"/>
                <w:szCs w:val="30"/>
              </w:rPr>
              <w:t xml:space="preserve">评审负责人（签名）：      </w:t>
            </w:r>
            <w:r>
              <w:rPr>
                <w:rFonts w:hint="eastAsia" w:hAnsi="宋体"/>
                <w:sz w:val="30"/>
                <w:szCs w:val="30"/>
                <w:lang w:val="en-US" w:eastAsia="zh-CN"/>
              </w:rPr>
              <w:t>贾诗涵</w:t>
            </w:r>
          </w:p>
          <w:p w14:paraId="7602A36A">
            <w:pPr>
              <w:rPr>
                <w:rFonts w:hint="eastAsia" w:hAnsi="宋体"/>
                <w:sz w:val="30"/>
                <w:szCs w:val="30"/>
              </w:rPr>
            </w:pPr>
          </w:p>
          <w:p w14:paraId="06665159">
            <w:pPr>
              <w:rPr>
                <w:rFonts w:cs="Arial"/>
              </w:rPr>
            </w:pPr>
            <w:r>
              <w:rPr>
                <w:rFonts w:hint="eastAsia" w:hAnsi="宋体"/>
                <w:sz w:val="30"/>
                <w:szCs w:val="30"/>
              </w:rPr>
              <w:t>评</w:t>
            </w:r>
            <w:r>
              <w:rPr>
                <w:rFonts w:hAnsi="宋体"/>
                <w:sz w:val="30"/>
                <w:szCs w:val="30"/>
              </w:rPr>
              <w:t xml:space="preserve"> </w:t>
            </w:r>
            <w:r>
              <w:rPr>
                <w:rFonts w:hint="eastAsia" w:hAnsi="宋体"/>
                <w:sz w:val="30"/>
                <w:szCs w:val="30"/>
              </w:rPr>
              <w:t xml:space="preserve">   审   日  期： </w:t>
            </w:r>
            <w:r>
              <w:rPr>
                <w:rFonts w:hint="eastAsia" w:hAnsi="宋体"/>
              </w:rPr>
              <w:t xml:space="preserve"> </w:t>
            </w:r>
            <w:r>
              <w:rPr>
                <w:rFonts w:hint="eastAsia"/>
              </w:rPr>
              <w:t xml:space="preserve">       </w:t>
            </w:r>
            <w:r>
              <w:rPr>
                <w:rFonts w:hint="eastAsia"/>
                <w:sz w:val="30"/>
                <w:szCs w:val="30"/>
              </w:rPr>
              <w:t>2026-06-18</w:t>
            </w:r>
          </w:p>
        </w:tc>
      </w:tr>
    </w:tbl>
    <w:p w14:paraId="302F2BFF">
      <w:pPr>
        <w:rPr>
          <w:rFonts w:hAnsi="宋体"/>
          <w:b/>
          <w:bCs/>
          <w:sz w:val="24"/>
        </w:rPr>
      </w:pPr>
    </w:p>
    <w:p w14:paraId="61E06080">
      <w:pPr>
        <w:rPr>
          <w:rFonts w:hint="eastAsia" w:hAnsi="宋体"/>
          <w:b/>
          <w:bCs/>
          <w:sz w:val="24"/>
        </w:rPr>
      </w:pPr>
      <w:r>
        <w:rPr>
          <w:rFonts w:hAnsi="宋体"/>
          <w:b/>
          <w:bCs/>
          <w:sz w:val="24"/>
        </w:rPr>
      </w:r>
      <w:r>
        <w:rPr>
          <w:rFonts w:hint="eastAsia" w:hAnsi="宋体"/>
          <w:b/>
          <w:bCs/>
          <w:sz w:val="24"/>
        </w:rPr>
        <w:t>文档信息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1D53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5F9E9E36">
            <w:pPr>
              <w:rPr>
                <w:rFonts w:hint="eastAsia" w:hAnsi="宋体" w:cs="Arial"/>
              </w:rPr>
            </w:pPr>
            <w:r>
              <w:rPr>
                <w:rFonts w:hint="eastAsia" w:hAnsi="宋体" w:cs="Arial"/>
              </w:rPr>
              <w:t>标题</w:t>
            </w:r>
            <w:r>
              <w:rPr>
                <w:rFonts w:hAnsi="宋体" w:cs="Arial"/>
              </w:rPr>
              <w:t>:</w:t>
            </w:r>
            <w:r>
              <w:rPr>
                <w:rFonts w:hint="eastAsia"/>
              </w:rPr>
              <w:t>终身学习学分银行信息平台配置管理计划</w:t>
            </w:r>
          </w:p>
        </w:tc>
      </w:tr>
      <w:tr w14:paraId="5E60E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E886D1F">
            <w:pPr>
              <w:rPr>
                <w:rFonts w:hint="eastAsia" w:hAnsi="宋体" w:cs="Arial"/>
              </w:rPr>
            </w:pPr>
            <w:r>
              <w:rPr>
                <w:rFonts w:hint="eastAsia" w:hAnsi="宋体" w:cs="Arial"/>
              </w:rPr>
              <w:t>作者</w:t>
            </w:r>
            <w:r>
              <w:rPr>
                <w:rFonts w:hAnsi="宋体" w:cs="Arial"/>
              </w:rPr>
              <w:t xml:space="preserve">: </w:t>
            </w:r>
            <w:r>
              <w:rPr>
                <w:rFonts w:hint="eastAsia" w:hAnsi="宋体" w:cs="Arial"/>
              </w:rPr>
              <w:t>周康</w:t>
            </w:r>
          </w:p>
        </w:tc>
      </w:tr>
      <w:tr w14:paraId="13EEB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06906F3B">
            <w:pPr>
              <w:rPr>
                <w:rFonts w:hint="eastAsia" w:hAnsi="宋体" w:cs="Arial"/>
              </w:rPr>
            </w:pPr>
            <w:r>
              <w:rPr>
                <w:rFonts w:hint="eastAsia" w:hAnsi="宋体" w:cs="Arial"/>
              </w:rPr>
              <w:t>创建日期: 2026-06-18</w:t>
            </w:r>
          </w:p>
        </w:tc>
      </w:tr>
      <w:tr w14:paraId="42521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5A45B1DA">
            <w:pPr>
              <w:rPr>
                <w:rFonts w:hint="eastAsia" w:hAnsi="宋体" w:cs="Arial"/>
              </w:rPr>
            </w:pPr>
            <w:r>
              <w:rPr>
                <w:rFonts w:hint="eastAsia" w:hAnsi="宋体" w:cs="Arial"/>
              </w:rPr>
              <w:t>上次更新日期</w:t>
            </w:r>
            <w:r>
              <w:rPr>
                <w:rFonts w:hAnsi="宋体" w:cs="Arial"/>
              </w:rPr>
              <w:t xml:space="preserve">: </w:t>
            </w:r>
            <w:r>
              <w:rPr>
                <w:rFonts w:hint="eastAsia" w:hAnsi="宋体" w:cs="Arial"/>
              </w:rPr>
              <w:t>2026-06-18</w:t>
            </w:r>
          </w:p>
        </w:tc>
      </w:tr>
      <w:tr w14:paraId="6AB98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9288" w:type="dxa"/>
            <w:noWrap w:val="0"/>
            <w:vAlign w:val="top"/>
          </w:tcPr>
          <w:p w14:paraId="5AD3237F">
            <w:pPr>
              <w:rPr>
                <w:rFonts w:hint="eastAsia" w:hAnsi="宋体" w:cs="Arial"/>
              </w:rPr>
            </w:pPr>
            <w:r>
              <w:rPr>
                <w:rFonts w:hint="eastAsia" w:hAnsi="宋体" w:cs="Arial"/>
              </w:rPr>
              <w:t>版本: 1.0.20260618</w:t>
            </w:r>
          </w:p>
        </w:tc>
      </w:tr>
      <w:tr w14:paraId="2C906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1668B7E">
            <w:pPr>
              <w:rPr>
                <w:rFonts w:hAnsi="宋体" w:cs="Arial"/>
              </w:rPr>
            </w:pPr>
          </w:p>
        </w:tc>
      </w:tr>
      <w:tr w14:paraId="6E594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168A36B0">
            <w:pPr>
              <w:rPr>
                <w:rFonts w:hint="eastAsia" w:hAnsi="宋体" w:cs="Arial"/>
              </w:rPr>
            </w:pPr>
          </w:p>
        </w:tc>
      </w:tr>
    </w:tbl>
    <w:p w14:paraId="1B32824F">
      <w:pPr>
        <w:pStyle w:val="47"/>
        <w:spacing w:line="240" w:lineRule="auto"/>
        <w:rPr>
          <w:rFonts w:hint="eastAsia" w:hAnsi="宋体"/>
        </w:rPr>
      </w:pPr>
    </w:p>
    <w:p w14:paraId="7C8DD1A7">
      <w:pPr>
        <w:rPr>
          <w:rFonts w:hint="eastAsia" w:hAnsi="宋体"/>
        </w:rPr>
      </w:pPr>
    </w:p>
    <w:p w14:paraId="4D94A789">
      <w:pPr>
        <w:pStyle w:val="24"/>
        <w:rPr>
          <w:rFonts w:ascii="宋体" w:hAnsi="宋体"/>
          <w:caps w:val="0"/>
        </w:rPr>
      </w:pPr>
      <w:r>
        <w:rPr>
          <w:rFonts w:hint="eastAsia" w:ascii="宋体" w:hAnsi="宋体"/>
          <w:caps w:val="0"/>
        </w:rPr>
        <w:t>修订文档历史记录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440"/>
        <w:gridCol w:w="4320"/>
        <w:gridCol w:w="2160"/>
      </w:tblGrid>
      <w:tr w14:paraId="58A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noWrap w:val="0"/>
            <w:vAlign w:val="top"/>
          </w:tcPr>
          <w:p w14:paraId="4D0AB663">
            <w:pPr>
              <w:rPr>
                <w:rFonts w:hAnsi="宋体" w:cs="Arial"/>
                <w:b/>
              </w:rPr>
            </w:pPr>
            <w:r>
              <w:rPr>
                <w:rFonts w:hint="eastAsia" w:hAnsi="宋体" w:cs="Arial"/>
                <w:b/>
              </w:rPr>
              <w:t>日期</w:t>
            </w:r>
          </w:p>
        </w:tc>
        <w:tc>
          <w:tcPr>
            <w:tcW w:w="1440" w:type="dxa"/>
            <w:noWrap w:val="0"/>
            <w:vAlign w:val="top"/>
          </w:tcPr>
          <w:p w14:paraId="07324432">
            <w:pPr>
              <w:rPr>
                <w:rFonts w:hAnsi="宋体" w:cs="Arial"/>
                <w:b/>
              </w:rPr>
            </w:pPr>
            <w:r>
              <w:rPr>
                <w:rFonts w:hint="eastAsia" w:hAnsi="宋体" w:cs="Arial"/>
                <w:b/>
              </w:rPr>
              <w:t>版本</w:t>
            </w:r>
          </w:p>
        </w:tc>
        <w:tc>
          <w:tcPr>
            <w:tcW w:w="4320" w:type="dxa"/>
            <w:noWrap w:val="0"/>
            <w:vAlign w:val="top"/>
          </w:tcPr>
          <w:p w14:paraId="53C0B12F">
            <w:pPr>
              <w:rPr>
                <w:rFonts w:hAnsi="宋体" w:cs="Arial"/>
                <w:b/>
              </w:rPr>
            </w:pPr>
            <w:r>
              <w:rPr>
                <w:rFonts w:hint="eastAsia" w:hAnsi="宋体" w:cs="Arial"/>
                <w:b/>
              </w:rPr>
              <w:t>说明</w:t>
            </w:r>
          </w:p>
        </w:tc>
        <w:tc>
          <w:tcPr>
            <w:tcW w:w="2160" w:type="dxa"/>
            <w:noWrap w:val="0"/>
            <w:vAlign w:val="top"/>
          </w:tcPr>
          <w:p w14:paraId="1FE181BD">
            <w:pPr>
              <w:rPr>
                <w:rFonts w:hAnsi="宋体" w:cs="Arial"/>
                <w:b/>
              </w:rPr>
            </w:pPr>
            <w:r>
              <w:rPr>
                <w:rFonts w:hint="eastAsia" w:hAnsi="宋体" w:cs="Arial"/>
                <w:b/>
              </w:rPr>
              <w:t>作者</w:t>
            </w:r>
          </w:p>
        </w:tc>
      </w:tr>
      <w:tr>
        <w:tc>
          <w:tcPr>
            <w:tcW w:type="dxa" w:w="136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2026-06-10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432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创建配置管理大纲与规范草案</w:t>
            </w:r>
          </w:p>
        </w:tc>
        <w:tc>
          <w:tcPr>
            <w:tcW w:type="dxa" w:w="21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36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2026-06-14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432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完善配置标识、基线及审计机制</w:t>
            </w:r>
          </w:p>
        </w:tc>
        <w:tc>
          <w:tcPr>
            <w:tcW w:type="dxa" w:w="21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36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432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完成项目配置管理计划基线发布</w:t>
            </w:r>
          </w:p>
        </w:tc>
        <w:tc>
          <w:tcPr>
            <w:tcW w:type="dxa" w:w="21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</w:tr>
    </w:tbl>
    <w:p w14:paraId="3EC6AF3D">
      <w:pPr>
        <w:rPr>
          <w:rFonts w:hint="eastAsia"/>
        </w:rPr>
      </w:pPr>
    </w:p>
    <w:p w14:paraId="12C560A0">
      <w:pPr>
        <w:framePr w:w="8715" w:wrap="auto" w:vAnchor="margin" w:hAnchor="text" w:x="1980" w:y="1"/>
        <w:rPr>
          <w:rFonts w:hint="eastAsia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7" w:h="16840"/>
          <w:pgMar w:top="1258" w:right="1440" w:bottom="1258" w:left="1440" w:header="720" w:footer="720" w:gutter="0"/>
          <w:pgNumType w:fmt="upperRoman"/>
          <w:cols w:space="720" w:num="1"/>
        </w:sectPr>
      </w:pPr>
    </w:p>
    <w:p w14:paraId="391BA204">
      <w:pPr>
        <w:pStyle w:val="31"/>
      </w:pPr>
      <w:r>
        <w:rPr>
          <w:rFonts w:hint="eastAsia"/>
        </w:rPr>
        <w:t>目录</w:t>
      </w:r>
    </w:p>
    <w:p w14:paraId="1C9B32DE">
      <w:pPr>
        <w:rPr>
          <w:rFonts w:hint="eastAsia"/>
        </w:rPr>
      </w:pPr>
    </w:p>
    <w:p w14:paraId="5771A154">
      <w:pPr>
        <w:pStyle w:val="24"/>
        <w:tabs>
          <w:tab w:val="right" w:leader="dot" w:pos="9027"/>
        </w:tabs>
      </w:pPr>
      <w:r/>
      <w:r/>
      <w:r/>
      <w:r/>
      <w:r/>
      <w:r/>
      <w:r>
        <w:rPr>
          <w:rFonts w:hint="eastAsia"/>
        </w:rPr>
        <w:t>1. 简介</w:t>
      </w:r>
      <w:r>
        <w:tab/>
      </w:r>
      <w:r/>
      <w:r/>
      <w:r/>
      <w:r>
        <w:t>1</w:t>
      </w:r>
      <w:r/>
      <w:r/>
    </w:p>
    <w:p w14:paraId="6ABCF7CF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1.1 目的</w:t>
      </w:r>
      <w:r>
        <w:tab/>
      </w:r>
      <w:r/>
      <w:r/>
      <w:r/>
      <w:r>
        <w:t>1</w:t>
      </w:r>
      <w:r/>
      <w:r/>
    </w:p>
    <w:p w14:paraId="78FACD59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1.2 范围</w:t>
      </w:r>
      <w:r>
        <w:tab/>
      </w:r>
      <w:r/>
      <w:r/>
      <w:r/>
      <w:r>
        <w:t>1</w:t>
      </w:r>
      <w:r/>
      <w:r/>
    </w:p>
    <w:p w14:paraId="759823C3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1.3 定义、首字母缩写词和缩略语</w:t>
      </w:r>
      <w:r>
        <w:tab/>
      </w:r>
      <w:r/>
      <w:r/>
      <w:r/>
      <w:r>
        <w:t>1</w:t>
      </w:r>
      <w:r/>
      <w:r/>
    </w:p>
    <w:p w14:paraId="5952F9DA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1.4 参考资料</w:t>
      </w:r>
      <w:r>
        <w:tab/>
      </w:r>
      <w:r/>
      <w:r/>
      <w:r/>
      <w:r>
        <w:t>1</w:t>
      </w:r>
      <w:r/>
      <w:r/>
    </w:p>
    <w:p w14:paraId="53C7A914">
      <w:pPr>
        <w:pStyle w:val="24"/>
        <w:tabs>
          <w:tab w:val="right" w:leader="dot" w:pos="9027"/>
        </w:tabs>
      </w:pPr>
      <w:r/>
      <w:r/>
      <w:r/>
      <w:r>
        <w:rPr>
          <w:rFonts w:hint="eastAsia"/>
        </w:rPr>
        <w:t>2. 管理</w:t>
      </w:r>
      <w:r>
        <w:tab/>
      </w:r>
      <w:r/>
      <w:r/>
      <w:r/>
      <w:r>
        <w:t>2</w:t>
      </w:r>
      <w:r/>
      <w:r/>
    </w:p>
    <w:p w14:paraId="5CD445F7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2.1 组织结构</w:t>
      </w:r>
      <w:r>
        <w:tab/>
      </w:r>
      <w:r/>
      <w:r/>
      <w:r/>
      <w:r>
        <w:t>2</w:t>
      </w:r>
      <w:r/>
      <w:r/>
    </w:p>
    <w:p w14:paraId="2677EC9A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2.2 工作与职责</w:t>
      </w:r>
      <w:r>
        <w:tab/>
      </w:r>
      <w:r/>
      <w:r/>
      <w:r/>
      <w:r>
        <w:t>2</w:t>
      </w:r>
      <w:r/>
      <w:r/>
    </w:p>
    <w:p w14:paraId="11D774E6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2.3 工具、环境和基础设施</w:t>
      </w:r>
      <w:r>
        <w:tab/>
      </w:r>
      <w:r/>
      <w:r/>
      <w:r/>
      <w:r>
        <w:t>3</w:t>
      </w:r>
      <w:r/>
      <w:r/>
    </w:p>
    <w:p w14:paraId="311F26CA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2.3.1 工具</w:t>
      </w:r>
      <w:r>
        <w:tab/>
      </w:r>
      <w:r/>
      <w:r/>
      <w:r/>
      <w:r>
        <w:t>3</w:t>
      </w:r>
      <w:r/>
      <w:r/>
    </w:p>
    <w:p w14:paraId="696F2346">
      <w:pPr>
        <w:pStyle w:val="24"/>
        <w:tabs>
          <w:tab w:val="right" w:leader="dot" w:pos="9027"/>
        </w:tabs>
      </w:pPr>
      <w:r/>
      <w:r/>
      <w:r/>
      <w:r>
        <w:rPr>
          <w:rFonts w:hint="eastAsia"/>
        </w:rPr>
        <w:t>3. 配置管理活动</w:t>
      </w:r>
      <w:r>
        <w:tab/>
      </w:r>
      <w:r/>
      <w:r/>
      <w:r/>
      <w:r>
        <w:t>3</w:t>
      </w:r>
      <w:r/>
      <w:r/>
    </w:p>
    <w:p w14:paraId="479F4945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3.1 配置管理系统</w:t>
      </w:r>
      <w:r>
        <w:tab/>
      </w:r>
      <w:r/>
      <w:r/>
      <w:r/>
      <w:r>
        <w:t>3</w:t>
      </w:r>
      <w:r/>
      <w:r/>
    </w:p>
    <w:p w14:paraId="39229B37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3.1.1 配置库结构</w:t>
      </w:r>
      <w:r>
        <w:tab/>
      </w:r>
      <w:r/>
      <w:r/>
      <w:r/>
      <w:r>
        <w:t>3</w:t>
      </w:r>
      <w:r/>
      <w:r/>
    </w:p>
    <w:p w14:paraId="2DB57FB1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3.1.2 配置库的权限划分</w:t>
      </w:r>
      <w:r>
        <w:tab/>
      </w:r>
      <w:r/>
      <w:r/>
      <w:r/>
      <w:r>
        <w:t>5</w:t>
      </w:r>
      <w:r/>
      <w:r/>
    </w:p>
    <w:p w14:paraId="478FCCA6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3.1.3 配置库的管理层次</w:t>
      </w:r>
      <w:r>
        <w:tab/>
      </w:r>
      <w:r/>
      <w:r/>
      <w:r/>
      <w:r>
        <w:t>6</w:t>
      </w:r>
      <w:r/>
      <w:r/>
    </w:p>
    <w:p w14:paraId="48223C99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3.2 配置标识</w:t>
      </w:r>
      <w:r>
        <w:tab/>
      </w:r>
      <w:r/>
      <w:r/>
      <w:r/>
      <w:r>
        <w:t>6</w:t>
      </w:r>
      <w:r/>
      <w:r/>
    </w:p>
    <w:p w14:paraId="54579C8B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3.2.1 标识方法</w:t>
      </w:r>
      <w:r>
        <w:tab/>
      </w:r>
      <w:r/>
      <w:r/>
      <w:r/>
      <w:r>
        <w:t>6</w:t>
      </w:r>
      <w:r/>
      <w:r/>
    </w:p>
    <w:p w14:paraId="03FD5140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3.2.2 项目基线</w:t>
      </w:r>
      <w:r>
        <w:tab/>
      </w:r>
      <w:r/>
      <w:r/>
      <w:r/>
      <w:r>
        <w:t>7</w:t>
      </w:r>
      <w:r/>
      <w:r/>
    </w:p>
    <w:p w14:paraId="3A1450C2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3.3 配置项</w:t>
      </w:r>
      <w:r>
        <w:tab/>
      </w:r>
      <w:r/>
      <w:r/>
      <w:r/>
      <w:r>
        <w:t>7</w:t>
      </w:r>
      <w:r/>
      <w:r/>
    </w:p>
    <w:p w14:paraId="7E85AA4C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3.4 配置和变更控制</w:t>
      </w:r>
      <w:r>
        <w:tab/>
      </w:r>
      <w:r/>
      <w:r/>
      <w:r/>
      <w:r>
        <w:t>7</w:t>
      </w:r>
      <w:r/>
      <w:r/>
    </w:p>
    <w:p w14:paraId="7899B0CE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3.4.1 变更请求的处理和审批</w:t>
      </w:r>
      <w:r>
        <w:tab/>
      </w:r>
      <w:r/>
      <w:r/>
      <w:r/>
      <w:r>
        <w:t>7</w:t>
      </w:r>
      <w:r/>
      <w:r/>
    </w:p>
    <w:p w14:paraId="66F7DBA4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3.4.2 变更控制委员会 (CCB)</w:t>
      </w:r>
      <w:r>
        <w:tab/>
      </w:r>
      <w:r/>
      <w:r/>
      <w:r/>
      <w:r>
        <w:t>10</w:t>
      </w:r>
      <w:r/>
      <w:r/>
    </w:p>
    <w:p w14:paraId="4259FCE4">
      <w:pPr>
        <w:pStyle w:val="29"/>
        <w:tabs>
          <w:tab w:val="right" w:leader="dot" w:pos="9027"/>
        </w:tabs>
      </w:pPr>
      <w:r/>
      <w:r/>
      <w:r/>
      <w:r>
        <w:rPr>
          <w:rFonts w:hint="eastAsia"/>
        </w:rPr>
        <w:t>3.5 配置状态统计</w:t>
      </w:r>
      <w:r>
        <w:tab/>
      </w:r>
      <w:r/>
      <w:r/>
      <w:r/>
      <w:r>
        <w:t>10</w:t>
      </w:r>
      <w:r/>
      <w:r/>
    </w:p>
    <w:p w14:paraId="56899D17">
      <w:pPr>
        <w:pStyle w:val="19"/>
        <w:tabs>
          <w:tab w:val="right" w:leader="dot" w:pos="9027"/>
        </w:tabs>
      </w:pPr>
      <w:r/>
      <w:r/>
      <w:r/>
      <w:r>
        <w:rPr>
          <w:rFonts w:hint="eastAsia"/>
        </w:rPr>
        <w:t>3.5.1 项目介质存储和发布进程</w:t>
      </w:r>
      <w:r>
        <w:tab/>
      </w:r>
      <w:r/>
      <w:r/>
      <w:r/>
      <w:r>
        <w:t>10</w:t>
      </w:r>
      <w:r/>
      <w:r/>
    </w:p>
    <w:p w14:paraId="4EBDEA66">
      <w:pPr>
        <w:pStyle w:val="19"/>
        <w:tabs>
          <w:tab w:val="right" w:leader="dot" w:pos="9027"/>
        </w:tabs>
      </w:pPr>
      <w:r/>
      <w:r/>
      <w:r/>
      <w:r>
        <w:rPr>
          <w:rFonts w:hint="eastAsia"/>
          <w:i w:val="0"/>
          <w:iCs w:val="0"/>
          <w:szCs w:val="20"/>
        </w:rPr>
        <w:t>3.5.2 报告和审计</w:t>
      </w:r>
      <w:r>
        <w:tab/>
      </w:r>
      <w:r/>
      <w:r/>
      <w:r/>
      <w:r>
        <w:t>11</w:t>
      </w:r>
      <w:r/>
      <w:r/>
    </w:p>
    <w:p w14:paraId="375D78A2">
      <w:pPr>
        <w:pStyle w:val="24"/>
        <w:tabs>
          <w:tab w:val="right" w:leader="dot" w:pos="9027"/>
        </w:tabs>
      </w:pPr>
      <w:r/>
      <w:r/>
      <w:r/>
      <w:r>
        <w:rPr>
          <w:rFonts w:hint="eastAsia"/>
        </w:rPr>
        <w:t>4. 文件归档</w:t>
      </w:r>
      <w:r>
        <w:tab/>
      </w:r>
      <w:r/>
      <w:r/>
      <w:r/>
      <w:r>
        <w:t>11</w:t>
      </w:r>
      <w:r/>
      <w:r/>
    </w:p>
    <w:p w14:paraId="605CCB56">
      <w:pPr>
        <w:pStyle w:val="24"/>
        <w:tabs>
          <w:tab w:val="right" w:leader="dot" w:pos="9027"/>
        </w:tabs>
      </w:pPr>
      <w:r/>
      <w:r/>
      <w:r/>
      <w:r>
        <w:rPr>
          <w:rFonts w:hint="eastAsia"/>
        </w:rPr>
        <w:t>5. 里程碑</w:t>
      </w:r>
      <w:r>
        <w:tab/>
      </w:r>
      <w:r/>
      <w:r/>
      <w:r/>
      <w:r>
        <w:t>11</w:t>
      </w:r>
      <w:r/>
      <w:r/>
    </w:p>
    <w:p w14:paraId="75B2135D">
      <w:pPr>
        <w:rPr>
          <w:rFonts w:hint="eastAsia"/>
        </w:rPr>
      </w:pPr>
      <w:r/>
    </w:p>
    <w:p w14:paraId="56FBF902">
      <w:pPr>
        <w:rPr>
          <w:rFonts w:hint="eastAsia"/>
        </w:rPr>
        <w:sectPr>
          <w:footerReference r:id="rId11" w:type="default"/>
          <w:pgSz w:w="11907" w:h="16840"/>
          <w:pgMar w:top="1440" w:right="1440" w:bottom="1258" w:left="1440" w:header="720" w:footer="720" w:gutter="0"/>
          <w:pgNumType w:fmt="upperRoman" w:start="1"/>
          <w:cols w:space="720" w:num="1"/>
        </w:sectPr>
      </w:pP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配置管理计划（CMP）旨在规范“终身学习学分银行信息平台”项目在整个生存周期中的配置管理（CM）活动。本计划确定配置管理的组织结构、职责、所使用的配置工具、配置库管理机制以及各项配置活动，如配置标识、基线建立、版本控制、变更控制、配置审计与配置状态报告。通过实施本计划，确保项目资产的完整性、一致性、可追溯性，最大限度地减少由于无序变更而引起的技术和项目风险，保障项目按计划高质高效交付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项目背景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“终身学习学分银行信息平台”是面向所有学习者，以终身学习学分认定、累积和转换为主要功能的学习成果认证管理中心和转换服务平台。其目标是搭建终身学习“立交桥”，推进我国终身学习体系和学习型社会的建设。由于项目涉及成果目录审核、转换规则设计、多方专家在线审核以及学分转移计算等高度敏感与复杂的业务，必须在配置管理上做到严密有序，防止因多版本混乱、代码丢失或文档不一致而对核心业务逻辑产生不可挽回的影响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1.3 定义与缩写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701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术语/缩写</w:t>
            </w:r>
          </w:p>
        </w:tc>
        <w:tc>
          <w:tcPr>
            <w:tcW w:type="dxa" w:w="226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英文全称</w:t>
            </w:r>
          </w:p>
        </w:tc>
        <w:tc>
          <w:tcPr>
            <w:tcW w:type="dxa" w:w="4535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中文定义解释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Change Control Board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变更控制委员会。负责评估、决定变更请求的批准与否的决策机构。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配置管理。应用技术和行政管理手段，对配置项在其生命周期中进行标识、控制、审计的学科。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CMO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Management Officer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配置管理员。负责执行配置管理流程、维护配置管理系统和配置库的专职角色。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CI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Configuration Item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配置项。在配置管理中作为独立单元进行管理的硬件、软件或文档。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226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Baseline</w:t>
            </w:r>
          </w:p>
        </w:tc>
        <w:tc>
          <w:tcPr>
            <w:tcW w:type="dxa" w:w="4535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基线。已经过正式评审并作为后续开发基础的配置项集合。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1.4 参考资料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《系统与软件工程 软件生存周期过程》(GB/T 8566-2007)</w:t>
        <w:br/>
        <w:t>2. 《软件配置管理规范》(GB/T 20157-2006)</w:t>
        <w:br/>
        <w:t>3. 《CMMI-DEV V2.0 能力成熟度模型集成》</w:t>
        <w:br/>
        <w:t>4. “学分银行信息平台项目立项报告及可行性分析”</w:t>
      </w: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配置管理组织与职责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组织结构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为保证配置管理工作客观公正地推行，项目建立了独立的配置管理机制。配置管理团队由变更控制委员会（CCB）、项目经理（PM）、配置管理员（CMO）、开发人员（Dev）和测试/QA人员组成。组织结构采用并行报告线，CMO定期向CCB和项目组汇报配置库审计结果，确保流程符合CMMI 3级标准。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角色与职责说明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配置角色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拟派人员</w:t>
            </w:r>
          </w:p>
        </w:tc>
        <w:tc>
          <w:tcPr>
            <w:tcW w:type="dxa" w:w="3118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典型职责范围</w:t>
            </w:r>
          </w:p>
        </w:tc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主要交付成果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CCB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 (组长), 周康, 罗志银, 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评审并批准变更请求；裁决项目争议；决定重大基线的发布与调整。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变更审批表、CCB会议纪要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项目经理 (PM)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贾诗涵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协调各方资源，分配修改任务；确保变更在批准的时限内完成；制定整体计划。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项目开发计划、任务分配书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配置管理员 (CMO)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建立配置库结构，管理配置权限；执行基线化；独立进行配置审计，发布配置报告。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配置审计报告、基线发布公告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开发工程师 (Dev)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周康, 罗志银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依据被批准的变更申请在开发分支进行代码与文档编写；提交合并请求；标记内部小版本。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修改后的源代码与设计文档</w:t>
            </w:r>
          </w:p>
        </w:tc>
      </w:tr>
      <w:tr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QA 审计员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刘玉萍</w:t>
            </w:r>
          </w:p>
        </w:tc>
        <w:tc>
          <w:tcPr>
            <w:tcW w:type="dxa" w:w="3118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对配置管理过程进行过程审计；验证CM流程是否合规；协助CMO核对基线完整性。</w:t>
            </w:r>
          </w:p>
        </w:tc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过程审计报告、不符合项清单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配置库管理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3.1 配置库结构设计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根据CMMI 3级对于资产隔离和完整性的要求，本项目采用Git配置库，Git仓库名称为 lifelong-learning-credit-bankk。配置库整体划分为三个库：开发库（Development Pool）、受控库（Controlled Pool）和产品库（Product Pool）。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开发库：用于开发人员日常编写代码和文档，不作严格限制，由开发人员自由提交和调试。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受控库：存放已通过评审的阶段性交付成果（文档与代码），仅通过CMO的基线操作才能存入。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产品库：存放正式发布给用户或进入正式验收测试的基线包，必须由PM和CCB共同授权方可更新。</w:t>
      </w:r>
    </w:p>
    <w:p>
      <w:pPr>
        <w:pStyle w:val="Heading3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配置目录结构规划如下：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/lifelong-learning-credit-bankk (Git Root)</w:t>
        <w:br/>
        <w:t xml:space="preserve">  • /docs (文档类CI)</w:t>
        <w:br/>
        <w:t xml:space="preserve">    • /01_mgmt (管理、计划类)</w:t>
        <w:br/>
        <w:t xml:space="preserve">    • /02_req (需求与规格说明)</w:t>
        <w:br/>
        <w:t xml:space="preserve">    • /03_design (系统与数据库架构设计)</w:t>
        <w:br/>
        <w:t xml:space="preserve">    • /04_test (测试计划、测试用例与报告)</w:t>
        <w:br/>
        <w:t xml:space="preserve">  • /src (代码类CI)</w:t>
        <w:br/>
        <w:t xml:space="preserve">    • /backend (SpringBoot-SSM后端源码)</w:t>
        <w:br/>
        <w:t xml:space="preserve">    • /frontend (Vue前端源码)</w:t>
        <w:br/>
        <w:t xml:space="preserve">    • /sql (数据库脚本与DML脚本)</w:t>
        <w:br/>
        <w:t xml:space="preserve">  • /release (可执行交付包与版本部署说明书)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3.2 权限分配矩阵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98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目录/库类型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项目经理 (PM)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配置管理员 (CMO)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开发人员 (Dev)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测试人员 (Tester)</w:t>
            </w:r>
          </w:p>
        </w:tc>
        <w:tc>
          <w:tcPr>
            <w:tcW w:type="dxa" w:w="130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CCB 委员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开发库 (Dev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读/写/管理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读/写/提交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/docs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受控库 /src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读/写/基线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 (分支只读)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产品库 (Prod Pool)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读/写/发布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只读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</w:tr>
      <w:tr>
        <w:tc>
          <w:tcPr>
            <w:tcW w:type="dxa" w:w="1984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变更审批记录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读/写/记录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</w:t>
            </w:r>
          </w:p>
        </w:tc>
        <w:tc>
          <w:tcPr>
            <w:tcW w:type="dxa" w:w="130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读/写/审批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配置管理活动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配置标识与基线划分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本项目将文档、源码、第三方依赖、数据库脚本及配置数据都作为配置项进行管理。标识方案遵循 [项目ID]-[CI类型]-[CI名称]-[版本号] 规则。例如，需求规格说明书标识为：BANK9-SRS-RequirementsSpec-V1.0.docx。</w:t>
      </w:r>
    </w:p>
    <w:p>
      <w:pPr>
        <w:pStyle w:val="Heading3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本项目在开发生命周期中规划了以下四条核心基线：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需求基线 (Requirements Baseline)：完成需求规格说明书评审并经各方签字确认。预计建立时间为项目启动第2周。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设计基线 (Design Baseline)：完成系统架构说明书和数据库设计说明书评审。预计建立时间为项目启动第4周。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代码基线 (Code Baseline)：完成核心模块编写并完成单元测试、代码审查。预计建立时间为项目启动第8周。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发布基线 (Release Baseline)：完成系统集成与性能测试，具备上线交付条件。预计建立时间为项目启动第10周。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版本控制与变更控制流程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所有受控库和产品库中的配置项一经基线化，其修改必须遵循严格的变更控制流程：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提出变更申请：变更发起人填写《变更申请单》（CR），说明变更原因和预计影响。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变更影响分析：CCB委派技术专家对变更进行评估，分析其对开发进度、代码库、系统架构的影响。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变更评审与决策：CCB召开会议，作出“批准”、“驳回”或“挂起”的决议。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实施变更：开发人员将相应配置项从受控库Check-out（或拉取对应修复分支），进行修改并测试。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变更验证：QA和测试人员对修改后的版本进行独立验证，确认没有引入新的缺陷。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6. 基线更新与发布：CMO将修复后的CI重新Check-in并合并入主分支，更新基线并通知所有干系人。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配置状态报告与配置审计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CMO每周必须统计配置库提交日志、变更申请处理状态以及基线偏移情况，形成《配置状态报告》，并在项目周会上通报。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配置审计分为物理审计和功能审计：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物理审计：核对配置库中是否存在设计、代码及执行包，确保物理文件完整、可正常获取且无混杂。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功能审计：验证配置项的实际测试记录与预期功能相符，确认对应的变更请求全部经过审批且完成验证。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审计周期：在每个基线建立的前3天，CMO必须完成一次全方位的配置审计，并向CCB提交《配置审计报告》。</w:t>
      </w:r>
    </w:p>
    <w:sectPr>
      <w:headerReference r:id="rId12" w:type="default"/>
      <w:footerReference r:id="rId13" w:type="default"/>
      <w:pgSz w:w="11907" w:h="16840"/>
      <w:pgMar w:top="1700" w:right="1107" w:bottom="1600" w:left="1440" w:header="1080" w:footer="855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B6C7B5">
    <w:pPr>
      <w:pStyle w:val="22"/>
      <w:ind w:right="360"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352ABB">
    <w:pPr>
      <w:pStyle w:val="22"/>
      <w:framePr w:wrap="around" w:vAnchor="text" w:hAnchor="margin" w:xAlign="outside" w:y="1"/>
      <w:rPr>
        <w:rStyle w:val="36"/>
      </w:rPr>
    </w:pPr>
    <w:r>
      <w:rPr>
        <w:rStyle w:val="36"/>
      </w:rPr>
    </w:r>
    <w:r>
      <w:rPr>
        <w:rStyle w:val="36"/>
      </w:rPr>
    </w:r>
    <w:r>
      <w:rPr>
        <w:rStyle w:val="36"/>
      </w:rPr>
    </w:r>
  </w:p>
  <w:p w14:paraId="2C04437E">
    <w:pPr>
      <w:pStyle w:val="22"/>
      <w:ind w:right="360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5A99EA">
    <w:pPr>
      <w:pStyle w:val="2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A7BF87">
    <w:pPr>
      <w:pStyle w:val="22"/>
      <w:framePr w:wrap="around" w:vAnchor="text" w:hAnchor="margin" w:xAlign="outside" w:y="1"/>
      <w:rPr>
        <w:rStyle w:val="36"/>
      </w:rPr>
    </w:pPr>
    <w:r>
      <w:rPr>
        <w:rStyle w:val="36"/>
      </w:rPr>
    </w:r>
    <w:r>
      <w:rPr>
        <w:rStyle w:val="36"/>
      </w:rPr>
    </w:r>
    <w:r>
      <w:rPr>
        <w:rStyle w:val="36"/>
      </w:rPr>
    </w:r>
    <w:r>
      <w:rPr>
        <w:rStyle w:val="36"/>
      </w:rPr>
      <w:t>I</w:t>
    </w:r>
    <w:r>
      <w:rPr>
        <w:rStyle w:val="36"/>
      </w:rPr>
    </w:r>
  </w:p>
  <w:p w14:paraId="187072CE">
    <w:pPr>
      <w:pStyle w:val="22"/>
      <w:ind w:right="360"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275B39">
    <w:pPr>
      <w:pStyle w:val="22"/>
    </w:pPr>
    <w:r/>
    <w:r>
      <w:rPr>
        <w:color w:val="4472C4"/>
        <w:lang w:val="zh-CN"/>
      </w:rPr>
      <w:t xml:space="preserve"> </w:t>
    </w:r>
    <w:r>
      <w:rPr>
        <w:rFonts w:ascii="等线 Light" w:hAnsi="等线 Light" w:eastAsia="等线 Light" w:cs="Times New Roman"/>
        <w:color w:val="4472C4"/>
        <w:lang w:val="zh-CN"/>
      </w:rPr>
      <w:t xml:space="preserve">页 </w:t>
    </w:r>
    <w:r>
      <w:rPr>
        <w:rFonts w:ascii="等线" w:hAnsi="等线" w:eastAsia="等线" w:cs="Times New Roman"/>
        <w:color w:val="4472C4"/>
      </w:rPr>
    </w:r>
    <w:r>
      <w:rPr>
        <w:color w:val="4472C4"/>
      </w:rPr>
    </w:r>
    <w:r>
      <w:rPr>
        <w:rFonts w:ascii="等线" w:hAnsi="等线" w:eastAsia="等线" w:cs="Times New Roman"/>
        <w:color w:val="4472C4"/>
      </w:rPr>
    </w:r>
    <w:r>
      <w:rPr>
        <w:rFonts w:ascii="等线 Light" w:hAnsi="等线 Light" w:eastAsia="等线 Light" w:cs="Times New Roman"/>
        <w:color w:val="4472C4"/>
        <w:lang w:val="zh-CN"/>
      </w:rPr>
      <w:t>2</w:t>
    </w:r>
    <w:r>
      <w:rPr>
        <w:rFonts w:ascii="等线 Light" w:hAnsi="等线 Light" w:eastAsia="等线 Light" w:cs="Times New Roman"/>
        <w:color w:val="4472C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ED5A5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3B394">
    <w:pPr>
      <w:pStyle w:val="2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CDF84">
    <w:pPr>
      <w:pStyle w:val="23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DE3E21">
    <w:pPr>
      <w:pStyle w:val="23"/>
      <w:pBdr>
        <w:bottom w:val="single" w:color="auto" w:sz="6" w:space="0"/>
      </w:pBdr>
      <w:rPr>
        <w:rFonts w:hint="eastAsia" w:hAnsi="宋体"/>
      </w:rPr>
    </w:pPr>
    <w:r>
      <w:rPr>
        <w:rFonts w:hint="eastAsia" w:hAnsi="宋体"/>
      </w:rPr>
      <w:t>配置管理计划书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8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1">
    <w:nsid w:val="31B411AA"/>
    <w:multiLevelType w:val="multilevel"/>
    <w:tmpl w:val="31B411AA"/>
    <w:lvl w:ilvl="0" w:tentative="0">
      <w:start w:val="1"/>
      <w:numFmt w:val="decimal"/>
      <w:lvlText w:val="%1)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1" w:tentative="0">
      <w:start w:val="1"/>
      <w:numFmt w:val="decimal"/>
      <w:lvlText w:val="%2."/>
      <w:lvlJc w:val="left"/>
      <w:pPr>
        <w:tabs>
          <w:tab w:val="left" w:pos="1500"/>
        </w:tabs>
        <w:ind w:left="1500" w:hanging="36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920"/>
        </w:tabs>
        <w:ind w:left="1920" w:hanging="36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2">
    <w:nsid w:val="3A174BCB"/>
    <w:multiLevelType w:val="multilevel"/>
    <w:tmpl w:val="3A174BCB"/>
    <w:lvl w:ilvl="0" w:tentative="0">
      <w:start w:val="1"/>
      <w:numFmt w:val="decimal"/>
      <w:lvlText w:val="%1)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1560"/>
        </w:tabs>
        <w:ind w:left="156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980"/>
        </w:tabs>
        <w:ind w:left="1980" w:hanging="420"/>
      </w:pPr>
    </w:lvl>
    <w:lvl w:ilvl="3" w:tentative="0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3">
    <w:nsid w:val="45AD4C35"/>
    <w:multiLevelType w:val="multilevel"/>
    <w:tmpl w:val="45AD4C35"/>
    <w:lvl w:ilvl="0" w:tentative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tabs>
          <w:tab w:val="left" w:pos="1500"/>
        </w:tabs>
        <w:ind w:left="15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1980"/>
        </w:tabs>
        <w:ind w:left="1980" w:hanging="420"/>
      </w:pPr>
    </w:lvl>
    <w:lvl w:ilvl="3" w:tentative="0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4">
    <w:nsid w:val="46810CCA"/>
    <w:multiLevelType w:val="multilevel"/>
    <w:tmpl w:val="46810CCA"/>
    <w:lvl w:ilvl="0" w:tentative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tabs>
          <w:tab w:val="left" w:pos="1500"/>
        </w:tabs>
        <w:ind w:left="150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1980"/>
        </w:tabs>
        <w:ind w:left="1980" w:hanging="420"/>
      </w:pPr>
    </w:lvl>
    <w:lvl w:ilvl="3" w:tentative="0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5">
    <w:nsid w:val="6B322348"/>
    <w:multiLevelType w:val="multilevel"/>
    <w:tmpl w:val="6B322348"/>
    <w:lvl w:ilvl="0" w:tentative="0">
      <w:start w:val="1"/>
      <w:numFmt w:val="decimal"/>
      <w:lvlText w:val="%1、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1560"/>
        </w:tabs>
        <w:ind w:left="156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980"/>
        </w:tabs>
        <w:ind w:left="1980" w:hanging="420"/>
      </w:pPr>
    </w:lvl>
    <w:lvl w:ilvl="3" w:tentative="0">
      <w:start w:val="1"/>
      <w:numFmt w:val="decimal"/>
      <w:lvlText w:val="%4."/>
      <w:lvlJc w:val="left"/>
      <w:pPr>
        <w:tabs>
          <w:tab w:val="left" w:pos="2400"/>
        </w:tabs>
        <w:ind w:left="24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820"/>
        </w:tabs>
        <w:ind w:left="28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240"/>
        </w:tabs>
        <w:ind w:left="32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660"/>
        </w:tabs>
        <w:ind w:left="36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080"/>
        </w:tabs>
        <w:ind w:left="40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500"/>
        </w:tabs>
        <w:ind w:left="4500" w:hanging="420"/>
      </w:pPr>
    </w:lvl>
  </w:abstractNum>
  <w:abstractNum w:abstractNumId="6">
    <w:nsid w:val="71EA6B42"/>
    <w:multiLevelType w:val="multilevel"/>
    <w:tmpl w:val="71EA6B42"/>
    <w:lvl w:ilvl="0" w:tentative="0">
      <w:start w:val="1"/>
      <w:numFmt w:val="bullet"/>
      <w:lvlText w:val="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00"/>
        </w:tabs>
        <w:ind w:left="24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7">
    <w:nsid w:val="7D557B94"/>
    <w:multiLevelType w:val="multilevel"/>
    <w:tmpl w:val="7D557B94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00"/>
        </w:tabs>
        <w:ind w:left="24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hyphenationZone w:val="360"/>
  <w:doNotHyphenateCaps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QzYzVkMzY2M2Q5ODkyOTEyZWEzN2YxNzVjOTM2MWEifQ=="/>
  </w:docVars>
  <w:rsids>
    <w:rsidRoot w:val="00A71B8E"/>
    <w:rsid w:val="000338F7"/>
    <w:rsid w:val="00036667"/>
    <w:rsid w:val="0004556C"/>
    <w:rsid w:val="0005171D"/>
    <w:rsid w:val="000520A3"/>
    <w:rsid w:val="0007468B"/>
    <w:rsid w:val="0009317A"/>
    <w:rsid w:val="00094187"/>
    <w:rsid w:val="00097F8B"/>
    <w:rsid w:val="000B473C"/>
    <w:rsid w:val="000B59AC"/>
    <w:rsid w:val="000C4ECF"/>
    <w:rsid w:val="000D18EE"/>
    <w:rsid w:val="000D7480"/>
    <w:rsid w:val="000E1843"/>
    <w:rsid w:val="000F31A2"/>
    <w:rsid w:val="00112AD1"/>
    <w:rsid w:val="0011300F"/>
    <w:rsid w:val="0011349D"/>
    <w:rsid w:val="0013189B"/>
    <w:rsid w:val="001337F7"/>
    <w:rsid w:val="00147DB5"/>
    <w:rsid w:val="001527D9"/>
    <w:rsid w:val="0015595E"/>
    <w:rsid w:val="00160E5E"/>
    <w:rsid w:val="001B4DD3"/>
    <w:rsid w:val="001B5B56"/>
    <w:rsid w:val="001D3B85"/>
    <w:rsid w:val="001D4ACB"/>
    <w:rsid w:val="001D65DD"/>
    <w:rsid w:val="001F0560"/>
    <w:rsid w:val="001F1509"/>
    <w:rsid w:val="001F1AF5"/>
    <w:rsid w:val="00206F43"/>
    <w:rsid w:val="00214ACD"/>
    <w:rsid w:val="002154EE"/>
    <w:rsid w:val="00216642"/>
    <w:rsid w:val="0021777E"/>
    <w:rsid w:val="00220064"/>
    <w:rsid w:val="00220260"/>
    <w:rsid w:val="002234D2"/>
    <w:rsid w:val="002354AF"/>
    <w:rsid w:val="00236206"/>
    <w:rsid w:val="00263EB6"/>
    <w:rsid w:val="002646F6"/>
    <w:rsid w:val="00265E34"/>
    <w:rsid w:val="00270E87"/>
    <w:rsid w:val="0027231C"/>
    <w:rsid w:val="00276562"/>
    <w:rsid w:val="00281833"/>
    <w:rsid w:val="00285D51"/>
    <w:rsid w:val="002A4824"/>
    <w:rsid w:val="002A7BD6"/>
    <w:rsid w:val="002B14AD"/>
    <w:rsid w:val="002D0094"/>
    <w:rsid w:val="002F4C6E"/>
    <w:rsid w:val="00301569"/>
    <w:rsid w:val="0030241E"/>
    <w:rsid w:val="003225A0"/>
    <w:rsid w:val="00323AC4"/>
    <w:rsid w:val="00327018"/>
    <w:rsid w:val="00327504"/>
    <w:rsid w:val="00340233"/>
    <w:rsid w:val="00370019"/>
    <w:rsid w:val="003700FD"/>
    <w:rsid w:val="00372ACB"/>
    <w:rsid w:val="003740BC"/>
    <w:rsid w:val="00381F2E"/>
    <w:rsid w:val="00383148"/>
    <w:rsid w:val="003915D6"/>
    <w:rsid w:val="003A6628"/>
    <w:rsid w:val="003B3589"/>
    <w:rsid w:val="003B3B7A"/>
    <w:rsid w:val="003B717E"/>
    <w:rsid w:val="003D77CB"/>
    <w:rsid w:val="003F72F9"/>
    <w:rsid w:val="00420CA0"/>
    <w:rsid w:val="00423642"/>
    <w:rsid w:val="0042423A"/>
    <w:rsid w:val="0042619F"/>
    <w:rsid w:val="00433B4B"/>
    <w:rsid w:val="004505A8"/>
    <w:rsid w:val="00450E96"/>
    <w:rsid w:val="00452DA3"/>
    <w:rsid w:val="00461CFF"/>
    <w:rsid w:val="004642ED"/>
    <w:rsid w:val="004650D6"/>
    <w:rsid w:val="00472370"/>
    <w:rsid w:val="00481B86"/>
    <w:rsid w:val="00491CF7"/>
    <w:rsid w:val="00497627"/>
    <w:rsid w:val="004A148A"/>
    <w:rsid w:val="004B232E"/>
    <w:rsid w:val="004B706A"/>
    <w:rsid w:val="004C1998"/>
    <w:rsid w:val="004D43FB"/>
    <w:rsid w:val="004E32CE"/>
    <w:rsid w:val="004E471E"/>
    <w:rsid w:val="004E5B19"/>
    <w:rsid w:val="004E5B82"/>
    <w:rsid w:val="004E6326"/>
    <w:rsid w:val="004E71C1"/>
    <w:rsid w:val="004F2B28"/>
    <w:rsid w:val="004F4CD1"/>
    <w:rsid w:val="004F5266"/>
    <w:rsid w:val="0050228D"/>
    <w:rsid w:val="0050776F"/>
    <w:rsid w:val="0051256A"/>
    <w:rsid w:val="0051531E"/>
    <w:rsid w:val="00531C28"/>
    <w:rsid w:val="00532394"/>
    <w:rsid w:val="005324F7"/>
    <w:rsid w:val="00541339"/>
    <w:rsid w:val="005455A2"/>
    <w:rsid w:val="00552DE8"/>
    <w:rsid w:val="00556B9F"/>
    <w:rsid w:val="00567CDA"/>
    <w:rsid w:val="00582F1D"/>
    <w:rsid w:val="005844BD"/>
    <w:rsid w:val="00587E67"/>
    <w:rsid w:val="005A0423"/>
    <w:rsid w:val="005A3D3D"/>
    <w:rsid w:val="005A5EB8"/>
    <w:rsid w:val="005B68C9"/>
    <w:rsid w:val="005C094F"/>
    <w:rsid w:val="005C1282"/>
    <w:rsid w:val="005C53B7"/>
    <w:rsid w:val="005D1B0C"/>
    <w:rsid w:val="005D6187"/>
    <w:rsid w:val="005D6FED"/>
    <w:rsid w:val="005E499B"/>
    <w:rsid w:val="005E4AB1"/>
    <w:rsid w:val="005F3C1C"/>
    <w:rsid w:val="0061498D"/>
    <w:rsid w:val="00637693"/>
    <w:rsid w:val="00641EDB"/>
    <w:rsid w:val="006448A8"/>
    <w:rsid w:val="00650BDA"/>
    <w:rsid w:val="00653870"/>
    <w:rsid w:val="006560A4"/>
    <w:rsid w:val="006629B0"/>
    <w:rsid w:val="00666920"/>
    <w:rsid w:val="00685985"/>
    <w:rsid w:val="0068703E"/>
    <w:rsid w:val="006A09CE"/>
    <w:rsid w:val="006A6938"/>
    <w:rsid w:val="006B5547"/>
    <w:rsid w:val="006C44D0"/>
    <w:rsid w:val="006D2118"/>
    <w:rsid w:val="00704604"/>
    <w:rsid w:val="007170CE"/>
    <w:rsid w:val="00745C5F"/>
    <w:rsid w:val="00747B1F"/>
    <w:rsid w:val="00772D2F"/>
    <w:rsid w:val="00776A59"/>
    <w:rsid w:val="00780927"/>
    <w:rsid w:val="007914D0"/>
    <w:rsid w:val="00793CEA"/>
    <w:rsid w:val="00794EE0"/>
    <w:rsid w:val="007979CB"/>
    <w:rsid w:val="007B444B"/>
    <w:rsid w:val="007B63F3"/>
    <w:rsid w:val="007C3F17"/>
    <w:rsid w:val="007C622F"/>
    <w:rsid w:val="007C7B61"/>
    <w:rsid w:val="007E5575"/>
    <w:rsid w:val="007F1E7B"/>
    <w:rsid w:val="007F23C8"/>
    <w:rsid w:val="00800A53"/>
    <w:rsid w:val="00807001"/>
    <w:rsid w:val="00816ED4"/>
    <w:rsid w:val="0082220F"/>
    <w:rsid w:val="0082298B"/>
    <w:rsid w:val="00823019"/>
    <w:rsid w:val="0082673B"/>
    <w:rsid w:val="008306BB"/>
    <w:rsid w:val="00836BC2"/>
    <w:rsid w:val="008411FD"/>
    <w:rsid w:val="00842ADD"/>
    <w:rsid w:val="00843CCB"/>
    <w:rsid w:val="00844033"/>
    <w:rsid w:val="00847AB5"/>
    <w:rsid w:val="008564D2"/>
    <w:rsid w:val="00872FF6"/>
    <w:rsid w:val="00881354"/>
    <w:rsid w:val="00883076"/>
    <w:rsid w:val="008830BC"/>
    <w:rsid w:val="008832A7"/>
    <w:rsid w:val="00883D55"/>
    <w:rsid w:val="00885ACE"/>
    <w:rsid w:val="00886E93"/>
    <w:rsid w:val="0089577D"/>
    <w:rsid w:val="008A07F4"/>
    <w:rsid w:val="008A1F13"/>
    <w:rsid w:val="008B1B95"/>
    <w:rsid w:val="008B6C80"/>
    <w:rsid w:val="008B7B76"/>
    <w:rsid w:val="008D35D7"/>
    <w:rsid w:val="008E73C0"/>
    <w:rsid w:val="008E7D05"/>
    <w:rsid w:val="008F5F65"/>
    <w:rsid w:val="008F637A"/>
    <w:rsid w:val="009127FF"/>
    <w:rsid w:val="0091351B"/>
    <w:rsid w:val="009159DA"/>
    <w:rsid w:val="00922DDD"/>
    <w:rsid w:val="0093552A"/>
    <w:rsid w:val="0093698C"/>
    <w:rsid w:val="0094563A"/>
    <w:rsid w:val="009458F4"/>
    <w:rsid w:val="00961AF0"/>
    <w:rsid w:val="00966C3D"/>
    <w:rsid w:val="00981429"/>
    <w:rsid w:val="009A53AB"/>
    <w:rsid w:val="009D35BC"/>
    <w:rsid w:val="009D57B8"/>
    <w:rsid w:val="009E01DF"/>
    <w:rsid w:val="009E444A"/>
    <w:rsid w:val="00A067A4"/>
    <w:rsid w:val="00A142D9"/>
    <w:rsid w:val="00A16D41"/>
    <w:rsid w:val="00A30A4B"/>
    <w:rsid w:val="00A43CD5"/>
    <w:rsid w:val="00A61CE4"/>
    <w:rsid w:val="00A6578A"/>
    <w:rsid w:val="00A71B8E"/>
    <w:rsid w:val="00A74D5F"/>
    <w:rsid w:val="00A755A8"/>
    <w:rsid w:val="00A81D34"/>
    <w:rsid w:val="00A86346"/>
    <w:rsid w:val="00A87E4D"/>
    <w:rsid w:val="00AB5B8C"/>
    <w:rsid w:val="00AC3CFD"/>
    <w:rsid w:val="00AF37A4"/>
    <w:rsid w:val="00AF5BA1"/>
    <w:rsid w:val="00B01E02"/>
    <w:rsid w:val="00B02F88"/>
    <w:rsid w:val="00B06C3E"/>
    <w:rsid w:val="00B14065"/>
    <w:rsid w:val="00B21C4F"/>
    <w:rsid w:val="00B26C73"/>
    <w:rsid w:val="00B404D3"/>
    <w:rsid w:val="00B5689D"/>
    <w:rsid w:val="00B57060"/>
    <w:rsid w:val="00B57C21"/>
    <w:rsid w:val="00B64D36"/>
    <w:rsid w:val="00B70DAB"/>
    <w:rsid w:val="00B73840"/>
    <w:rsid w:val="00B75361"/>
    <w:rsid w:val="00B81096"/>
    <w:rsid w:val="00B820EE"/>
    <w:rsid w:val="00B944E8"/>
    <w:rsid w:val="00BA2F87"/>
    <w:rsid w:val="00BB21CE"/>
    <w:rsid w:val="00BC3EA8"/>
    <w:rsid w:val="00BC5DAE"/>
    <w:rsid w:val="00BC7109"/>
    <w:rsid w:val="00BD6960"/>
    <w:rsid w:val="00BF2666"/>
    <w:rsid w:val="00BF36ED"/>
    <w:rsid w:val="00C06DB6"/>
    <w:rsid w:val="00C079FB"/>
    <w:rsid w:val="00C20C6A"/>
    <w:rsid w:val="00C21508"/>
    <w:rsid w:val="00C35A78"/>
    <w:rsid w:val="00C3686E"/>
    <w:rsid w:val="00C43755"/>
    <w:rsid w:val="00C515B5"/>
    <w:rsid w:val="00C565DC"/>
    <w:rsid w:val="00C632CF"/>
    <w:rsid w:val="00C67673"/>
    <w:rsid w:val="00C76EFF"/>
    <w:rsid w:val="00C879C6"/>
    <w:rsid w:val="00C91F4B"/>
    <w:rsid w:val="00C93677"/>
    <w:rsid w:val="00CB127C"/>
    <w:rsid w:val="00CB66F9"/>
    <w:rsid w:val="00CB68E6"/>
    <w:rsid w:val="00CB7DED"/>
    <w:rsid w:val="00CD008B"/>
    <w:rsid w:val="00CE2572"/>
    <w:rsid w:val="00CF0BA8"/>
    <w:rsid w:val="00CF0D87"/>
    <w:rsid w:val="00CF1058"/>
    <w:rsid w:val="00CF633E"/>
    <w:rsid w:val="00D0015B"/>
    <w:rsid w:val="00D03E1A"/>
    <w:rsid w:val="00D321A6"/>
    <w:rsid w:val="00D33379"/>
    <w:rsid w:val="00D4734C"/>
    <w:rsid w:val="00D47966"/>
    <w:rsid w:val="00D53F71"/>
    <w:rsid w:val="00D71F3A"/>
    <w:rsid w:val="00D7601F"/>
    <w:rsid w:val="00D9027F"/>
    <w:rsid w:val="00D9151F"/>
    <w:rsid w:val="00D95245"/>
    <w:rsid w:val="00DA7130"/>
    <w:rsid w:val="00DD0C48"/>
    <w:rsid w:val="00DD331A"/>
    <w:rsid w:val="00DD4541"/>
    <w:rsid w:val="00DE23F1"/>
    <w:rsid w:val="00E00042"/>
    <w:rsid w:val="00E02DC9"/>
    <w:rsid w:val="00E0355F"/>
    <w:rsid w:val="00E16962"/>
    <w:rsid w:val="00E22802"/>
    <w:rsid w:val="00E37E5F"/>
    <w:rsid w:val="00E43BE0"/>
    <w:rsid w:val="00E46CFB"/>
    <w:rsid w:val="00E50277"/>
    <w:rsid w:val="00E50339"/>
    <w:rsid w:val="00E66BA8"/>
    <w:rsid w:val="00E744E5"/>
    <w:rsid w:val="00E81028"/>
    <w:rsid w:val="00E90086"/>
    <w:rsid w:val="00E94BB7"/>
    <w:rsid w:val="00EA406A"/>
    <w:rsid w:val="00EB21CE"/>
    <w:rsid w:val="00ED50B7"/>
    <w:rsid w:val="00EF3DC5"/>
    <w:rsid w:val="00EF58E4"/>
    <w:rsid w:val="00F0006E"/>
    <w:rsid w:val="00F051B0"/>
    <w:rsid w:val="00F1218A"/>
    <w:rsid w:val="00F13428"/>
    <w:rsid w:val="00F17FF6"/>
    <w:rsid w:val="00F32E7C"/>
    <w:rsid w:val="00F4047D"/>
    <w:rsid w:val="00F51265"/>
    <w:rsid w:val="00F560F9"/>
    <w:rsid w:val="00F65907"/>
    <w:rsid w:val="00F677A1"/>
    <w:rsid w:val="00F83B69"/>
    <w:rsid w:val="00FA5A91"/>
    <w:rsid w:val="00FC3E21"/>
    <w:rsid w:val="00FC643B"/>
    <w:rsid w:val="00FD7CD5"/>
    <w:rsid w:val="00FF2C53"/>
    <w:rsid w:val="01761367"/>
    <w:rsid w:val="146D3D5D"/>
    <w:rsid w:val="14832432"/>
    <w:rsid w:val="2F4B1946"/>
    <w:rsid w:val="43BB5BF7"/>
    <w:rsid w:val="47053011"/>
    <w:rsid w:val="5CD44CD1"/>
    <w:rsid w:val="62F960AB"/>
    <w:rsid w:val="7CB42A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qFormat="1"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qFormat="1" w:unhideWhenUsed="0" w:uiPriority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宋体" w:hAnsi="Times New Roman" w:eastAsia="宋体" w:cs="宋体"/>
      <w:snapToGrid w:val="0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4">
    <w:name w:val="heading 2"/>
    <w:basedOn w:val="2"/>
    <w:next w:val="3"/>
    <w:qFormat/>
    <w:uiPriority w:val="0"/>
    <w:pPr>
      <w:numPr>
        <w:ilvl w:val="1"/>
        <w:numId w:val="1"/>
      </w:numPr>
      <w:outlineLvl w:val="1"/>
    </w:pPr>
    <w:rPr>
      <w:sz w:val="24"/>
      <w:szCs w:val="24"/>
    </w:rPr>
  </w:style>
  <w:style w:type="paragraph" w:styleId="5">
    <w:name w:val="heading 3"/>
    <w:basedOn w:val="2"/>
    <w:next w:val="3"/>
    <w:qFormat/>
    <w:uiPriority w:val="0"/>
    <w:pPr>
      <w:numPr>
        <w:ilvl w:val="2"/>
        <w:numId w:val="1"/>
      </w:numPr>
      <w:outlineLvl w:val="2"/>
    </w:pPr>
    <w:rPr>
      <w:b w:val="0"/>
      <w:bCs w:val="0"/>
      <w:i/>
      <w:iCs/>
      <w:sz w:val="21"/>
      <w:szCs w:val="21"/>
    </w:rPr>
  </w:style>
  <w:style w:type="paragraph" w:styleId="6">
    <w:name w:val="heading 4"/>
    <w:basedOn w:val="2"/>
    <w:next w:val="3"/>
    <w:qFormat/>
    <w:uiPriority w:val="0"/>
    <w:pPr>
      <w:numPr>
        <w:ilvl w:val="3"/>
        <w:numId w:val="1"/>
      </w:numPr>
      <w:spacing w:before="60"/>
      <w:outlineLvl w:val="3"/>
    </w:pPr>
    <w:rPr>
      <w:b w:val="0"/>
      <w:bCs w:val="0"/>
      <w:sz w:val="20"/>
      <w:szCs w:val="20"/>
    </w:rPr>
  </w:style>
  <w:style w:type="paragraph" w:styleId="7">
    <w:name w:val="heading 5"/>
    <w:basedOn w:val="1"/>
    <w:next w:val="3"/>
    <w:qFormat/>
    <w:uiPriority w:val="0"/>
    <w:pPr>
      <w:numPr>
        <w:ilvl w:val="4"/>
        <w:numId w:val="1"/>
      </w:numPr>
      <w:spacing w:before="60" w:after="60"/>
      <w:outlineLvl w:val="4"/>
    </w:pPr>
    <w:rPr>
      <w:i/>
    </w:rPr>
  </w:style>
  <w:style w:type="paragraph" w:styleId="8">
    <w:name w:val="heading 6"/>
    <w:basedOn w:val="1"/>
    <w:next w:val="1"/>
    <w:qFormat/>
    <w:uiPriority w:val="0"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9">
    <w:name w:val="heading 7"/>
    <w:basedOn w:val="1"/>
    <w:next w:val="1"/>
    <w:qFormat/>
    <w:uiPriority w:val="0"/>
    <w:pPr>
      <w:numPr>
        <w:ilvl w:val="6"/>
        <w:numId w:val="1"/>
      </w:numPr>
      <w:spacing w:before="60" w:after="60"/>
      <w:outlineLvl w:val="6"/>
    </w:pPr>
    <w:rPr>
      <w:i/>
    </w:rPr>
  </w:style>
  <w:style w:type="paragraph" w:styleId="10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1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34">
    <w:name w:val="Default Paragraph Font"/>
    <w:semiHidden/>
    <w:qFormat/>
    <w:uiPriority w:val="0"/>
  </w:style>
  <w:style w:type="table" w:default="1" w:styleId="3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keepLines/>
      <w:spacing w:before="40" w:after="40"/>
      <w:ind w:left="720"/>
    </w:pPr>
  </w:style>
  <w:style w:type="paragraph" w:styleId="12">
    <w:name w:val="toc 7"/>
    <w:basedOn w:val="1"/>
    <w:next w:val="1"/>
    <w:semiHidden/>
    <w:qFormat/>
    <w:uiPriority w:val="0"/>
    <w:pPr>
      <w:ind w:left="1200"/>
    </w:pPr>
    <w:rPr>
      <w:rFonts w:ascii="Times New Roman"/>
      <w:szCs w:val="21"/>
    </w:rPr>
  </w:style>
  <w:style w:type="paragraph" w:styleId="13">
    <w:name w:val="Normal Indent"/>
    <w:basedOn w:val="1"/>
    <w:qFormat/>
    <w:uiPriority w:val="0"/>
    <w:pPr>
      <w:ind w:left="900" w:hanging="900"/>
    </w:pPr>
  </w:style>
  <w:style w:type="paragraph" w:styleId="14">
    <w:name w:val="caption"/>
    <w:basedOn w:val="3"/>
    <w:next w:val="1"/>
    <w:qFormat/>
    <w:uiPriority w:val="0"/>
    <w:rPr>
      <w:rFonts w:ascii="Arial" w:hAnsi="Arial" w:eastAsia="Arial" w:cs="Arial"/>
      <w:i/>
    </w:rPr>
  </w:style>
  <w:style w:type="paragraph" w:styleId="15">
    <w:name w:val="Document Map"/>
    <w:basedOn w:val="1"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semiHidden/>
    <w:qFormat/>
    <w:uiPriority w:val="0"/>
  </w:style>
  <w:style w:type="paragraph" w:styleId="17">
    <w:name w:val="Body Text Indent"/>
    <w:basedOn w:val="1"/>
    <w:qFormat/>
    <w:uiPriority w:val="0"/>
    <w:pPr>
      <w:ind w:left="720"/>
    </w:pPr>
    <w:rPr>
      <w:i/>
      <w:iCs/>
      <w:color w:val="0000FF"/>
      <w:u w:val="single"/>
    </w:rPr>
  </w:style>
  <w:style w:type="paragraph" w:styleId="18">
    <w:name w:val="toc 5"/>
    <w:basedOn w:val="1"/>
    <w:next w:val="1"/>
    <w:semiHidden/>
    <w:uiPriority w:val="0"/>
    <w:pPr>
      <w:ind w:left="800"/>
    </w:pPr>
    <w:rPr>
      <w:rFonts w:ascii="Times New Roman"/>
      <w:szCs w:val="21"/>
    </w:rPr>
  </w:style>
  <w:style w:type="paragraph" w:styleId="19">
    <w:name w:val="toc 3"/>
    <w:basedOn w:val="1"/>
    <w:next w:val="1"/>
    <w:uiPriority w:val="39"/>
    <w:pPr>
      <w:ind w:left="400"/>
    </w:pPr>
    <w:rPr>
      <w:rFonts w:ascii="Times New Roman"/>
      <w:i/>
      <w:iCs/>
      <w:szCs w:val="24"/>
    </w:rPr>
  </w:style>
  <w:style w:type="paragraph" w:styleId="20">
    <w:name w:val="toc 8"/>
    <w:basedOn w:val="1"/>
    <w:next w:val="1"/>
    <w:semiHidden/>
    <w:uiPriority w:val="0"/>
    <w:pPr>
      <w:ind w:left="1400"/>
    </w:pPr>
    <w:rPr>
      <w:rFonts w:ascii="Times New Roman"/>
      <w:szCs w:val="21"/>
    </w:rPr>
  </w:style>
  <w:style w:type="paragraph" w:styleId="21">
    <w:name w:val="Date"/>
    <w:basedOn w:val="1"/>
    <w:next w:val="1"/>
    <w:link w:val="42"/>
    <w:uiPriority w:val="0"/>
    <w:pPr>
      <w:ind w:left="100" w:leftChars="2500"/>
    </w:pPr>
  </w:style>
  <w:style w:type="paragraph" w:styleId="22">
    <w:name w:val="footer"/>
    <w:basedOn w:val="1"/>
    <w:link w:val="43"/>
    <w:uiPriority w:val="99"/>
    <w:pPr>
      <w:tabs>
        <w:tab w:val="center" w:pos="4320"/>
        <w:tab w:val="right" w:pos="8640"/>
      </w:tabs>
    </w:pPr>
    <w:rPr>
      <w:rFonts w:eastAsia="Arial"/>
    </w:rPr>
  </w:style>
  <w:style w:type="paragraph" w:styleId="23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4">
    <w:name w:val="toc 1"/>
    <w:basedOn w:val="1"/>
    <w:next w:val="1"/>
    <w:uiPriority w:val="39"/>
    <w:pPr>
      <w:spacing w:before="120" w:after="120"/>
    </w:pPr>
    <w:rPr>
      <w:rFonts w:ascii="Times New Roman"/>
      <w:b/>
      <w:bCs/>
      <w:caps/>
      <w:szCs w:val="24"/>
    </w:rPr>
  </w:style>
  <w:style w:type="paragraph" w:styleId="25">
    <w:name w:val="toc 4"/>
    <w:basedOn w:val="1"/>
    <w:next w:val="1"/>
    <w:semiHidden/>
    <w:uiPriority w:val="0"/>
    <w:pPr>
      <w:ind w:left="600"/>
    </w:pPr>
    <w:rPr>
      <w:rFonts w:ascii="Times New Roman"/>
      <w:szCs w:val="21"/>
    </w:rPr>
  </w:style>
  <w:style w:type="paragraph" w:styleId="26">
    <w:name w:val="Subtitle"/>
    <w:basedOn w:val="1"/>
    <w:qFormat/>
    <w:uiPriority w:val="0"/>
    <w:pPr>
      <w:spacing w:after="60"/>
      <w:jc w:val="center"/>
    </w:pPr>
    <w:rPr>
      <w:i/>
      <w:iCs/>
      <w:sz w:val="36"/>
      <w:szCs w:val="36"/>
      <w:lang w:val="en-AU"/>
    </w:rPr>
  </w:style>
  <w:style w:type="paragraph" w:styleId="27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sz w:val="16"/>
      <w:szCs w:val="16"/>
    </w:rPr>
  </w:style>
  <w:style w:type="paragraph" w:styleId="28">
    <w:name w:val="toc 6"/>
    <w:basedOn w:val="1"/>
    <w:next w:val="1"/>
    <w:semiHidden/>
    <w:uiPriority w:val="0"/>
    <w:pPr>
      <w:ind w:left="1000"/>
    </w:pPr>
    <w:rPr>
      <w:rFonts w:ascii="Times New Roman"/>
      <w:szCs w:val="21"/>
    </w:rPr>
  </w:style>
  <w:style w:type="paragraph" w:styleId="29">
    <w:name w:val="toc 2"/>
    <w:basedOn w:val="1"/>
    <w:next w:val="1"/>
    <w:uiPriority w:val="39"/>
    <w:pPr>
      <w:ind w:left="200"/>
    </w:pPr>
    <w:rPr>
      <w:rFonts w:ascii="Times New Roman"/>
      <w:smallCaps/>
      <w:szCs w:val="24"/>
    </w:rPr>
  </w:style>
  <w:style w:type="paragraph" w:styleId="30">
    <w:name w:val="toc 9"/>
    <w:basedOn w:val="1"/>
    <w:next w:val="1"/>
    <w:semiHidden/>
    <w:uiPriority w:val="0"/>
    <w:pPr>
      <w:ind w:left="1600"/>
    </w:pPr>
    <w:rPr>
      <w:rFonts w:ascii="Times New Roman"/>
      <w:szCs w:val="21"/>
    </w:rPr>
  </w:style>
  <w:style w:type="paragraph" w:styleId="31">
    <w:name w:val="Title"/>
    <w:basedOn w:val="1"/>
    <w:next w:val="1"/>
    <w:qFormat/>
    <w:uiPriority w:val="0"/>
    <w:pPr>
      <w:spacing w:line="240" w:lineRule="auto"/>
      <w:jc w:val="center"/>
    </w:pPr>
    <w:rPr>
      <w:b/>
      <w:bCs/>
      <w:sz w:val="36"/>
      <w:szCs w:val="36"/>
    </w:rPr>
  </w:style>
  <w:style w:type="table" w:styleId="33">
    <w:name w:val="Table Grid 1"/>
    <w:basedOn w:val="32"/>
    <w:uiPriority w:val="0"/>
    <w:pPr>
      <w:widowControl w:val="0"/>
      <w:spacing w:line="240" w:lineRule="atLeast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character" w:styleId="35">
    <w:name w:val="Strong"/>
    <w:qFormat/>
    <w:uiPriority w:val="0"/>
    <w:rPr>
      <w:b/>
      <w:bCs/>
    </w:rPr>
  </w:style>
  <w:style w:type="character" w:styleId="36">
    <w:name w:val="page number"/>
    <w:uiPriority w:val="0"/>
    <w:rPr>
      <w:rFonts w:eastAsia="Arial"/>
    </w:rPr>
  </w:style>
  <w:style w:type="character" w:styleId="37">
    <w:name w:val="FollowedHyperlink"/>
    <w:uiPriority w:val="0"/>
    <w:rPr>
      <w:color w:val="800080"/>
      <w:u w:val="single"/>
    </w:rPr>
  </w:style>
  <w:style w:type="character" w:styleId="38">
    <w:name w:val="Emphasis"/>
    <w:qFormat/>
    <w:uiPriority w:val="0"/>
    <w:rPr>
      <w:i/>
      <w:iCs/>
    </w:rPr>
  </w:style>
  <w:style w:type="character" w:styleId="39">
    <w:name w:val="Hyperlink"/>
    <w:uiPriority w:val="99"/>
    <w:rPr>
      <w:color w:val="0000FF"/>
      <w:u w:val="single"/>
    </w:rPr>
  </w:style>
  <w:style w:type="character" w:styleId="40">
    <w:name w:val="annotation reference"/>
    <w:semiHidden/>
    <w:uiPriority w:val="0"/>
    <w:rPr>
      <w:sz w:val="21"/>
      <w:szCs w:val="21"/>
    </w:rPr>
  </w:style>
  <w:style w:type="character" w:styleId="41">
    <w:name w:val="footnote reference"/>
    <w:semiHidden/>
    <w:uiPriority w:val="0"/>
    <w:rPr>
      <w:sz w:val="20"/>
      <w:szCs w:val="20"/>
      <w:vertAlign w:val="superscript"/>
    </w:rPr>
  </w:style>
  <w:style w:type="character" w:customStyle="1" w:styleId="42">
    <w:name w:val="日期 字符"/>
    <w:link w:val="21"/>
    <w:uiPriority w:val="0"/>
    <w:rPr>
      <w:rFonts w:ascii="宋体" w:cs="宋体"/>
      <w:snapToGrid w:val="0"/>
    </w:rPr>
  </w:style>
  <w:style w:type="character" w:customStyle="1" w:styleId="43">
    <w:name w:val="页脚 字符"/>
    <w:link w:val="22"/>
    <w:uiPriority w:val="99"/>
    <w:rPr>
      <w:rFonts w:ascii="宋体" w:eastAsia="Arial" w:cs="宋体"/>
      <w:snapToGrid w:val="0"/>
      <w:lang w:val="en-US" w:eastAsia="zh-CN" w:bidi="ar-SA"/>
    </w:rPr>
  </w:style>
  <w:style w:type="paragraph" w:customStyle="1" w:styleId="44">
    <w:name w:val="Paragraph2"/>
    <w:basedOn w:val="1"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45">
    <w:name w:val="Bullet2"/>
    <w:basedOn w:val="1"/>
    <w:uiPriority w:val="0"/>
    <w:pPr>
      <w:numPr>
        <w:ilvl w:val="0"/>
        <w:numId w:val="0"/>
      </w:numPr>
      <w:ind w:left="1440" w:hanging="360"/>
    </w:pPr>
    <w:rPr>
      <w:color w:val="000080"/>
    </w:rPr>
  </w:style>
  <w:style w:type="paragraph" w:customStyle="1" w:styleId="46">
    <w:name w:val="Paragraph1"/>
    <w:basedOn w:val="1"/>
    <w:uiPriority w:val="0"/>
    <w:pPr>
      <w:spacing w:before="80" w:line="240" w:lineRule="auto"/>
      <w:jc w:val="both"/>
    </w:pPr>
  </w:style>
  <w:style w:type="paragraph" w:customStyle="1" w:styleId="47">
    <w:name w:val="Tabletext"/>
    <w:basedOn w:val="1"/>
    <w:uiPriority w:val="0"/>
  </w:style>
  <w:style w:type="paragraph" w:customStyle="1" w:styleId="48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49">
    <w:name w:val="Bullet1"/>
    <w:basedOn w:val="1"/>
    <w:uiPriority w:val="0"/>
    <w:pPr>
      <w:numPr>
        <w:ilvl w:val="0"/>
        <w:numId w:val="0"/>
      </w:numPr>
      <w:ind w:left="720" w:hanging="432"/>
    </w:pPr>
  </w:style>
  <w:style w:type="paragraph" w:customStyle="1" w:styleId="50">
    <w:name w:val="Paragraph4"/>
    <w:basedOn w:val="1"/>
    <w:uiPriority w:val="0"/>
    <w:pPr>
      <w:spacing w:before="80" w:line="240" w:lineRule="auto"/>
      <w:ind w:left="2250"/>
      <w:jc w:val="both"/>
    </w:pPr>
  </w:style>
  <w:style w:type="paragraph" w:customStyle="1" w:styleId="51">
    <w:name w:val="Main Title"/>
    <w:basedOn w:val="1"/>
    <w:uiPriority w:val="0"/>
    <w:pPr>
      <w:spacing w:before="480" w:after="60" w:line="240" w:lineRule="auto"/>
      <w:jc w:val="center"/>
    </w:pPr>
    <w:rPr>
      <w:b/>
      <w:bCs/>
      <w:kern w:val="28"/>
      <w:sz w:val="32"/>
      <w:szCs w:val="32"/>
    </w:rPr>
  </w:style>
  <w:style w:type="paragraph" w:customStyle="1" w:styleId="52">
    <w:name w:val="Body"/>
    <w:basedOn w:val="1"/>
    <w:uiPriority w:val="0"/>
    <w:pPr>
      <w:widowControl/>
      <w:spacing w:before="120" w:line="240" w:lineRule="auto"/>
      <w:jc w:val="both"/>
    </w:pPr>
  </w:style>
  <w:style w:type="paragraph" w:customStyle="1" w:styleId="53">
    <w:name w:val="Bullet"/>
    <w:basedOn w:val="1"/>
    <w:uiPriority w:val="0"/>
    <w:pPr>
      <w:widowControl/>
      <w:tabs>
        <w:tab w:val="left" w:pos="720"/>
      </w:tabs>
      <w:spacing w:before="120" w:line="240" w:lineRule="auto"/>
      <w:ind w:left="720" w:right="360"/>
      <w:jc w:val="both"/>
    </w:pPr>
  </w:style>
  <w:style w:type="paragraph" w:customStyle="1" w:styleId="54">
    <w:name w:val="InfoBlue"/>
    <w:basedOn w:val="1"/>
    <w:next w:val="3"/>
    <w:uiPriority w:val="0"/>
    <w:pPr>
      <w:tabs>
        <w:tab w:val="left" w:pos="540"/>
        <w:tab w:val="left" w:pos="1260"/>
      </w:tabs>
      <w:spacing w:after="120"/>
    </w:pPr>
    <w:rPr>
      <w:i/>
      <w:iCs/>
      <w:color w:val="0000FF"/>
    </w:rPr>
  </w:style>
  <w:style w:type="paragraph" w:customStyle="1" w:styleId="55">
    <w:name w:val="Style Heading 1 + Times New Roman"/>
    <w:basedOn w:val="2"/>
    <w:next w:val="3"/>
    <w:uiPriority w:val="0"/>
    <w:rPr>
      <w:rFonts w:ascii="Times New Roman"/>
    </w:rPr>
  </w:style>
  <w:style w:type="character" w:customStyle="1" w:styleId="56">
    <w:name w:val="Heading 1 Char"/>
    <w:qFormat/>
    <w:uiPriority w:val="0"/>
    <w:rPr>
      <w:rFonts w:ascii="宋体" w:eastAsia="宋体" w:cs="宋体"/>
      <w:b/>
      <w:bCs/>
      <w:snapToGrid w:val="0"/>
      <w:sz w:val="24"/>
      <w:szCs w:val="24"/>
      <w:lang w:val="en-US" w:eastAsia="zh-CN" w:bidi="ar-SA"/>
    </w:rPr>
  </w:style>
  <w:style w:type="character" w:customStyle="1" w:styleId="57">
    <w:name w:val="Style Heading 1 + Times New Roman Char"/>
    <w:uiPriority w:val="0"/>
    <w:rPr>
      <w:lang w:val="en-US" w:eastAsia="zh-CN" w:bidi="ar-SA"/>
    </w:rPr>
  </w:style>
  <w:style w:type="paragraph" w:customStyle="1" w:styleId="58">
    <w:name w:val="Style Heading 3 + Arial"/>
    <w:basedOn w:val="5"/>
    <w:next w:val="3"/>
    <w:uiPriority w:val="0"/>
    <w:rPr>
      <w:rFonts w:ascii="Arial" w:hAnsi="Arial"/>
    </w:rPr>
  </w:style>
  <w:style w:type="character" w:customStyle="1" w:styleId="59">
    <w:name w:val="Heading 3 Char"/>
    <w:uiPriority w:val="0"/>
    <w:rPr>
      <w:rFonts w:ascii="宋体" w:eastAsia="宋体" w:cs="宋体"/>
      <w:b/>
      <w:bCs/>
      <w:i/>
      <w:iCs/>
      <w:snapToGrid w:val="0"/>
      <w:sz w:val="24"/>
      <w:szCs w:val="24"/>
      <w:lang w:val="en-US" w:eastAsia="zh-CN" w:bidi="ar-SA"/>
    </w:rPr>
  </w:style>
  <w:style w:type="character" w:customStyle="1" w:styleId="60">
    <w:name w:val="Style Heading 3 + Arial Char"/>
    <w:uiPriority w:val="0"/>
    <w:rPr>
      <w:rFonts w:ascii="Arial" w:hAnsi="Arial" w:eastAsia="宋体" w:cs="宋体"/>
      <w:b/>
      <w:bCs/>
      <w:i/>
      <w:iCs/>
      <w:snapToGrid w:val="0"/>
      <w:sz w:val="24"/>
      <w:szCs w:val="24"/>
      <w:lang w:val="en-US" w:eastAsia="zh-CN" w:bidi="ar-SA"/>
    </w:rPr>
  </w:style>
  <w:style w:type="paragraph" w:customStyle="1" w:styleId="61">
    <w:name w:val="Comment Subject"/>
    <w:basedOn w:val="16"/>
    <w:next w:val="16"/>
    <w:semiHidden/>
    <w:uiPriority w:val="0"/>
    <w:rPr>
      <w:b/>
      <w:bCs/>
    </w:rPr>
  </w:style>
  <w:style w:type="paragraph" w:customStyle="1" w:styleId="62">
    <w:name w:val="Table Row"/>
    <w:basedOn w:val="1"/>
    <w:uiPriority w:val="0"/>
    <w:pPr>
      <w:spacing w:before="60" w:after="60"/>
    </w:pPr>
    <w:rPr>
      <w:b/>
    </w:rPr>
  </w:style>
  <w:style w:type="paragraph" w:customStyle="1" w:styleId="63">
    <w:name w:val="tablecoloumn"/>
    <w:basedOn w:val="3"/>
    <w:uiPriority w:val="0"/>
    <w:pPr>
      <w:keepNext/>
      <w:spacing w:before="0" w:beforeLines="0" w:afterLines="0"/>
      <w:ind w:left="72"/>
    </w:pPr>
    <w:rPr>
      <w:b/>
    </w:rPr>
  </w:style>
  <w:style w:type="paragraph" w:customStyle="1" w:styleId="64">
    <w:name w:val="_Style 63"/>
    <w:basedOn w:val="1"/>
    <w:next w:val="3"/>
    <w:uiPriority w:val="0"/>
    <w:pPr>
      <w:keepLines/>
      <w:spacing w:before="40" w:after="40"/>
      <w:ind w:left="720"/>
    </w:pPr>
  </w:style>
  <w:style w:type="paragraph" w:customStyle="1" w:styleId="65">
    <w:name w:val="表头"/>
    <w:basedOn w:val="1"/>
    <w:uiPriority w:val="0"/>
    <w:pPr>
      <w:keepNext/>
      <w:keepLines/>
      <w:spacing w:before="120" w:after="120" w:line="240" w:lineRule="auto"/>
      <w:jc w:val="center"/>
    </w:pPr>
    <w:rPr>
      <w:rFonts w:ascii="Times New Roman" w:eastAsia="黑体" w:cs="Times New Roman"/>
      <w:snapToGrid/>
      <w:kern w:val="44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5.emf"/><Relationship Id="rId20" Type="http://schemas.openxmlformats.org/officeDocument/2006/relationships/oleObject" Target="embeddings/oleObject2.bin"/><Relationship Id="rId2" Type="http://schemas.openxmlformats.org/officeDocument/2006/relationships/settings" Target="settings.xml"/><Relationship Id="rId19" Type="http://schemas.openxmlformats.org/officeDocument/2006/relationships/image" Target="media/image4.emf"/><Relationship Id="rId18" Type="http://schemas.openxmlformats.org/officeDocument/2006/relationships/oleObject" Target="embeddings/oleObject1.bin"/><Relationship Id="rId17" Type="http://schemas.openxmlformats.org/officeDocument/2006/relationships/image" Target="media/image3.jpe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TPUP&#26631;&#20934;&#27169;&#26495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TPUP标准模板.dot</Template>
  <Company>托普集团</Company>
  <Pages>18</Pages>
  <Words>1903</Words>
  <Characters>2446</Characters>
  <Lines>612</Lines>
  <Paragraphs>653</Paragraphs>
  <TotalTime>0</TotalTime>
  <ScaleCrop>false</ScaleCrop>
  <LinksUpToDate>false</LinksUpToDate>
  <CharactersWithSpaces>2658</CharactersWithSpaces>
  <Application>WPS Office_12.1.0.22525_F1E327BC-269C-435d-A152-05C5408002CA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专题计划</cp:category>
  <dcterms:created xsi:type="dcterms:W3CDTF">2001-08-15T09:33:00Z</dcterms:created>
  <dc:creator>汪林涛</dc:creator>
  <cp:keywords>SCM</cp:keywords>
  <cp:lastModifiedBy>青鸟</cp:lastModifiedBy>
  <cp:lastPrinted>2001-08-31T00:51:00Z</cp:lastPrinted>
  <dcterms:modified xsi:type="dcterms:W3CDTF">2025-08-28T06:22:23Z</dcterms:modified>
  <dc:subject>托普LED大屏幕播放软件项目</dc:subject>
  <dc:title>Configuration Management Plan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5.0</vt:lpwstr>
  </property>
  <property fmtid="{D5CDD505-2E9C-101B-9397-08002B2CF9AE}" pid="3" name="Project Number">
    <vt:lpwstr>S054-06-2001</vt:lpwstr>
  </property>
  <property fmtid="{D5CDD505-2E9C-101B-9397-08002B2CF9AE}" pid="4" name="Department">
    <vt:lpwstr>中央研究院技术开发中心</vt:lpwstr>
  </property>
  <property fmtid="{D5CDD505-2E9C-101B-9397-08002B2CF9AE}" pid="5" name="User">
    <vt:lpwstr>项目经理、配置变更控制经理、集成员、项目组成员</vt:lpwstr>
  </property>
  <property fmtid="{D5CDD505-2E9C-101B-9397-08002B2CF9AE}" pid="6" name="KSOProductBuildVer">
    <vt:lpwstr>2052-12.1.0.22525</vt:lpwstr>
  </property>
  <property fmtid="{D5CDD505-2E9C-101B-9397-08002B2CF9AE}" pid="7" name="ICV">
    <vt:lpwstr>A17E6286187F46C2B8586A13591CC71A_13</vt:lpwstr>
  </property>
  <property fmtid="{D5CDD505-2E9C-101B-9397-08002B2CF9AE}" pid="8" name="KSOTemplateDocerSaveRecord">
    <vt:lpwstr>eyJoZGlkIjoiMjJkYmRkYjBiNjAzMWM1ODg3ZDQyNWNiYjk2OGFiMWYiLCJ1c2VySWQiOiI0MTI5ODkzNzcifQ==</vt:lpwstr>
  </property>
</Properties>
</file>