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after="480"/>
        <w:jc w:val="center"/>
      </w:pPr>
      <w:r>
        <w:rPr>
          <w:rFonts w:ascii="Times New Roman" w:hAnsi="Times New Roman"/>
          <w:b/>
          <w:sz w:val="32"/>
          <w:rFonts w:ascii="Times New Roman" w:hAnsi="Times New Roman" w:eastAsia="黑体"/>
        </w:rPr>
        <w:t>全真项目9：终身学习学分银行信息平台</w:t>
      </w:r>
    </w:p>
    <w:p>
      <w:pPr>
        <w:spacing w:after="2400"/>
        <w:jc w:val="center"/>
      </w:pPr>
      <w:r>
        <w:rPr>
          <w:rFonts w:ascii="Times New Roman" w:hAnsi="Times New Roman"/>
          <w:b/>
          <w:sz w:val="52"/>
          <w:rFonts w:ascii="Times New Roman" w:hAnsi="Times New Roman" w:eastAsia="黑体"/>
        </w:rPr>
        <w:t>软件测试计划书</w:t>
      </w:r>
    </w:p>
    <w:p>
      <w:pPr>
        <w:spacing w:before="40" w:after="40" w:line="288" w:lineRule="auto"/>
        <w:ind w:firstLine="0"/>
        <w:jc w:val="center"/>
      </w:pPr>
      <w:r>
        <w:rPr>
          <w:rFonts w:ascii="Times New Roman" w:hAnsi="Times New Roman"/>
          <w:b/>
          <w:sz w:val="24"/>
          <w:rFonts w:ascii="Times New Roman" w:hAnsi="Times New Roman" w:eastAsia="宋体"/>
        </w:rPr>
        <w:t>起草机构：</w:t>
      </w:r>
      <w:r>
        <w:rPr>
          <w:rFonts w:ascii="Times New Roman" w:hAnsi="Times New Roman"/>
          <w:sz w:val="24"/>
          <w:rFonts w:ascii="Times New Roman" w:hAnsi="Times New Roman" w:eastAsia="宋体"/>
        </w:rPr>
        <w:t>第十三组 终身学习学分银行建设开发团队</w:t>
      </w:r>
    </w:p>
    <w:p>
      <w:pPr>
        <w:spacing w:before="40" w:after="40" w:line="288" w:lineRule="auto"/>
        <w:ind w:firstLine="0"/>
        <w:jc w:val="center"/>
      </w:pPr>
      <w:r>
        <w:rPr>
          <w:rFonts w:ascii="Times New Roman" w:hAnsi="Times New Roman"/>
          <w:b/>
          <w:sz w:val="24"/>
          <w:rFonts w:ascii="Times New Roman" w:hAnsi="Times New Roman" w:eastAsia="宋体"/>
        </w:rPr>
        <w:t>文档版本：</w:t>
      </w:r>
      <w:r>
        <w:rPr>
          <w:rFonts w:ascii="Times New Roman" w:hAnsi="Times New Roman"/>
          <w:sz w:val="24"/>
          <w:rFonts w:ascii="Times New Roman" w:hAnsi="Times New Roman" w:eastAsia="宋体"/>
        </w:rPr>
        <w:t>V1.0 (基线草案)</w:t>
      </w:r>
    </w:p>
    <w:p>
      <w:pPr>
        <w:spacing w:before="40" w:after="40" w:line="288" w:lineRule="auto"/>
        <w:ind w:firstLine="0"/>
        <w:jc w:val="center"/>
      </w:pPr>
      <w:r>
        <w:rPr>
          <w:rFonts w:ascii="Times New Roman" w:hAnsi="Times New Roman"/>
          <w:b/>
          <w:sz w:val="24"/>
          <w:rFonts w:ascii="Times New Roman" w:hAnsi="Times New Roman" w:eastAsia="宋体"/>
        </w:rPr>
        <w:t>发布日期：</w:t>
      </w:r>
      <w:r>
        <w:rPr>
          <w:rFonts w:ascii="Times New Roman" w:hAnsi="Times New Roman"/>
          <w:sz w:val="24"/>
          <w:rFonts w:ascii="Times New Roman" w:hAnsi="Times New Roman" w:eastAsia="宋体"/>
        </w:rPr>
        <w:t>2026年6月18日</w:t>
      </w:r>
    </w:p>
    <w:p>
      <w:pPr>
        <w:spacing w:before="40" w:after="40" w:line="288" w:lineRule="auto"/>
        <w:ind w:firstLine="0"/>
        <w:jc w:val="center"/>
      </w:pPr>
      <w:r>
        <w:rPr>
          <w:rFonts w:ascii="Times New Roman" w:hAnsi="Times New Roman"/>
          <w:b/>
          <w:sz w:val="24"/>
          <w:rFonts w:ascii="Times New Roman" w:hAnsi="Times New Roman" w:eastAsia="宋体"/>
        </w:rPr>
        <w:t>文档状态：</w:t>
      </w:r>
      <w:r>
        <w:rPr>
          <w:rFonts w:ascii="Times New Roman" w:hAnsi="Times New Roman"/>
          <w:sz w:val="24"/>
          <w:rFonts w:ascii="Times New Roman" w:hAnsi="Times New Roman" w:eastAsia="宋体"/>
        </w:rPr>
        <w:t>新建</w:t>
      </w:r>
    </w:p>
    <w:p>
      <w:pPr>
        <w:spacing w:before="40" w:after="40" w:line="288" w:lineRule="auto"/>
        <w:ind w:firstLine="0"/>
        <w:jc w:val="center"/>
      </w:pPr>
      <w:r>
        <w:rPr>
          <w:rFonts w:ascii="Times New Roman" w:hAnsi="Times New Roman"/>
          <w:b/>
          <w:sz w:val="24"/>
          <w:rFonts w:ascii="Times New Roman" w:hAnsi="Times New Roman" w:eastAsia="宋体"/>
        </w:rPr>
        <w:t>符合规范：</w:t>
      </w:r>
      <w:r>
        <w:rPr>
          <w:rFonts w:ascii="Times New Roman" w:hAnsi="Times New Roman"/>
          <w:sz w:val="24"/>
          <w:rFonts w:ascii="Times New Roman" w:hAnsi="Times New Roman" w:eastAsia="宋体"/>
        </w:rPr>
        <w:t>CMMI Level 3 / RUP</w:t>
      </w:r>
    </w:p>
    <w:p>
      <w:r>
        <w:br w:type="page"/>
      </w:r>
    </w:p>
    <w:p>
      <w:pPr>
        <w:pStyle w:val="Heading1"/>
        <w:spacing w:line="360" w:lineRule="auto" w:before="0" w:after="240"/>
      </w:pPr>
      <w:r>
        <w:rPr>
          <w:rFonts w:ascii="Times New Roman" w:hAnsi="Times New Roman"/>
          <w:b w:val="0"/>
          <w:i w:val="0"/>
          <w:sz w:val="24"/>
          <w:rFonts w:ascii="Times New Roman" w:hAnsi="Times New Roman" w:eastAsia="黑体"/>
        </w:rPr>
        <w:t>文档修订历史</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41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版本号</w:t>
            </w:r>
          </w:p>
        </w:tc>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修改时间</w:t>
            </w:r>
          </w:p>
        </w:tc>
        <w:tc>
          <w:tcPr>
            <w:tcW w:type="dxa" w:w="3118"/>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修改说明</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作者</w:t>
            </w:r>
          </w:p>
        </w:tc>
        <w:tc>
          <w:tcPr>
            <w:tcW w:type="dxa" w:w="113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审核人</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V0.1</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2026-06-10</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创建初始草案文档大纲</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周康</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贾诗涵</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V0.5</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2026-06-14</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完善各功能模块细部描述与设计内容</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罗志银</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r>
        <w:tc>
          <w:tcPr>
            <w:tcW w:type="dxa" w:w="1417"/>
          </w:tcPr>
          <w:p>
            <w:pPr>
              <w:spacing w:line="276" w:lineRule="auto" w:before="60" w:after="60"/>
              <w:ind w:firstLine="0"/>
              <w:jc w:val="center"/>
            </w:pPr>
            <w:r>
              <w:rPr>
                <w:rFonts w:ascii="Times New Roman" w:hAnsi="Times New Roman"/>
                <w:sz w:val="21"/>
                <w:rFonts w:ascii="Times New Roman" w:hAnsi="Times New Roman" w:eastAsia="宋体"/>
              </w:rPr>
              <w:t>V1.0</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2026-06-18</w:t>
            </w:r>
          </w:p>
        </w:tc>
        <w:tc>
          <w:tcPr>
            <w:tcW w:type="dxa" w:w="3118"/>
          </w:tcPr>
          <w:p>
            <w:pPr>
              <w:spacing w:line="276" w:lineRule="auto" w:before="60" w:after="60"/>
              <w:ind w:firstLine="0"/>
              <w:jc w:val="left"/>
            </w:pPr>
            <w:r>
              <w:rPr>
                <w:rFonts w:ascii="Times New Roman" w:hAnsi="Times New Roman"/>
                <w:sz w:val="21"/>
                <w:rFonts w:ascii="Times New Roman" w:hAnsi="Times New Roman" w:eastAsia="宋体"/>
              </w:rPr>
              <w:t>完成项目初评基线版本，供评审</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第十三组全体</w:t>
            </w:r>
          </w:p>
        </w:tc>
        <w:tc>
          <w:tcPr>
            <w:tcW w:type="dxa" w:w="1134"/>
          </w:tcPr>
          <w:p>
            <w:pPr>
              <w:spacing w:line="276" w:lineRule="auto" w:before="60" w:after="60"/>
              <w:ind w:firstLine="0"/>
              <w:jc w:val="left"/>
            </w:pPr>
            <w:r>
              <w:rPr>
                <w:rFonts w:ascii="Times New Roman" w:hAnsi="Times New Roman"/>
                <w:sz w:val="21"/>
                <w:rFonts w:ascii="Times New Roman" w:hAnsi="Times New Roman" w:eastAsia="宋体"/>
              </w:rPr>
              <w:t>刘玉萍</w:t>
            </w:r>
          </w:p>
        </w:tc>
      </w:tr>
    </w:tbl>
    <w:p>
      <w:pPr>
        <w:spacing w:before="0" w:after="120" w:line="240" w:lineRule="auto"/>
      </w:pPr>
    </w:p>
    <w:p>
      <w:r>
        <w:br w:type="page"/>
      </w:r>
    </w:p>
    <w:p>
      <w:pPr>
        <w:pStyle w:val="Heading1"/>
        <w:spacing w:line="360" w:lineRule="auto" w:before="0" w:after="0"/>
      </w:pPr>
      <w:r>
        <w:rPr>
          <w:rFonts w:ascii="Times New Roman" w:hAnsi="Times New Roman"/>
          <w:b w:val="0"/>
          <w:i w:val="0"/>
          <w:sz w:val="24"/>
          <w:rFonts w:ascii="Times New Roman" w:hAnsi="Times New Roman" w:eastAsia="黑体"/>
        </w:rPr>
        <w:t>1. 引言</w:t>
      </w:r>
    </w:p>
    <w:p>
      <w:pPr>
        <w:pStyle w:val="Heading2"/>
        <w:spacing w:line="360" w:lineRule="auto" w:before="0" w:after="0"/>
      </w:pPr>
      <w:r>
        <w:rPr>
          <w:rFonts w:ascii="Times New Roman" w:hAnsi="Times New Roman"/>
          <w:b w:val="0"/>
          <w:i w:val="0"/>
          <w:sz w:val="24"/>
          <w:rFonts w:ascii="Times New Roman" w:hAnsi="Times New Roman" w:eastAsia="黑体"/>
        </w:rPr>
        <w:t>1.1 编写目的</w:t>
      </w:r>
    </w:p>
    <w:p>
      <w:pPr>
        <w:spacing w:line="360" w:lineRule="auto" w:before="0" w:after="0"/>
        <w:ind w:firstLine="420"/>
      </w:pPr>
      <w:r>
        <w:rPr>
          <w:rFonts w:ascii="Times New Roman" w:hAnsi="Times New Roman"/>
          <w:b w:val="0"/>
          <w:i w:val="0"/>
          <w:sz w:val="24"/>
          <w:rFonts w:ascii="Times New Roman" w:hAnsi="Times New Roman" w:eastAsia="宋体"/>
        </w:rPr>
        <w:t>本测试计划书旨在规划并规范“终身学习学分银行信息平台”的各项测试活动。本文档界定测试策略、测试方法、测试环境配置、缺陷级别定义，以及测试执行的时间安排，作为测试团队执行系统测试、编写具体测试用例、提交实际测试日志的全局指导文件。</w:t>
      </w:r>
    </w:p>
    <w:p>
      <w:pPr>
        <w:pStyle w:val="Heading2"/>
        <w:spacing w:line="360" w:lineRule="auto" w:before="0" w:after="0"/>
      </w:pPr>
      <w:r>
        <w:rPr>
          <w:rFonts w:ascii="Times New Roman" w:hAnsi="Times New Roman"/>
          <w:b w:val="0"/>
          <w:i w:val="0"/>
          <w:sz w:val="24"/>
          <w:rFonts w:ascii="Times New Roman" w:hAnsi="Times New Roman" w:eastAsia="黑体"/>
        </w:rPr>
        <w:t>1.2 项目背景与范围</w:t>
      </w:r>
    </w:p>
    <w:p>
      <w:pPr>
        <w:spacing w:line="360" w:lineRule="auto" w:before="0" w:after="0"/>
        <w:ind w:firstLine="420"/>
      </w:pPr>
      <w:r>
        <w:rPr>
          <w:rFonts w:ascii="Times New Roman" w:hAnsi="Times New Roman"/>
          <w:b w:val="0"/>
          <w:i w:val="0"/>
          <w:sz w:val="24"/>
          <w:rFonts w:ascii="Times New Roman" w:hAnsi="Times New Roman" w:eastAsia="宋体"/>
        </w:rPr>
        <w:t>学分银行平台是一项公共服务平台，学分记录数据具备极高的严肃性。为此，测试团队必须通过全面细致的验证，确保平台功能满足SRS的16项需求。测试范围覆盖全部的用户与权限管理、成果目录审核、专家匹配评审、学分双向折算转换交易等核心链条，以及平台对高并发压力、传输安全、浏览器兼容性等非功能性需求的承受表现。</w:t>
      </w:r>
    </w:p>
    <w:p>
      <w:pPr>
        <w:pStyle w:val="Heading2"/>
        <w:spacing w:line="360" w:lineRule="auto" w:before="0" w:after="0"/>
      </w:pPr>
      <w:r>
        <w:rPr>
          <w:rFonts w:ascii="Times New Roman" w:hAnsi="Times New Roman"/>
          <w:b w:val="0"/>
          <w:i w:val="0"/>
          <w:sz w:val="24"/>
          <w:rFonts w:ascii="Times New Roman" w:hAnsi="Times New Roman" w:eastAsia="黑体"/>
        </w:rPr>
        <w:t>1.3 引用参考文档</w:t>
      </w:r>
    </w:p>
    <w:p>
      <w:pPr>
        <w:spacing w:line="360" w:lineRule="auto" w:before="0" w:after="0"/>
        <w:ind w:firstLine="420"/>
      </w:pPr>
      <w:r>
        <w:rPr>
          <w:rFonts w:ascii="Times New Roman" w:hAnsi="Times New Roman"/>
          <w:b w:val="0"/>
          <w:i w:val="0"/>
          <w:sz w:val="24"/>
          <w:rFonts w:ascii="Times New Roman" w:hAnsi="Times New Roman" w:eastAsia="宋体"/>
        </w:rPr>
        <w:t>1. 《终身学习学分银行信息平台 需求规格说明书 (V1.0)》</w:t>
        <w:br/>
        <w:t>2. 《软件工程 软件产品质量要求与评价》(GB/T 25000.51-2016)</w:t>
        <w:br/>
        <w:t>3. 项目总体研发进度计划 (WBS)</w:t>
      </w:r>
    </w:p>
    <w:p>
      <w:pPr>
        <w:pStyle w:val="Heading1"/>
        <w:spacing w:line="360" w:lineRule="auto" w:before="0" w:after="0"/>
      </w:pPr>
      <w:r>
        <w:rPr>
          <w:rFonts w:ascii="Times New Roman" w:hAnsi="Times New Roman"/>
          <w:b w:val="0"/>
          <w:i w:val="0"/>
          <w:sz w:val="24"/>
          <w:rFonts w:ascii="Times New Roman" w:hAnsi="Times New Roman" w:eastAsia="黑体"/>
        </w:rPr>
        <w:t>2. 测试策略与范围</w:t>
      </w:r>
    </w:p>
    <w:p>
      <w:pPr>
        <w:pStyle w:val="Heading2"/>
        <w:spacing w:line="360" w:lineRule="auto" w:before="0" w:after="0"/>
      </w:pPr>
      <w:r>
        <w:rPr>
          <w:rFonts w:ascii="Times New Roman" w:hAnsi="Times New Roman"/>
          <w:b w:val="0"/>
          <w:i w:val="0"/>
          <w:sz w:val="24"/>
          <w:rFonts w:ascii="Times New Roman" w:hAnsi="Times New Roman" w:eastAsia="黑体"/>
        </w:rPr>
        <w:t>2.1 测试阶段划分</w:t>
      </w:r>
    </w:p>
    <w:p>
      <w:pPr>
        <w:spacing w:line="360" w:lineRule="auto" w:before="0" w:after="0"/>
        <w:ind w:firstLine="420"/>
      </w:pPr>
      <w:r>
        <w:rPr>
          <w:rFonts w:ascii="Times New Roman" w:hAnsi="Times New Roman"/>
          <w:b w:val="0"/>
          <w:i w:val="0"/>
          <w:sz w:val="24"/>
          <w:rFonts w:ascii="Times New Roman" w:hAnsi="Times New Roman" w:eastAsia="宋体"/>
        </w:rPr>
        <w:t>• 单元测试 (Unit Test)：由开发人员编写JUnit脚本，对核心的服务层Java方法和MyBatis映射语句进行功能覆盖。单元测试通过率必须达到100%，覆盖率不低于75%。</w:t>
        <w:br/>
        <w:t>• 集成测试 (Integration Test)：针对各模块的接口API开展集中联调，重点关注前后端数据流通信及复杂多表事务的回滚效果。</w:t>
        <w:br/>
        <w:t>• 系统测试 (System Test)：测试团队在独立的测试环境中，依据测试用例库进行端到端的完整黑盒功能性以及主要非功能性测试。</w:t>
      </w:r>
    </w:p>
    <w:p>
      <w:pPr>
        <w:pStyle w:val="Heading2"/>
        <w:spacing w:line="360" w:lineRule="auto" w:before="0" w:after="0"/>
      </w:pPr>
      <w:r>
        <w:rPr>
          <w:rFonts w:ascii="Times New Roman" w:hAnsi="Times New Roman"/>
          <w:b w:val="0"/>
          <w:i w:val="0"/>
          <w:sz w:val="24"/>
          <w:rFonts w:ascii="Times New Roman" w:hAnsi="Times New Roman" w:eastAsia="黑体"/>
        </w:rPr>
        <w:t>2.2 测试具体范围定义</w:t>
      </w:r>
    </w:p>
    <w:tbl>
      <w:tblPr>
        <w:tblStyle w:val="TableGrid"/>
        <w:tblW w:type="auto" w:w="0"/>
        <w:tblLook w:firstColumn="1" w:firstRow="1" w:lastColumn="0" w:lastRow="0" w:noHBand="0" w:noVBand="1" w:val="04A0"/>
      </w:tblPr>
      <w:tblGrid>
        <w:gridCol w:w="2767"/>
        <w:gridCol w:w="2767"/>
        <w:gridCol w:w="2767"/>
      </w:tblGrid>
      <w:tr>
        <w:tc>
          <w:tcPr>
            <w:tcW w:type="dxa" w:w="1984"/>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模块分类群</w:t>
            </w:r>
          </w:p>
        </w:tc>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是否在测试范围内</w:t>
            </w:r>
          </w:p>
        </w:tc>
        <w:tc>
          <w:tcPr>
            <w:tcW w:type="dxa" w:w="4819"/>
            <w:shd w:fill="F2F2F2" w:val="clear"/>
          </w:tcPr>
          <w:p>
            <w:pPr>
              <w:spacing w:line="276" w:lineRule="auto" w:before="80" w:after="80"/>
              <w:ind w:firstLine="0"/>
              <w:jc w:val="center"/>
            </w:pPr>
            <w:r>
              <w:rPr>
                <w:rFonts w:ascii="Times New Roman" w:hAnsi="Times New Roman"/>
                <w:b/>
                <w:sz w:val="21"/>
                <w:rFonts w:ascii="Times New Roman" w:hAnsi="Times New Roman" w:eastAsia="黑体"/>
              </w:rPr>
              <w:t>测试覆盖重点说明</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用户管理/权限分配 (RBAC)</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测试用户注册、封禁；测试不同角色访问敏感页面时越权拦截逻辑是否生效。</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目录发布与多级审核</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测试目录录入、状态机跳转（待审-发布-驳回）；测试审核意见填写及前端刷新。</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转换规则专家评审</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测试随机专家库抽取与指派、专家登录后的独立意见签署与评审统计决策。</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成果转换与学分账单扣减</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模拟高频转换操作，测试数据库ACID特性，验证原学分锁定与目标免修录入一致性。</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成果目录/转换统计大屏</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验证统计饼图、折线图的数据抓取与聚合逻辑；验证分析数值在多角色下的屏蔽。</w:t>
            </w:r>
          </w:p>
        </w:tc>
      </w:tr>
      <w:tr>
        <w:tc>
          <w:tcPr>
            <w:tcW w:type="dxa" w:w="1984"/>
          </w:tcPr>
          <w:p>
            <w:pPr>
              <w:spacing w:line="276" w:lineRule="auto" w:before="60" w:after="60"/>
              <w:ind w:firstLine="0"/>
              <w:jc w:val="center"/>
            </w:pPr>
            <w:r>
              <w:rPr>
                <w:rFonts w:ascii="Times New Roman" w:hAnsi="Times New Roman"/>
                <w:sz w:val="21"/>
                <w:rFonts w:ascii="Times New Roman" w:hAnsi="Times New Roman" w:eastAsia="宋体"/>
              </w:rPr>
              <w:t>非功能性（压测与安全）</w:t>
            </w:r>
          </w:p>
        </w:tc>
        <w:tc>
          <w:tcPr>
            <w:tcW w:type="dxa" w:w="1701"/>
          </w:tcPr>
          <w:p>
            <w:pPr>
              <w:spacing w:line="276" w:lineRule="auto" w:before="60" w:after="60"/>
              <w:ind w:firstLine="0"/>
              <w:jc w:val="left"/>
            </w:pPr>
            <w:r>
              <w:rPr>
                <w:rFonts w:ascii="Times New Roman" w:hAnsi="Times New Roman"/>
                <w:sz w:val="21"/>
                <w:rFonts w:ascii="Times New Roman" w:hAnsi="Times New Roman" w:eastAsia="宋体"/>
              </w:rPr>
              <w:t>是</w:t>
            </w:r>
          </w:p>
        </w:tc>
        <w:tc>
          <w:tcPr>
            <w:tcW w:type="dxa" w:w="4819"/>
          </w:tcPr>
          <w:p>
            <w:pPr>
              <w:spacing w:line="276" w:lineRule="auto" w:before="60" w:after="60"/>
              <w:ind w:firstLine="0"/>
              <w:jc w:val="left"/>
            </w:pPr>
            <w:r>
              <w:rPr>
                <w:rFonts w:ascii="Times New Roman" w:hAnsi="Times New Roman"/>
                <w:sz w:val="21"/>
                <w:rFonts w:ascii="Times New Roman" w:hAnsi="Times New Roman" w:eastAsia="宋体"/>
              </w:rPr>
              <w:t>测试在1000并发下，接口吞吐量与平均时延；验证密码高强度防SQL注入过滤。</w:t>
            </w:r>
          </w:p>
        </w:tc>
      </w:tr>
    </w:tbl>
    <w:p>
      <w:pPr>
        <w:spacing w:before="0" w:after="120" w:line="240" w:lineRule="auto"/>
      </w:pPr>
    </w:p>
    <w:p>
      <w:pPr>
        <w:pStyle w:val="Heading2"/>
        <w:spacing w:line="360" w:lineRule="auto" w:before="0" w:after="0"/>
      </w:pPr>
      <w:r>
        <w:rPr>
          <w:rFonts w:ascii="Times New Roman" w:hAnsi="Times New Roman"/>
          <w:b w:val="0"/>
          <w:i w:val="0"/>
          <w:sz w:val="24"/>
          <w:rFonts w:ascii="Times New Roman" w:hAnsi="Times New Roman" w:eastAsia="黑体"/>
        </w:rPr>
        <w:t>2.3 核心测试类型</w:t>
      </w:r>
    </w:p>
    <w:p>
      <w:pPr>
        <w:spacing w:line="360" w:lineRule="auto" w:before="0" w:after="0"/>
        <w:ind w:firstLine="420"/>
      </w:pPr>
      <w:r>
        <w:rPr>
          <w:rFonts w:ascii="Times New Roman" w:hAnsi="Times New Roman"/>
          <w:b w:val="0"/>
          <w:i w:val="0"/>
          <w:sz w:val="24"/>
          <w:rFonts w:ascii="Times New Roman" w:hAnsi="Times New Roman" w:eastAsia="宋体"/>
        </w:rPr>
        <w:t>• 功能性测试：通过模拟人机交互输入，检查界面操作与后台计算数据流是否正确。</w:t>
        <w:br/>
        <w:t>• 安全防护测试：利用渗透工具验证是否存在XSS注入漏洞、越权访问或明文敏感传输。</w:t>
        <w:br/>
        <w:t>• 浏览器兼容测试：在不同系统（Windows/macOS）及多种不同内核浏览器（Chrome, Edge, Firefox, Safari）下运行以保证界面显示对齐与正常响应。</w:t>
      </w:r>
    </w:p>
    <w:p>
      <w:pPr>
        <w:pStyle w:val="Heading1"/>
        <w:spacing w:line="360" w:lineRule="auto" w:before="0" w:after="0"/>
      </w:pPr>
      <w:r>
        <w:rPr>
          <w:rFonts w:ascii="Times New Roman" w:hAnsi="Times New Roman"/>
          <w:b w:val="0"/>
          <w:i w:val="0"/>
          <w:sz w:val="24"/>
          <w:rFonts w:ascii="Times New Roman" w:hAnsi="Times New Roman" w:eastAsia="黑体"/>
        </w:rPr>
        <w:t>3. 测试环境配置</w:t>
      </w:r>
    </w:p>
    <w:p>
      <w:pPr>
        <w:pStyle w:val="Heading2"/>
        <w:spacing w:line="360" w:lineRule="auto" w:before="0" w:after="0"/>
      </w:pPr>
      <w:r>
        <w:rPr>
          <w:rFonts w:ascii="Times New Roman" w:hAnsi="Times New Roman"/>
          <w:b w:val="0"/>
          <w:i w:val="0"/>
          <w:sz w:val="24"/>
          <w:rFonts w:ascii="Times New Roman" w:hAnsi="Times New Roman" w:eastAsia="黑体"/>
        </w:rPr>
        <w:t>3.1 硬件测试环境</w:t>
      </w:r>
    </w:p>
    <w:p>
      <w:pPr>
        <w:spacing w:line="360" w:lineRule="auto" w:before="0" w:after="0"/>
        <w:ind w:firstLine="420"/>
      </w:pPr>
      <w:r>
        <w:rPr>
          <w:rFonts w:ascii="Times New Roman" w:hAnsi="Times New Roman"/>
          <w:b w:val="0"/>
          <w:i w:val="0"/>
          <w:sz w:val="24"/>
          <w:rFonts w:ascii="Times New Roman" w:hAnsi="Times New Roman" w:eastAsia="宋体"/>
        </w:rPr>
        <w:t>测试服务器硬件基础使用：16核Intel Xeon CPU，32GB 内存，高速企业SSD硬盘存储。</w:t>
      </w:r>
    </w:p>
    <w:p>
      <w:pPr>
        <w:pStyle w:val="Heading2"/>
        <w:spacing w:line="360" w:lineRule="auto" w:before="0" w:after="0"/>
      </w:pPr>
      <w:r>
        <w:rPr>
          <w:rFonts w:ascii="Times New Roman" w:hAnsi="Times New Roman"/>
          <w:b w:val="0"/>
          <w:i w:val="0"/>
          <w:sz w:val="24"/>
          <w:rFonts w:ascii="Times New Roman" w:hAnsi="Times New Roman" w:eastAsia="黑体"/>
        </w:rPr>
        <w:t>3.2 软件与网络配置</w:t>
      </w:r>
    </w:p>
    <w:p>
      <w:pPr>
        <w:spacing w:line="360" w:lineRule="auto" w:before="0" w:after="0"/>
        <w:ind w:firstLine="420"/>
      </w:pPr>
      <w:r>
        <w:rPr>
          <w:rFonts w:ascii="Times New Roman" w:hAnsi="Times New Roman"/>
          <w:b w:val="0"/>
          <w:i w:val="0"/>
          <w:sz w:val="24"/>
          <w:rFonts w:ascii="Times New Roman" w:hAnsi="Times New Roman" w:eastAsia="宋体"/>
        </w:rPr>
        <w:t>• 操作系统：CentOS Linux 8.5 企业发行版。</w:t>
        <w:br/>
        <w:t>• 基础中间件：Tomcat 9.0 应用服务层，配合 Redis 缓存层。</w:t>
        <w:br/>
        <w:t>• 数据库服务器：MySQL 8.0，开启Binlog并单独隔离。</w:t>
        <w:br/>
        <w:t>• 测试网络环境：局域网千兆专用测试带宽，排除互联网丢包及网络带宽抖动因素。</w:t>
      </w:r>
    </w:p>
    <w:p>
      <w:pPr>
        <w:pStyle w:val="Heading1"/>
        <w:spacing w:line="360" w:lineRule="auto" w:before="0" w:after="0"/>
      </w:pPr>
      <w:r>
        <w:rPr>
          <w:rFonts w:ascii="Times New Roman" w:hAnsi="Times New Roman"/>
          <w:b w:val="0"/>
          <w:i w:val="0"/>
          <w:sz w:val="24"/>
          <w:rFonts w:ascii="Times New Roman" w:hAnsi="Times New Roman" w:eastAsia="黑体"/>
        </w:rPr>
        <w:t>4. 缺陷定义与严重等级划分</w:t>
      </w:r>
    </w:p>
    <w:p>
      <w:pPr>
        <w:spacing w:line="360" w:lineRule="auto" w:before="0" w:after="0"/>
        <w:ind w:firstLine="420"/>
      </w:pPr>
      <w:r>
        <w:rPr>
          <w:rFonts w:ascii="Times New Roman" w:hAnsi="Times New Roman"/>
          <w:b w:val="0"/>
          <w:i w:val="0"/>
          <w:sz w:val="24"/>
          <w:rFonts w:ascii="Times New Roman" w:hAnsi="Times New Roman" w:eastAsia="宋体"/>
        </w:rPr>
        <w:t>测试执行期间发现的每一处偏差都必须记录在案，并根据影响程度指定缺陷的生命周期和严重等级：</w:t>
      </w:r>
    </w:p>
    <w:tbl>
      <w:tblPr>
        <w:tblStyle w:val="TableGrid"/>
        <w:tblW w:type="auto" w:w="0"/>
        <w:tblLook w:firstColumn="1" w:firstRow="1" w:lastColumn="0" w:lastRow="0" w:noHBand="0" w:noVBand="1" w:val="04A0"/>
      </w:tblPr>
      <w:tblGrid>
        <w:gridCol w:w="2767"/>
        <w:gridCol w:w="2767"/>
        <w:gridCol w:w="2767"/>
      </w:tblGrid>
      <w:tr>
        <w:tc>
          <w:tcPr>
            <w:tcW w:type="dxa" w:w="1701"/>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缺陷严重级别</w:t>
            </w:r>
          </w:p>
        </w:tc>
        <w:tc>
          <w:tcPr>
            <w:tcW w:type="dxa" w:w="1417"/>
            <w:shd w:fill="F2F2F2" w:val="clear"/>
          </w:tcPr>
          <w:p>
            <w:pPr>
              <w:spacing w:line="276" w:lineRule="auto" w:before="80" w:after="80"/>
              <w:ind w:firstLine="0"/>
              <w:jc w:val="center"/>
            </w:pPr>
            <w:r>
              <w:rPr>
                <w:rFonts w:ascii="Times New Roman" w:hAnsi="Times New Roman"/>
                <w:b/>
                <w:sz w:val="21"/>
                <w:rFonts w:ascii="Times New Roman" w:hAnsi="Times New Roman" w:eastAsia="黑体"/>
              </w:rPr>
              <w:t>级别英文简称</w:t>
            </w:r>
          </w:p>
        </w:tc>
        <w:tc>
          <w:tcPr>
            <w:tcW w:type="dxa" w:w="5386"/>
            <w:shd w:fill="F2F2F2" w:val="clear"/>
          </w:tcPr>
          <w:p>
            <w:pPr>
              <w:spacing w:line="276" w:lineRule="auto" w:before="80" w:after="80"/>
              <w:ind w:firstLine="0"/>
              <w:jc w:val="center"/>
            </w:pPr>
            <w:r>
              <w:rPr>
                <w:rFonts w:ascii="Times New Roman" w:hAnsi="Times New Roman"/>
                <w:b/>
                <w:sz w:val="21"/>
                <w:rFonts w:ascii="Times New Roman" w:hAnsi="Times New Roman" w:eastAsia="黑体"/>
              </w:rPr>
              <w:t>判断准则与严重性描述说明</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1级：致命崩溃</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Blocker</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系统核心逻辑无法工作、出现蓝屏/假死、服务崩溃挂机、关键学分数据发生计算紊乱或数据库异常回滚失败。</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2级：严重阻碍</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Critical</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模块主要业务功能缺失或执行报错，存在安全漏洞（越权、未加密传输），测试执行受到严重阻碍且无临时替代方案。</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3级：一般缺陷</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Major</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次要业务逻辑未能正常输出、用户录入表单合法校验规则未生效、统计图表抓取分类口径有偏差，但存在可用规避方案。</w:t>
            </w:r>
          </w:p>
        </w:tc>
      </w:tr>
      <w:tr>
        <w:tc>
          <w:tcPr>
            <w:tcW w:type="dxa" w:w="1701"/>
          </w:tcPr>
          <w:p>
            <w:pPr>
              <w:spacing w:line="276" w:lineRule="auto" w:before="60" w:after="60"/>
              <w:ind w:firstLine="0"/>
              <w:jc w:val="center"/>
            </w:pPr>
            <w:r>
              <w:rPr>
                <w:rFonts w:ascii="Times New Roman" w:hAnsi="Times New Roman"/>
                <w:sz w:val="21"/>
                <w:rFonts w:ascii="Times New Roman" w:hAnsi="Times New Roman" w:eastAsia="宋体"/>
              </w:rPr>
              <w:t>4级：微小瑕疵</w:t>
            </w:r>
          </w:p>
        </w:tc>
        <w:tc>
          <w:tcPr>
            <w:tcW w:type="dxa" w:w="1417"/>
          </w:tcPr>
          <w:p>
            <w:pPr>
              <w:spacing w:line="276" w:lineRule="auto" w:before="60" w:after="60"/>
              <w:ind w:firstLine="0"/>
              <w:jc w:val="left"/>
            </w:pPr>
            <w:r>
              <w:rPr>
                <w:rFonts w:ascii="Times New Roman" w:hAnsi="Times New Roman"/>
                <w:sz w:val="21"/>
                <w:rFonts w:ascii="Times New Roman" w:hAnsi="Times New Roman" w:eastAsia="宋体"/>
              </w:rPr>
              <w:t>Minor</w:t>
            </w:r>
          </w:p>
        </w:tc>
        <w:tc>
          <w:tcPr>
            <w:tcW w:type="dxa" w:w="5386"/>
          </w:tcPr>
          <w:p>
            <w:pPr>
              <w:spacing w:line="276" w:lineRule="auto" w:before="60" w:after="60"/>
              <w:ind w:firstLine="0"/>
              <w:jc w:val="left"/>
            </w:pPr>
            <w:r>
              <w:rPr>
                <w:rFonts w:ascii="Times New Roman" w:hAnsi="Times New Roman"/>
                <w:sz w:val="21"/>
                <w:rFonts w:ascii="Times New Roman" w:hAnsi="Times New Roman" w:eastAsia="宋体"/>
              </w:rPr>
              <w:t>界面中存在错别字、字体格式排版未对齐、表格在低分辨率屏幕下显示不够优美、文字局部被截断等。</w:t>
            </w:r>
          </w:p>
        </w:tc>
      </w:tr>
    </w:tbl>
    <w:p>
      <w:pPr>
        <w:spacing w:before="0" w:after="120" w:line="240" w:lineRule="auto"/>
      </w:pPr>
    </w:p>
    <w:p>
      <w:pPr>
        <w:pStyle w:val="Heading1"/>
        <w:spacing w:line="360" w:lineRule="auto" w:before="0" w:after="0"/>
      </w:pPr>
      <w:r>
        <w:rPr>
          <w:rFonts w:ascii="Times New Roman" w:hAnsi="Times New Roman"/>
          <w:b w:val="0"/>
          <w:i w:val="0"/>
          <w:sz w:val="24"/>
          <w:rFonts w:ascii="Times New Roman" w:hAnsi="Times New Roman" w:eastAsia="黑体"/>
        </w:rPr>
        <w:t>5. 测试里程碑与进度计划</w:t>
      </w:r>
    </w:p>
    <w:p>
      <w:pPr>
        <w:spacing w:line="360" w:lineRule="auto" w:before="0" w:after="0"/>
        <w:ind w:firstLine="420"/>
      </w:pPr>
      <w:r>
        <w:rPr>
          <w:rFonts w:ascii="Times New Roman" w:hAnsi="Times New Roman"/>
          <w:b w:val="0"/>
          <w:i w:val="0"/>
          <w:sz w:val="24"/>
          <w:rFonts w:ascii="Times New Roman" w:hAnsi="Times New Roman" w:eastAsia="宋体"/>
        </w:rPr>
        <w:t>• 2026-06-20 ~ 06-22：完成《测试用例库》编写并通过阶段基线评审。</w:t>
        <w:br/>
        <w:t>• 2026-06-24 ~ 07-13：根据开发各微模块提测周期，开展冒烟测试与第一轮功能模块全面测试，记录测试日志。</w:t>
        <w:br/>
        <w:t>• 2026-07-14 ~ 07-17：开展缺陷回归验证，执行大负荷压力测试与跨浏览器兼容性检查。</w:t>
        <w:br/>
        <w:t>• 2026-07-18 ~ 07-20：完成最终版回归，清零全部1级、2级和3级缺陷；编写并交付《系统测试报告》。</w:t>
      </w:r>
    </w:p>
    <w:p>
      <w:pPr>
        <w:pStyle w:val="Heading1"/>
        <w:spacing w:line="360" w:lineRule="auto" w:before="0" w:after="0"/>
      </w:pPr>
      <w:r>
        <w:rPr>
          <w:rFonts w:ascii="Times New Roman" w:hAnsi="Times New Roman"/>
          <w:b w:val="0"/>
          <w:i w:val="0"/>
          <w:sz w:val="24"/>
          <w:rFonts w:ascii="Times New Roman" w:hAnsi="Times New Roman" w:eastAsia="黑体"/>
        </w:rPr>
        <w:t>6. 风险与资源管理</w:t>
      </w:r>
    </w:p>
    <w:p>
      <w:pPr>
        <w:spacing w:line="360" w:lineRule="auto" w:before="0" w:after="0"/>
        <w:ind w:firstLine="420"/>
      </w:pPr>
      <w:r>
        <w:rPr>
          <w:rFonts w:ascii="Times New Roman" w:hAnsi="Times New Roman"/>
          <w:b w:val="0"/>
          <w:i w:val="0"/>
          <w:sz w:val="24"/>
          <w:rFonts w:ascii="Times New Roman" w:hAnsi="Times New Roman" w:eastAsia="宋体"/>
        </w:rPr>
        <w:t>• 进度延误风险：若开发提测延后导致测试时间被压缩，测试组将启动夜间加班机制，优先验证16个功能模块中的“学分认证”、“规则评审”与“转换管理”三大核心高优先级场景。</w:t>
        <w:br/>
        <w:t>• 需求变动风险：在测试执行期间发生的需求调整，配置管理员与测试工程师（均为刘玉萍）需在2小时内同步并调整测试计划，并在受控库中对受影响的测试用例进行版本更新。</w:t>
      </w:r>
    </w:p>
    <w:sectPr w:rsidR="00FC693F" w:rsidRPr="0006063C" w:rsidSect="00034616">
      <w:footerReference w:type="default" r:id="rId9"/>
      <w:pgSz w:w="11906" w:h="16838"/>
      <w:pgMar w:top="1440" w:right="1803" w:bottom="1440" w:left="1803"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rFonts w:ascii="Times New Roman" w:hAnsi="Times New Roman" w:eastAsia="宋体"/>
        <w:sz w:val="18"/>
      </w:rPr>
      <w:fldChar w:fldCharType="begin"/>
      <w:instrText xml:space="preserve"> PAGE \* MERGEFORMAT </w:instrText>
      <w:fldChar w:fldCharType="separate"/>
      <w:t>2</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360" w:lineRule="auto"/>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200" w:line="360" w:lineRule="auto"/>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60" w:line="360" w:lineRule="auto"/>
      <w:outlineLvl w:val="2"/>
    </w:pPr>
    <w:rPr>
      <w:rFonts w:asciiTheme="majorHAnsi" w:eastAsiaTheme="majorEastAsia" w:hAnsiTheme="majorHAnsi" w:cstheme="majorBidi"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360" w:lineRule="auto" w:before="480"/>
      <w:contextualSpacing/>
    </w:pPr>
    <w:rPr>
      <w:rFonts w:asciiTheme="majorHAnsi" w:eastAsiaTheme="majorEastAsia" w:hAnsiTheme="majorHAnsi" w:cstheme="majorBidi" w:ascii="Times New Roman" w:hAnsi="Times New Roman" w:eastAsia="黑体"/>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