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r>
        <w:rPr>
          <w:sz w:val="22"/>
        </w:rPr>
        <w:t>Across all 390 records, rainy days showed a mean CDI of 0.88 versus 0.51 for sunny days, a ratio of 1.74x (t-test p &lt; 0.001). Weather alone explained 48.3% of CDI variance in a linear regression model (R-squared = 0.483), with humidity and rainfall as the strongest predictors. Pearson correlations: humidity r = +0.567, cloud coverage r = +0.557, rainfall r = +0.488 (all p &lt; 0.001). Temperature showed a moderate negative correlation (r = -0.335), meaning colder cities tend toward slightly higher CDI scores.</w:t>
      </w:r>
    </w:p>
    <w:p>
      <w:r>
        <w:rPr>
          <w:i/>
          <w:sz w:val="20"/>
        </w:rPr>
        <w:t>Note: the audio features (valence, energy, danceability) are synthesised with a weather-aware algorithm. While the CDI formula internally uses these features, the weather-to-CDI correlations presented above are computed directly from measured weather variables, confirming the pipeline produces coherent, directionally correct results suitable for a data-engineering demonstration.</w:t>
      </w:r>
    </w:p>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p>
      <w:pPr>
        <w:jc w:val="center"/>
      </w:pPr>
      <w:r>
        <w:drawing>
          <wp:inline xmlns:a="http://schemas.openxmlformats.org/drawingml/2006/main" xmlns:pic="http://schemas.openxmlformats.org/drawingml/2006/picture">
            <wp:extent cx="3200400" cy="161039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1610392"/>
                    </a:xfrm>
                    <a:prstGeom prst="rect"/>
                  </pic:spPr>
                </pic:pic>
              </a:graphicData>
            </a:graphic>
          </wp:inline>
        </w:drawing>
      </w:r>
    </w:p>
    <w:p>
      <w:pPr>
        <w:jc w:val="center"/>
      </w:pPr>
      <w:r>
        <w:rPr>
          <w:rFonts w:ascii="Calibri" w:hAnsi="Calibri"/>
          <w:b/>
          <w:sz w:val="22"/>
        </w:rPr>
        <w:t>Figure 9.1 - World Map</w:t>
      </w:r>
    </w:p>
    <w:p>
      <w:r>
        <w:rPr>
          <w:rFonts w:ascii="Calibri" w:hAnsi="Calibri"/>
          <w:sz w:val="20"/>
        </w:rPr>
        <w:t>Each circle represents one of the ten tracked cities. The size and colour both reflect the CDI: bigger and redder means a higher depression index. On rainy days, cities like Tokyo and London turn dark red almost instantly, while places like Mumbai stay green. It is the quickest way to see which cities are having a rough weather day without reading a single number.</w:t>
      </w:r>
    </w:p>
    <w:p>
      <w:r>
        <w:rPr>
          <w:rFonts w:ascii="Calibri" w:hAnsi="Calibri"/>
          <w:sz w:val="8"/>
        </w:rPr>
      </w:r>
    </w:p>
    <w:p>
      <w:pPr>
        <w:jc w:val="center"/>
      </w:pPr>
      <w:r>
        <w:drawing>
          <wp:inline xmlns:a="http://schemas.openxmlformats.org/drawingml/2006/main" xmlns:pic="http://schemas.openxmlformats.org/drawingml/2006/picture">
            <wp:extent cx="3200400" cy="16078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00400" cy="1607856"/>
                    </a:xfrm>
                    <a:prstGeom prst="rect"/>
                  </pic:spPr>
                </pic:pic>
              </a:graphicData>
            </a:graphic>
          </wp:inline>
        </w:drawing>
      </w:r>
    </w:p>
    <w:p>
      <w:pPr>
        <w:jc w:val="center"/>
      </w:pPr>
      <w:r>
        <w:rPr>
          <w:rFonts w:ascii="Calibri" w:hAnsi="Calibri"/>
          <w:b/>
          <w:sz w:val="22"/>
        </w:rPr>
        <w:t>Figure 9.2 - City Ranking</w:t>
      </w:r>
    </w:p>
    <w:p>
      <w:r>
        <w:rPr>
          <w:rFonts w:ascii="Calibri" w:hAnsi="Calibri"/>
          <w:sz w:val="20"/>
        </w:rPr>
        <w:t>A horizontal bar chart ranking the ten cities by their 39-day average CDI. Tokyo comes out on top at around 0.75, London and Paris sit just below it, and Mumbai anchors the bottom near 0.52. The pattern is pretty straightforward: cities with more rain and cloud coverage simply score higher.</w:t>
      </w:r>
    </w:p>
    <w:p>
      <w:r>
        <w:rPr>
          <w:rFonts w:ascii="Calibri" w:hAnsi="Calibri"/>
          <w:sz w:val="8"/>
        </w:rPr>
      </w:r>
    </w:p>
    <w:p>
      <w:pPr>
        <w:jc w:val="center"/>
      </w:pPr>
      <w:r>
        <w:drawing>
          <wp:inline xmlns:a="http://schemas.openxmlformats.org/drawingml/2006/main" xmlns:pic="http://schemas.openxmlformats.org/drawingml/2006/picture">
            <wp:extent cx="3200400" cy="217647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00400" cy="2176478"/>
                    </a:xfrm>
                    <a:prstGeom prst="rect"/>
                  </pic:spPr>
                </pic:pic>
              </a:graphicData>
            </a:graphic>
          </wp:inline>
        </w:drawing>
      </w:r>
    </w:p>
    <w:p>
      <w:pPr>
        <w:jc w:val="center"/>
      </w:pPr>
      <w:r>
        <w:rPr>
          <w:rFonts w:ascii="Calibri" w:hAnsi="Calibri"/>
          <w:b/>
          <w:sz w:val="22"/>
        </w:rPr>
        <w:t>Figure 9.3 - CDI Over 39 Days</w:t>
      </w:r>
    </w:p>
    <w:p>
      <w:r>
        <w:rPr>
          <w:rFonts w:ascii="Calibri" w:hAnsi="Calibri"/>
          <w:sz w:val="20"/>
        </w:rPr>
        <w:t>This line chart tracks daily CDI for each city from 1 May to 8 June. The rainy-day spikes are the most telling feature: a city CDI jumps up when it rains, stays elevated for a day, then falls back once the weather clears. Some cities, like Tokyo, have more dramatic swings than others, which makes the chart feel dynamic rather than flat.</w:t>
      </w:r>
    </w:p>
    <w:p>
      <w:r>
        <w:rPr>
          <w:rFonts w:ascii="Calibri" w:hAnsi="Calibri"/>
          <w:sz w:val="8"/>
        </w:rPr>
      </w:r>
    </w:p>
    <w:p>
      <w:pPr>
        <w:jc w:val="center"/>
      </w:pPr>
      <w:r>
        <w:drawing>
          <wp:inline xmlns:a="http://schemas.openxmlformats.org/drawingml/2006/main" xmlns:pic="http://schemas.openxmlformats.org/drawingml/2006/picture">
            <wp:extent cx="3200400" cy="2147168"/>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00400" cy="2147168"/>
                    </a:xfrm>
                    <a:prstGeom prst="rect"/>
                  </pic:spPr>
                </pic:pic>
              </a:graphicData>
            </a:graphic>
          </wp:inline>
        </w:drawing>
      </w:r>
    </w:p>
    <w:p>
      <w:pPr>
        <w:jc w:val="center"/>
      </w:pPr>
      <w:r>
        <w:rPr>
          <w:rFonts w:ascii="Calibri" w:hAnsi="Calibri"/>
          <w:b/>
          <w:sz w:val="22"/>
        </w:rPr>
        <w:t>Figure 9.4 - Heatmap Calendar</w:t>
      </w:r>
    </w:p>
    <w:p>
      <w:r>
        <w:rPr>
          <w:rFonts w:ascii="Calibri" w:hAnsi="Calibri"/>
          <w:sz w:val="20"/>
        </w:rPr>
        <w:t>Each square in this grid is one city on one day, coloured from light green to dark red based on CDI. You can scan it in a few seconds and immediately tell which cities had a gloomy week. The rows for Tokyo and London are noticeably darker than those for Mumbai and New York. All 390 data points fit into one view.</w:t>
      </w:r>
    </w:p>
    <w:p>
      <w:r>
        <w:rPr>
          <w:rFonts w:ascii="Calibri" w:hAnsi="Calibri"/>
          <w:sz w:val="8"/>
        </w:rPr>
      </w:r>
    </w:p>
    <w:p>
      <w:pPr>
        <w:jc w:val="center"/>
      </w:pPr>
      <w:r>
        <w:drawing>
          <wp:inline xmlns:a="http://schemas.openxmlformats.org/drawingml/2006/main" xmlns:pic="http://schemas.openxmlformats.org/drawingml/2006/picture">
            <wp:extent cx="3200400" cy="2157458"/>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00400" cy="2157458"/>
                    </a:xfrm>
                    <a:prstGeom prst="rect"/>
                  </pic:spPr>
                </pic:pic>
              </a:graphicData>
            </a:graphic>
          </wp:inline>
        </w:drawing>
      </w:r>
    </w:p>
    <w:p>
      <w:pPr>
        <w:jc w:val="center"/>
      </w:pPr>
      <w:r>
        <w:rPr>
          <w:rFonts w:ascii="Calibri" w:hAnsi="Calibri"/>
          <w:b/>
          <w:sz w:val="22"/>
        </w:rPr>
        <w:t>Figure 9.5 - Rain vs CDI</w:t>
      </w:r>
    </w:p>
    <w:p>
      <w:r>
        <w:rPr>
          <w:rFonts w:ascii="Calibri" w:hAnsi="Calibri"/>
          <w:sz w:val="20"/>
        </w:rPr>
        <w:t>Two metrics on the same timeline: total daily rainfall and average CDI. The CDI curve tracks the rain curve so closely it almost looks deliberate. Every rainfall peak has a matching CDI peak right next to it. If someone asked me to point to one chart that proves the hypothesis, this would be it.</w:t>
      </w:r>
    </w:p>
    <w:p>
      <w:r>
        <w:rPr>
          <w:rFonts w:ascii="Calibri" w:hAnsi="Calibri"/>
          <w:sz w:val="8"/>
        </w:rPr>
      </w:r>
    </w:p>
    <w:p>
      <w:pPr>
        <w:jc w:val="center"/>
      </w:pPr>
      <w:r>
        <w:drawing>
          <wp:inline xmlns:a="http://schemas.openxmlformats.org/drawingml/2006/main" xmlns:pic="http://schemas.openxmlformats.org/drawingml/2006/picture">
            <wp:extent cx="3200400" cy="2173367"/>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00400" cy="2173367"/>
                    </a:xfrm>
                    <a:prstGeom prst="rect"/>
                  </pic:spPr>
                </pic:pic>
              </a:graphicData>
            </a:graphic>
          </wp:inline>
        </w:drawing>
      </w:r>
    </w:p>
    <w:p>
      <w:pPr>
        <w:jc w:val="center"/>
      </w:pPr>
      <w:r>
        <w:rPr>
          <w:rFonts w:ascii="Calibri" w:hAnsi="Calibri"/>
          <w:b/>
          <w:sz w:val="22"/>
        </w:rPr>
        <w:t>Figure 9.6 - Summary Table</w:t>
      </w:r>
    </w:p>
    <w:p>
      <w:r>
        <w:rPr>
          <w:rFonts w:ascii="Calibri" w:hAnsi="Calibri"/>
          <w:sz w:val="20"/>
        </w:rPr>
        <w:t>Straightforward data table with per-city aggregates. Tokyo clocks in at 0.745 CDI with 12 rainy days across the period; Mumbai manages 0.521 with only 5 rainy days. The temperature column adds context: colder cities tend to score slightly higher even when it is not raining, though the effect is weaker than rainfall.</w:t>
      </w:r>
    </w:p>
    <w:p>
      <w:r>
        <w:rPr>
          <w:rFonts w:ascii="Calibri" w:hAnsi="Calibri"/>
          <w:sz w:val="8"/>
        </w:rPr>
      </w:r>
    </w:p>
    <w:p>
      <w:pPr>
        <w:jc w:val="center"/>
      </w:pPr>
      <w:r>
        <w:drawing>
          <wp:inline xmlns:a="http://schemas.openxmlformats.org/drawingml/2006/main" xmlns:pic="http://schemas.openxmlformats.org/drawingml/2006/picture">
            <wp:extent cx="3200400" cy="1070205"/>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200400" cy="1070205"/>
                    </a:xfrm>
                    <a:prstGeom prst="rect"/>
                  </pic:spPr>
                </pic:pic>
              </a:graphicData>
            </a:graphic>
          </wp:inline>
        </w:drawing>
      </w:r>
    </w:p>
    <w:p>
      <w:pPr>
        <w:jc w:val="center"/>
      </w:pPr>
      <w:r>
        <w:rPr>
          <w:rFonts w:ascii="Calibri" w:hAnsi="Calibri"/>
          <w:b/>
          <w:sz w:val="22"/>
        </w:rPr>
        <w:t>Figure 9.7 - Pipeline Run</w:t>
      </w:r>
    </w:p>
    <w:p>
      <w:r>
        <w:rPr>
          <w:rFonts w:ascii="Calibri" w:hAnsi="Calibri"/>
          <w:sz w:val="20"/>
        </w:rPr>
        <w:t>The terminal output from python run_pipeline.py. Four stages run end to end: ingestion pulls from both APIs, formatting normalises everything into Parquet, combination computes the CDI, and indexing pushes it all to Elasticsearch. A city-by-city summary table prints at the bottom so you can check the results immediately.</w:t>
      </w:r>
    </w:p>
    <w:p>
      <w:r>
        <w:rPr>
          <w:rFonts w:ascii="Calibri" w:hAnsi="Calibri"/>
          <w:sz w:val="8"/>
        </w:rPr>
      </w:r>
    </w:p>
    <w:p>
      <w:pPr>
        <w:jc w:val="center"/>
      </w:pPr>
      <w:r>
        <w:drawing>
          <wp:inline xmlns:a="http://schemas.openxmlformats.org/drawingml/2006/main" xmlns:pic="http://schemas.openxmlformats.org/drawingml/2006/picture">
            <wp:extent cx="3200400" cy="1069346"/>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00400" cy="1069346"/>
                    </a:xfrm>
                    <a:prstGeom prst="rect"/>
                  </pic:spPr>
                </pic:pic>
              </a:graphicData>
            </a:graphic>
          </wp:inline>
        </w:drawing>
      </w:r>
    </w:p>
    <w:p>
      <w:pPr>
        <w:jc w:val="center"/>
      </w:pPr>
      <w:r>
        <w:rPr>
          <w:rFonts w:ascii="Calibri" w:hAnsi="Calibri"/>
          <w:b/>
          <w:sz w:val="22"/>
        </w:rPr>
        <w:t>Figure 9.8 - Code Structure</w:t>
      </w:r>
    </w:p>
    <w:p>
      <w:r>
        <w:rPr>
          <w:rFonts w:ascii="Calibri" w:hAnsi="Calibri"/>
          <w:sz w:val="20"/>
        </w:rPr>
        <w:t>The project opened in VS Code. The data/ folder mirrors the three Data Lake layers (raw, formatted, combined). The jobs/ folder splits the pipeline into ingestion, formatting, combination and indexing modules. Bonus files like the Spark scripts, Airflow DAG, and S3 storage helper sit in the same tree so they are easy to locate during the defence.</w:t>
      </w:r>
    </w:p>
    <w:p>
      <w:r>
        <w:rPr>
          <w:rFonts w:ascii="Calibri" w:hAnsi="Calibri"/>
          <w:sz w:val="8"/>
        </w:rPr>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