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color w:val="000000"/>
          <w:sz w:val="40"/>
        </w:rPr>
        <w:t>To Bee or Not To Bee</w:t>
      </w:r>
    </w:p>
    <w:p>
      <w:pPr>
        <w:spacing w:after="200"/>
        <w:jc w:val="center"/>
      </w:pPr>
      <w:r>
        <w:rPr>
          <w:rFonts w:ascii="Times New Roman" w:hAnsi="Times New Roman" w:eastAsia="Times New Roman"/>
          <w:color w:val="000000"/>
          <w:sz w:val="24"/>
        </w:rPr>
        <w:t>Machine Learning Report</w:t>
      </w:r>
    </w:p>
    <w:p>
      <w:pPr>
        <w:spacing w:after="40"/>
      </w:pPr>
      <w:r>
        <w:rPr>
          <w:rFonts w:ascii="Times New Roman" w:hAnsi="Times New Roman" w:eastAsia="Times New Roman"/>
          <w:b/>
          <w:color w:val="000000"/>
          <w:sz w:val="22"/>
        </w:rPr>
        <w:t xml:space="preserve">Course: </w:t>
      </w:r>
      <w:r>
        <w:rPr>
          <w:rFonts w:ascii="Times New Roman" w:hAnsi="Times New Roman" w:eastAsia="Times New Roman"/>
          <w:color w:val="000000"/>
          <w:sz w:val="22"/>
        </w:rPr>
        <w:t>IG.2412</w:t>
      </w:r>
    </w:p>
    <w:p>
      <w:pPr>
        <w:spacing w:after="40"/>
      </w:pPr>
      <w:r>
        <w:rPr>
          <w:rFonts w:ascii="Times New Roman" w:hAnsi="Times New Roman" w:eastAsia="Times New Roman"/>
          <w:b/>
          <w:color w:val="000000"/>
          <w:sz w:val="22"/>
        </w:rPr>
        <w:t xml:space="preserve">Date: </w:t>
      </w:r>
      <w:r>
        <w:rPr>
          <w:rFonts w:ascii="Times New Roman" w:hAnsi="Times New Roman" w:eastAsia="Times New Roman"/>
          <w:color w:val="000000"/>
          <w:sz w:val="22"/>
        </w:rPr>
        <w:t>2026-06-06</w:t>
      </w:r>
    </w:p>
    <w:p>
      <w:pPr>
        <w:spacing w:after="40"/>
      </w:pPr>
      <w:r>
        <w:rPr>
          <w:rFonts w:ascii="Times New Roman" w:hAnsi="Times New Roman" w:eastAsia="Times New Roman"/>
          <w:b/>
          <w:color w:val="000000"/>
          <w:sz w:val="22"/>
        </w:rPr>
        <w:t xml:space="preserve">Task: </w:t>
      </w:r>
      <w:r>
        <w:rPr>
          <w:rFonts w:ascii="Times New Roman" w:hAnsi="Times New Roman" w:eastAsia="Times New Roman"/>
          <w:color w:val="000000"/>
          <w:sz w:val="22"/>
        </w:rPr>
        <w:t>Classify pollinator insects from masked high-resolution images.</w:t>
      </w:r>
    </w:p>
    <w:p>
      <w:pPr>
        <w:pStyle w:val="Heading1"/>
        <w:jc w:val="left"/>
      </w:pPr>
      <w:r>
        <w:rPr>
          <w:rFonts w:ascii="Times New Roman" w:hAnsi="Times New Roman" w:eastAsia="Times New Roman"/>
          <w:b/>
          <w:color w:val="000000"/>
          <w:sz w:val="32"/>
        </w:rPr>
        <w:t>Summary</w:t>
      </w:r>
    </w:p>
    <w:p>
      <w:pPr>
        <w:jc w:val="left"/>
      </w:pPr>
      <w:r>
        <w:rPr>
          <w:rFonts w:ascii="Times New Roman" w:hAnsi="Times New Roman" w:eastAsia="Times New Roman"/>
          <w:color w:val="000000"/>
          <w:sz w:val="22"/>
        </w:rPr>
        <w:t>This report records the model work for the pollinator image task. We used the mask and image files to build shape, colour, texture, size, and symmetry features, then compared several supervised models. The original table had 39 numeric features. After feature engineering, the modelling table had 80 features.</w:t>
      </w:r>
    </w:p>
    <w:p>
      <w:pPr>
        <w:jc w:val="left"/>
      </w:pPr>
      <w:r>
        <w:rPr>
          <w:rFonts w:ascii="Times New Roman" w:hAnsi="Times New Roman" w:eastAsia="Times New Roman"/>
          <w:color w:val="000000"/>
          <w:sz w:val="22"/>
        </w:rPr>
        <w:t>The best accuracy result came from a soft voting model combining SVM, shrinkage LDA, and ExtraTrees. Its 5-fold cross-validation accuracy was 0.8024 +/- 0.0462, and the holdout accuracy was 0.7600. We would use this model for the hidden test set if the final score is mainly plain accuracy.</w:t>
      </w:r>
    </w:p>
    <w:p>
      <w:pPr>
        <w:pStyle w:val="Heading1"/>
        <w:jc w:val="left"/>
      </w:pPr>
      <w:r>
        <w:rPr>
          <w:rFonts w:ascii="Times New Roman" w:hAnsi="Times New Roman" w:eastAsia="Times New Roman"/>
          <w:b/>
          <w:color w:val="000000"/>
          <w:sz w:val="32"/>
        </w:rPr>
        <w:t>Dataset</w:t>
      </w:r>
    </w:p>
    <w:p>
      <w:pPr>
        <w:jc w:val="left"/>
      </w:pPr>
      <w:r>
        <w:rPr>
          <w:rFonts w:ascii="Times New Roman" w:hAnsi="Times New Roman" w:eastAsia="Times New Roman"/>
          <w:color w:val="000000"/>
          <w:sz w:val="22"/>
        </w:rPr>
        <w:t>The available training data contains 250 labelled samples. Images 1-250 have labels and segmentation masks. Images 251-347 are described as the hidden test set in the brief, but those test images are not present in this workspace, so the report is limited to validation and model selection.</w:t>
      </w:r>
    </w:p>
    <w:p>
      <w:pPr>
        <w:pStyle w:val="Heading2"/>
        <w:jc w:val="left"/>
      </w:pPr>
      <w:r>
        <w:rPr>
          <w:rFonts w:ascii="Times New Roman" w:hAnsi="Times New Roman" w:eastAsia="Times New Roman"/>
          <w:b/>
          <w:color w:val="000000"/>
          <w:sz w:val="26"/>
        </w:rPr>
        <w:t>Raw class distribution</w:t>
      </w:r>
    </w:p>
    <w:tbl>
      <w:tblPr>
        <w:tblW w:type="dxa" w:w="9360"/>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6912"/>
        <w:gridCol w:w="2448"/>
      </w:tblGrid>
      <w:tr>
        <w:trPr>
          <w:tblHeader w:val="true"/>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color w:val="000000"/>
                <w:sz w:val="18"/>
              </w:rPr>
              <w:t>bug type</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count</w:t>
            </w:r>
          </w:p>
        </w:tc>
      </w:tr>
      <w:tr>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Bee</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115</w:t>
            </w:r>
          </w:p>
        </w:tc>
      </w:tr>
      <w:tr>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Bumblebee</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100</w:t>
            </w:r>
          </w:p>
        </w:tc>
      </w:tr>
      <w:tr>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Butterfly</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15</w:t>
            </w:r>
          </w:p>
        </w:tc>
      </w:tr>
      <w:tr>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Hover fly</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9</w:t>
            </w:r>
          </w:p>
        </w:tc>
      </w:tr>
      <w:tr>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Wasp</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9</w:t>
            </w:r>
          </w:p>
        </w:tc>
      </w:tr>
      <w:tr>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Dragonfly</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1</w:t>
            </w:r>
          </w:p>
        </w:tc>
      </w:tr>
      <w:tr>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Bee &amp; Bumblebee</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1</w:t>
            </w:r>
          </w:p>
        </w:tc>
      </w:tr>
    </w:tbl>
    <w:p>
      <w:pPr>
        <w:spacing w:after="100"/>
      </w:pPr>
    </w:p>
    <w:p>
      <w:pPr>
        <w:jc w:val="left"/>
      </w:pPr>
      <w:r>
        <w:rPr>
          <w:rFonts w:ascii="Times New Roman" w:hAnsi="Times New Roman" w:eastAsia="Times New Roman"/>
          <w:color w:val="000000"/>
          <w:sz w:val="22"/>
        </w:rPr>
        <w:t>For stratified cross-validation we removed Dragonfly and Bee &amp; Bumblebee because each appears only once. Keeping them in a five-fold split would make the fold labels unreliable.</w:t>
      </w:r>
    </w:p>
    <w:p>
      <w:pPr>
        <w:pStyle w:val="Heading2"/>
        <w:jc w:val="left"/>
      </w:pPr>
      <w:r>
        <w:rPr>
          <w:rFonts w:ascii="Times New Roman" w:hAnsi="Times New Roman" w:eastAsia="Times New Roman"/>
          <w:b/>
          <w:color w:val="000000"/>
          <w:sz w:val="26"/>
        </w:rPr>
        <w:t>Classes used for validation</w:t>
      </w:r>
    </w:p>
    <w:tbl>
      <w:tblPr>
        <w:tblW w:type="dxa" w:w="9360"/>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6912"/>
        <w:gridCol w:w="2448"/>
      </w:tblGrid>
      <w:tr>
        <w:trPr>
          <w:tblHeader w:val="true"/>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color w:val="000000"/>
                <w:sz w:val="18"/>
              </w:rPr>
              <w:t>bug type</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count</w:t>
            </w:r>
          </w:p>
        </w:tc>
      </w:tr>
      <w:tr>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Bee</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115</w:t>
            </w:r>
          </w:p>
        </w:tc>
      </w:tr>
      <w:tr>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Bumblebee</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100</w:t>
            </w:r>
          </w:p>
        </w:tc>
      </w:tr>
      <w:tr>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Butterfly</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15</w:t>
            </w:r>
          </w:p>
        </w:tc>
      </w:tr>
      <w:tr>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Hover fly</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9</w:t>
            </w:r>
          </w:p>
        </w:tc>
      </w:tr>
      <w:tr>
        <w:trPr/>
        <w:tc>
          <w:tcPr>
            <w:tcW w:type="dxa" w:w="69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Wasp</w:t>
            </w:r>
          </w:p>
        </w:tc>
        <w:tc>
          <w:tcPr>
            <w:tcW w:type="dxa" w:w="24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9</w:t>
            </w:r>
          </w:p>
        </w:tc>
      </w:tr>
    </w:tbl>
    <w:p>
      <w:pPr>
        <w:spacing w:after="100"/>
      </w:pPr>
    </w:p>
    <w:p>
      <w:pPr>
        <w:pStyle w:val="Heading2"/>
        <w:jc w:val="left"/>
      </w:pPr>
      <w:r>
        <w:rPr>
          <w:rFonts w:ascii="Times New Roman" w:hAnsi="Times New Roman" w:eastAsia="Times New Roman"/>
          <w:b/>
          <w:color w:val="000000"/>
          <w:sz w:val="26"/>
        </w:rPr>
        <w:t>Most common species labels</w:t>
      </w:r>
    </w:p>
    <w:tbl>
      <w:tblPr>
        <w:tblW w:type="dxa" w:w="9360"/>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7056"/>
        <w:gridCol w:w="2304"/>
      </w:tblGrid>
      <w:tr>
        <w:trPr>
          <w:tblHeader w:val="true"/>
        </w:trPr>
        <w:tc>
          <w:tcPr>
            <w:tcW w:type="dxa" w:w="7056"/>
            <w:tcMar>
              <w:top w:w="80" w:type="dxa"/>
              <w:bottom w:w="80" w:type="dxa"/>
              <w:start w:w="120" w:type="dxa"/>
              <w:end w:w="120" w:type="dxa"/>
            </w:tcMar>
            <w:vAlign w:val="center"/>
          </w:tcPr>
          <w:p>
            <w:pPr>
              <w:spacing w:after="0"/>
              <w:jc w:val="left"/>
            </w:pPr>
            <w:r/>
            <w:r>
              <w:rPr>
                <w:rFonts w:ascii="Times New Roman" w:hAnsi="Times New Roman" w:eastAsia="Times New Roman"/>
                <w:b/>
                <w:color w:val="000000"/>
                <w:sz w:val="18"/>
              </w:rPr>
              <w:t>species</w:t>
            </w:r>
          </w:p>
        </w:tc>
        <w:tc>
          <w:tcPr>
            <w:tcW w:type="dxa" w:w="2304"/>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count</w:t>
            </w:r>
          </w:p>
        </w:tc>
      </w:tr>
      <w:tr>
        <w:trPr/>
        <w:tc>
          <w:tcPr>
            <w:tcW w:type="dxa" w:w="70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Bombus hortorum</w:t>
            </w:r>
          </w:p>
        </w:tc>
        <w:tc>
          <w:tcPr>
            <w:tcW w:type="dxa" w:w="230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71</w:t>
            </w:r>
          </w:p>
        </w:tc>
      </w:tr>
      <w:tr>
        <w:trPr/>
        <w:tc>
          <w:tcPr>
            <w:tcW w:type="dxa" w:w="70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Apis mellifera</w:t>
            </w:r>
          </w:p>
        </w:tc>
        <w:tc>
          <w:tcPr>
            <w:tcW w:type="dxa" w:w="230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58</w:t>
            </w:r>
          </w:p>
        </w:tc>
      </w:tr>
      <w:tr>
        <w:trPr/>
        <w:tc>
          <w:tcPr>
            <w:tcW w:type="dxa" w:w="70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Bombus pascuorum</w:t>
            </w:r>
          </w:p>
        </w:tc>
        <w:tc>
          <w:tcPr>
            <w:tcW w:type="dxa" w:w="230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25</w:t>
            </w:r>
          </w:p>
        </w:tc>
      </w:tr>
      <w:tr>
        <w:trPr/>
        <w:tc>
          <w:tcPr>
            <w:tcW w:type="dxa" w:w="70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Anthidium manicatum</w:t>
            </w:r>
          </w:p>
        </w:tc>
        <w:tc>
          <w:tcPr>
            <w:tcW w:type="dxa" w:w="230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19</w:t>
            </w:r>
          </w:p>
        </w:tc>
      </w:tr>
      <w:tr>
        <w:trPr/>
        <w:tc>
          <w:tcPr>
            <w:tcW w:type="dxa" w:w="70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Megachile centuncularis</w:t>
            </w:r>
          </w:p>
        </w:tc>
        <w:tc>
          <w:tcPr>
            <w:tcW w:type="dxa" w:w="230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17</w:t>
            </w:r>
          </w:p>
        </w:tc>
      </w:tr>
      <w:tr>
        <w:trPr/>
        <w:tc>
          <w:tcPr>
            <w:tcW w:type="dxa" w:w="70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Eristalis</w:t>
            </w:r>
          </w:p>
        </w:tc>
        <w:tc>
          <w:tcPr>
            <w:tcW w:type="dxa" w:w="230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9</w:t>
            </w:r>
          </w:p>
        </w:tc>
      </w:tr>
      <w:tr>
        <w:trPr/>
        <w:tc>
          <w:tcPr>
            <w:tcW w:type="dxa" w:w="70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Vespula germanica</w:t>
            </w:r>
          </w:p>
        </w:tc>
        <w:tc>
          <w:tcPr>
            <w:tcW w:type="dxa" w:w="230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8</w:t>
            </w:r>
          </w:p>
        </w:tc>
      </w:tr>
      <w:tr>
        <w:trPr/>
        <w:tc>
          <w:tcPr>
            <w:tcW w:type="dxa" w:w="70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Anthidium</w:t>
            </w:r>
          </w:p>
        </w:tc>
        <w:tc>
          <w:tcPr>
            <w:tcW w:type="dxa" w:w="230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6</w:t>
            </w:r>
          </w:p>
        </w:tc>
      </w:tr>
      <w:tr>
        <w:trPr/>
        <w:tc>
          <w:tcPr>
            <w:tcW w:type="dxa" w:w="70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Macroglossum stellatarum</w:t>
            </w:r>
          </w:p>
        </w:tc>
        <w:tc>
          <w:tcPr>
            <w:tcW w:type="dxa" w:w="230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5</w:t>
            </w:r>
          </w:p>
        </w:tc>
      </w:tr>
      <w:tr>
        <w:trPr/>
        <w:tc>
          <w:tcPr>
            <w:tcW w:type="dxa" w:w="70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Andrenidae</w:t>
            </w:r>
          </w:p>
        </w:tc>
        <w:tc>
          <w:tcPr>
            <w:tcW w:type="dxa" w:w="230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4</w:t>
            </w:r>
          </w:p>
        </w:tc>
      </w:tr>
    </w:tbl>
    <w:p>
      <w:pPr>
        <w:spacing w:after="100"/>
      </w:pPr>
    </w:p>
    <w:p>
      <w:pPr>
        <w:spacing w:before="80" w:after="40"/>
        <w:jc w:val="center"/>
      </w:pPr>
      <w:r>
        <w:drawing>
          <wp:inline xmlns:a="http://schemas.openxmlformats.org/drawingml/2006/main" xmlns:pic="http://schemas.openxmlformats.org/drawingml/2006/picture">
            <wp:extent cx="5806440" cy="2339352"/>
            <wp:docPr id="1" name="Picture 1"/>
            <wp:cNvGraphicFramePr>
              <a:graphicFrameLocks noChangeAspect="1"/>
            </wp:cNvGraphicFramePr>
            <a:graphic>
              <a:graphicData uri="http://schemas.openxmlformats.org/drawingml/2006/picture">
                <pic:pic>
                  <pic:nvPicPr>
                    <pic:cNvPr id="0" name="fig_class_balance_enhanced.png"/>
                    <pic:cNvPicPr/>
                  </pic:nvPicPr>
                  <pic:blipFill>
                    <a:blip r:embed="rId9"/>
                    <a:stretch>
                      <a:fillRect/>
                    </a:stretch>
                  </pic:blipFill>
                  <pic:spPr>
                    <a:xfrm>
                      <a:off x="0" y="0"/>
                      <a:ext cx="5806440" cy="2339352"/>
                    </a:xfrm>
                    <a:prstGeom prst="rect"/>
                  </pic:spPr>
                </pic:pic>
              </a:graphicData>
            </a:graphic>
          </wp:inline>
        </w:drawing>
      </w:r>
    </w:p>
    <w:p>
      <w:pPr>
        <w:spacing w:after="160"/>
        <w:jc w:val="center"/>
      </w:pPr>
      <w:r>
        <w:rPr>
          <w:rFonts w:ascii="Times New Roman" w:hAnsi="Times New Roman" w:eastAsia="Times New Roman"/>
          <w:i/>
          <w:color w:val="000000"/>
          <w:sz w:val="18"/>
        </w:rPr>
        <w:t>Figure 1. Class imbalance in the labelled training data.</w:t>
      </w:r>
    </w:p>
    <w:p>
      <w:pPr>
        <w:pStyle w:val="Heading1"/>
        <w:jc w:val="left"/>
      </w:pPr>
      <w:r>
        <w:rPr>
          <w:rFonts w:ascii="Times New Roman" w:hAnsi="Times New Roman" w:eastAsia="Times New Roman"/>
          <w:b/>
          <w:color w:val="000000"/>
          <w:sz w:val="32"/>
        </w:rPr>
        <w:t>Feature work</w:t>
      </w:r>
    </w:p>
    <w:p>
      <w:pPr>
        <w:jc w:val="left"/>
      </w:pPr>
      <w:r>
        <w:rPr>
          <w:rFonts w:ascii="Times New Roman" w:hAnsi="Times New Roman" w:eastAsia="Times New Roman"/>
          <w:color w:val="000000"/>
          <w:sz w:val="22"/>
        </w:rPr>
        <w:t>The base feature set was built from the masked insect area rather than from the full image. This reduces the influence of the background and keeps the features tied to the object being classified.</w:t>
      </w:r>
    </w:p>
    <w:p>
      <w:pPr>
        <w:pStyle w:val="ListBullet"/>
        <w:jc w:val="left"/>
      </w:pPr>
      <w:r>
        <w:rPr>
          <w:rFonts w:ascii="Times New Roman" w:hAnsi="Times New Roman" w:eastAsia="Times New Roman"/>
          <w:color w:val="000000"/>
          <w:sz w:val="22"/>
        </w:rPr>
        <w:t>Symmetry: horizontal and vertical mask overlap, plus mask aspect ratio.</w:t>
      </w:r>
    </w:p>
    <w:p>
      <w:pPr>
        <w:pStyle w:val="ListBullet"/>
        <w:jc w:val="left"/>
      </w:pPr>
      <w:r>
        <w:rPr>
          <w:rFonts w:ascii="Times New Roman" w:hAnsi="Times New Roman" w:eastAsia="Times New Roman"/>
          <w:color w:val="000000"/>
          <w:sz w:val="22"/>
        </w:rPr>
        <w:t>Shape: Hu moments, solidity, eccentricity, extent, perimeter, area, convex area, and compactness.</w:t>
      </w:r>
    </w:p>
    <w:p>
      <w:pPr>
        <w:pStyle w:val="ListBullet"/>
        <w:jc w:val="left"/>
      </w:pPr>
      <w:r>
        <w:rPr>
          <w:rFonts w:ascii="Times New Roman" w:hAnsi="Times New Roman" w:eastAsia="Times New Roman"/>
          <w:color w:val="000000"/>
          <w:sz w:val="22"/>
        </w:rPr>
        <w:t>Colour: RGB minimum, maximum, mean, median, and standard deviation inside the mask.</w:t>
      </w:r>
    </w:p>
    <w:p>
      <w:pPr>
        <w:pStyle w:val="ListBullet"/>
        <w:jc w:val="left"/>
      </w:pPr>
      <w:r>
        <w:rPr>
          <w:rFonts w:ascii="Times New Roman" w:hAnsi="Times New Roman" w:eastAsia="Times New Roman"/>
          <w:color w:val="000000"/>
          <w:sz w:val="22"/>
        </w:rPr>
        <w:t>Size and background: bug pixel ratio and background brightness.</w:t>
      </w:r>
    </w:p>
    <w:p>
      <w:pPr>
        <w:pStyle w:val="ListBullet"/>
        <w:jc w:val="left"/>
      </w:pPr>
      <w:r>
        <w:rPr>
          <w:rFonts w:ascii="Times New Roman" w:hAnsi="Times New Roman" w:eastAsia="Times New Roman"/>
          <w:color w:val="000000"/>
          <w:sz w:val="22"/>
        </w:rPr>
        <w:t>Texture and appearance: colour dominance, edge density, texture contrast, brightness mean, and saturation mean.</w:t>
      </w:r>
    </w:p>
    <w:p>
      <w:pPr>
        <w:jc w:val="left"/>
      </w:pPr>
      <w:r>
        <w:rPr>
          <w:rFonts w:ascii="Times New Roman" w:hAnsi="Times New Roman" w:eastAsia="Times New Roman"/>
          <w:color w:val="000000"/>
          <w:sz w:val="22"/>
        </w:rPr>
        <w:t>We then added derived variables such as RGB ranges, channel ratios, yellow and darkness proxies, bug-background brightness differences, symmetry interactions, shape ratios, Hu-moment aggregates, and edge-texture products. The extra variables were useful because the species are separated by several weak signals rather than one clear measurement.</w:t>
      </w:r>
    </w:p>
    <w:p>
      <w:pPr>
        <w:spacing w:before="80" w:after="40"/>
        <w:jc w:val="center"/>
      </w:pPr>
      <w:r>
        <w:drawing>
          <wp:inline xmlns:a="http://schemas.openxmlformats.org/drawingml/2006/main" xmlns:pic="http://schemas.openxmlformats.org/drawingml/2006/picture">
            <wp:extent cx="5806439" cy="2083475"/>
            <wp:docPr id="2" name="Picture 2"/>
            <wp:cNvGraphicFramePr>
              <a:graphicFrameLocks noChangeAspect="1"/>
            </wp:cNvGraphicFramePr>
            <a:graphic>
              <a:graphicData uri="http://schemas.openxmlformats.org/drawingml/2006/picture">
                <pic:pic>
                  <pic:nvPicPr>
                    <pic:cNvPr id="0" name="fig_embedding_panel_enhanced.png"/>
                    <pic:cNvPicPr/>
                  </pic:nvPicPr>
                  <pic:blipFill>
                    <a:blip r:embed="rId10"/>
                    <a:stretch>
                      <a:fillRect/>
                    </a:stretch>
                  </pic:blipFill>
                  <pic:spPr>
                    <a:xfrm>
                      <a:off x="0" y="0"/>
                      <a:ext cx="5806439" cy="2083475"/>
                    </a:xfrm>
                    <a:prstGeom prst="rect"/>
                  </pic:spPr>
                </pic:pic>
              </a:graphicData>
            </a:graphic>
          </wp:inline>
        </w:drawing>
      </w:r>
    </w:p>
    <w:p>
      <w:pPr>
        <w:spacing w:after="160"/>
        <w:jc w:val="center"/>
      </w:pPr>
      <w:r>
        <w:rPr>
          <w:rFonts w:ascii="Times New Roman" w:hAnsi="Times New Roman" w:eastAsia="Times New Roman"/>
          <w:i/>
          <w:color w:val="000000"/>
          <w:sz w:val="18"/>
        </w:rPr>
        <w:t>Figure 2. PCA, t-SNE, and UMAP views of the engineered feature table.</w:t>
      </w:r>
    </w:p>
    <w:p>
      <w:pPr>
        <w:spacing w:before="80" w:after="40"/>
        <w:jc w:val="center"/>
      </w:pPr>
      <w:r>
        <w:drawing>
          <wp:inline xmlns:a="http://schemas.openxmlformats.org/drawingml/2006/main" xmlns:pic="http://schemas.openxmlformats.org/drawingml/2006/picture">
            <wp:extent cx="4852672" cy="3931920"/>
            <wp:docPr id="3" name="Picture 3"/>
            <wp:cNvGraphicFramePr>
              <a:graphicFrameLocks noChangeAspect="1"/>
            </wp:cNvGraphicFramePr>
            <a:graphic>
              <a:graphicData uri="http://schemas.openxmlformats.org/drawingml/2006/picture">
                <pic:pic>
                  <pic:nvPicPr>
                    <pic:cNvPr id="0" name="fig_correlation.png"/>
                    <pic:cNvPicPr/>
                  </pic:nvPicPr>
                  <pic:blipFill>
                    <a:blip r:embed="rId11"/>
                    <a:stretch>
                      <a:fillRect/>
                    </a:stretch>
                  </pic:blipFill>
                  <pic:spPr>
                    <a:xfrm>
                      <a:off x="0" y="0"/>
                      <a:ext cx="4852672" cy="3931920"/>
                    </a:xfrm>
                    <a:prstGeom prst="rect"/>
                  </pic:spPr>
                </pic:pic>
              </a:graphicData>
            </a:graphic>
          </wp:inline>
        </w:drawing>
      </w:r>
    </w:p>
    <w:p>
      <w:pPr>
        <w:spacing w:after="160"/>
        <w:jc w:val="center"/>
      </w:pPr>
      <w:r>
        <w:rPr>
          <w:rFonts w:ascii="Times New Roman" w:hAnsi="Times New Roman" w:eastAsia="Times New Roman"/>
          <w:i/>
          <w:color w:val="000000"/>
          <w:sz w:val="18"/>
        </w:rPr>
        <w:t>Figure 3. Correlation map for the engineered features.</w:t>
      </w:r>
    </w:p>
    <w:p>
      <w:pPr>
        <w:pStyle w:val="Heading1"/>
        <w:jc w:val="left"/>
      </w:pPr>
      <w:r>
        <w:rPr>
          <w:rFonts w:ascii="Times New Roman" w:hAnsi="Times New Roman" w:eastAsia="Times New Roman"/>
          <w:b/>
          <w:color w:val="000000"/>
          <w:sz w:val="32"/>
        </w:rPr>
        <w:t>Model setup</w:t>
      </w:r>
    </w:p>
    <w:p>
      <w:pPr>
        <w:jc w:val="left"/>
      </w:pPr>
      <w:r>
        <w:rPr>
          <w:rFonts w:ascii="Times New Roman" w:hAnsi="Times New Roman" w:eastAsia="Times New Roman"/>
          <w:color w:val="000000"/>
          <w:sz w:val="22"/>
        </w:rPr>
        <w:t>In the first notebook version, scaling was applied before cross-validation. We changed this by putting StandardScaler inside each sklearn Pipeline, so the scaler is fitted only on the training folds. This is a small change in code, but it matters because validation folds should not influence preprocessing.</w:t>
      </w:r>
    </w:p>
    <w:p>
      <w:pPr>
        <w:jc w:val="left"/>
      </w:pPr>
      <w:r>
        <w:rPr>
          <w:rFonts w:ascii="Times New Roman" w:hAnsi="Times New Roman" w:eastAsia="Times New Roman"/>
          <w:color w:val="000000"/>
          <w:sz w:val="22"/>
        </w:rPr>
        <w:t>The main validation method was stratified 5-fold cross-validation. We also kept a fixed 80/20 stratified holdout split as a second check. Accuracy is the main number reported here, while macro F1 and balanced accuracy are used to check whether the smaller classes are being ignored.</w:t>
      </w:r>
    </w:p>
    <w:p>
      <w:pPr>
        <w:pStyle w:val="Heading1"/>
        <w:jc w:val="left"/>
      </w:pPr>
      <w:r>
        <w:rPr>
          <w:rFonts w:ascii="Times New Roman" w:hAnsi="Times New Roman" w:eastAsia="Times New Roman"/>
          <w:b/>
          <w:color w:val="000000"/>
          <w:sz w:val="32"/>
        </w:rPr>
        <w:t>Initial models and clustering</w:t>
      </w:r>
    </w:p>
    <w:tbl>
      <w:tblPr>
        <w:tblW w:type="dxa" w:w="9360"/>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6336"/>
        <w:gridCol w:w="3024"/>
      </w:tblGrid>
      <w:tr>
        <w:trPr>
          <w:tblHeader w:val="true"/>
        </w:trPr>
        <w:tc>
          <w:tcPr>
            <w:tcW w:type="dxa" w:w="6336"/>
            <w:tcMar>
              <w:top w:w="80" w:type="dxa"/>
              <w:bottom w:w="80" w:type="dxa"/>
              <w:start w:w="120" w:type="dxa"/>
              <w:end w:w="120" w:type="dxa"/>
            </w:tcMar>
            <w:vAlign w:val="center"/>
          </w:tcPr>
          <w:p>
            <w:pPr>
              <w:spacing w:after="0"/>
              <w:jc w:val="left"/>
            </w:pPr>
            <w:r/>
            <w:r>
              <w:rPr>
                <w:rFonts w:ascii="Times New Roman" w:hAnsi="Times New Roman" w:eastAsia="Times New Roman"/>
                <w:b/>
                <w:color w:val="000000"/>
                <w:sz w:val="18"/>
              </w:rPr>
              <w:t>Model</w:t>
            </w:r>
          </w:p>
        </w:tc>
        <w:tc>
          <w:tcPr>
            <w:tcW w:type="dxa" w:w="3024"/>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Score</w:t>
            </w:r>
          </w:p>
        </w:tc>
      </w:tr>
      <w:tr>
        <w:trPr/>
        <w:tc>
          <w:tcPr>
            <w:tcW w:type="dxa" w:w="633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Logistic Regression</w:t>
            </w:r>
          </w:p>
        </w:tc>
        <w:tc>
          <w:tcPr>
            <w:tcW w:type="dxa" w:w="302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0.7094+/-0.0504</w:t>
            </w:r>
          </w:p>
        </w:tc>
      </w:tr>
      <w:tr>
        <w:trPr/>
        <w:tc>
          <w:tcPr>
            <w:tcW w:type="dxa" w:w="633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KNN (k=5)</w:t>
            </w:r>
          </w:p>
        </w:tc>
        <w:tc>
          <w:tcPr>
            <w:tcW w:type="dxa" w:w="302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0.7220+/-0.0449</w:t>
            </w:r>
          </w:p>
        </w:tc>
      </w:tr>
      <w:tr>
        <w:trPr/>
        <w:tc>
          <w:tcPr>
            <w:tcW w:type="dxa" w:w="633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SVM (RBF)</w:t>
            </w:r>
          </w:p>
        </w:tc>
        <w:tc>
          <w:tcPr>
            <w:tcW w:type="dxa" w:w="302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0.7178+/-0.0415</w:t>
            </w:r>
          </w:p>
        </w:tc>
      </w:tr>
      <w:tr>
        <w:trPr/>
        <w:tc>
          <w:tcPr>
            <w:tcW w:type="dxa" w:w="633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Random Forest</w:t>
            </w:r>
          </w:p>
        </w:tc>
        <w:tc>
          <w:tcPr>
            <w:tcW w:type="dxa" w:w="302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0.7253+/-0.0654</w:t>
            </w:r>
          </w:p>
        </w:tc>
      </w:tr>
      <w:tr>
        <w:trPr/>
        <w:tc>
          <w:tcPr>
            <w:tcW w:type="dxa" w:w="633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KMeans</w:t>
            </w:r>
          </w:p>
        </w:tc>
        <w:tc>
          <w:tcPr>
            <w:tcW w:type="dxa" w:w="302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Sil=0.1876|ARI=0.0808</w:t>
            </w:r>
          </w:p>
        </w:tc>
      </w:tr>
      <w:tr>
        <w:trPr/>
        <w:tc>
          <w:tcPr>
            <w:tcW w:type="dxa" w:w="633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DBSCAN</w:t>
            </w:r>
          </w:p>
        </w:tc>
        <w:tc>
          <w:tcPr>
            <w:tcW w:type="dxa" w:w="302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Sil=0.6111|ARI=0.0814</w:t>
            </w:r>
          </w:p>
        </w:tc>
      </w:tr>
      <w:tr>
        <w:trPr/>
        <w:tc>
          <w:tcPr>
            <w:tcW w:type="dxa" w:w="633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LDA</w:t>
            </w:r>
          </w:p>
        </w:tc>
        <w:tc>
          <w:tcPr>
            <w:tcW w:type="dxa" w:w="3024"/>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0.7420+/-0.0391</w:t>
            </w:r>
          </w:p>
        </w:tc>
      </w:tr>
    </w:tbl>
    <w:p>
      <w:pPr>
        <w:spacing w:after="100"/>
      </w:pPr>
    </w:p>
    <w:p>
      <w:pPr>
        <w:jc w:val="left"/>
      </w:pPr>
      <w:r>
        <w:rPr>
          <w:rFonts w:ascii="Times New Roman" w:hAnsi="Times New Roman" w:eastAsia="Times New Roman"/>
          <w:color w:val="000000"/>
          <w:sz w:val="22"/>
        </w:rPr>
        <w:t>KMeans and DBSCAN were included only as unsupervised baselines. Their adjusted Rand index values were low, so the clusters do not line up well with the target labels in this feature space.</w:t>
      </w:r>
    </w:p>
    <w:p>
      <w:pPr>
        <w:pStyle w:val="Heading1"/>
        <w:jc w:val="left"/>
      </w:pPr>
      <w:r>
        <w:rPr>
          <w:rFonts w:ascii="Times New Roman" w:hAnsi="Times New Roman" w:eastAsia="Times New Roman"/>
          <w:b/>
          <w:color w:val="000000"/>
          <w:sz w:val="32"/>
        </w:rPr>
        <w:t>Tuned supervised models</w:t>
      </w:r>
    </w:p>
    <w:tbl>
      <w:tblPr>
        <w:tblW w:type="dxa" w:w="9360"/>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4774"/>
        <w:gridCol w:w="1519"/>
        <w:gridCol w:w="1519"/>
        <w:gridCol w:w="1548"/>
      </w:tblGrid>
      <w:tr>
        <w:trPr>
          <w:tblHeader w:val="true"/>
        </w:trPr>
        <w:tc>
          <w:tcPr>
            <w:tcW w:type="dxa" w:w="4774"/>
            <w:tcMar>
              <w:top w:w="80" w:type="dxa"/>
              <w:bottom w:w="80" w:type="dxa"/>
              <w:start w:w="120" w:type="dxa"/>
              <w:end w:w="120" w:type="dxa"/>
            </w:tcMar>
            <w:vAlign w:val="center"/>
          </w:tcPr>
          <w:p>
            <w:pPr>
              <w:spacing w:after="0"/>
              <w:jc w:val="left"/>
            </w:pPr>
            <w:r/>
            <w:r>
              <w:rPr>
                <w:rFonts w:ascii="Times New Roman" w:hAnsi="Times New Roman" w:eastAsia="Times New Roman"/>
                <w:b/>
                <w:color w:val="000000"/>
                <w:sz w:val="18"/>
              </w:rPr>
              <w:t>Model</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CV Mean</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CV Std</w:t>
            </w:r>
          </w:p>
        </w:tc>
        <w:tc>
          <w:tcPr>
            <w:tcW w:type="dxa" w:w="1548"/>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Test Acc</w:t>
            </w:r>
          </w:p>
        </w:tc>
      </w:tr>
      <w:tr>
        <w:trPr/>
        <w:tc>
          <w:tcPr>
            <w:tcW w:type="dxa" w:w="4774"/>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Logistic Regression (balanced)</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0.6407</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0.0725</w:t>
            </w:r>
          </w:p>
        </w:tc>
        <w:tc>
          <w:tcPr>
            <w:tcW w:type="dxa" w:w="15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0.6800</w:t>
            </w:r>
          </w:p>
        </w:tc>
      </w:tr>
      <w:tr>
        <w:trPr/>
        <w:tc>
          <w:tcPr>
            <w:tcW w:type="dxa" w:w="4774"/>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KNN (best)</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0.7382</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0.0524</w:t>
            </w:r>
          </w:p>
        </w:tc>
        <w:tc>
          <w:tcPr>
            <w:tcW w:type="dxa" w:w="15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0.6000</w:t>
            </w:r>
          </w:p>
        </w:tc>
      </w:tr>
      <w:tr>
        <w:trPr/>
        <w:tc>
          <w:tcPr>
            <w:tcW w:type="dxa" w:w="4774"/>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SVM (best)</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0.7623</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0.0436</w:t>
            </w:r>
          </w:p>
        </w:tc>
        <w:tc>
          <w:tcPr>
            <w:tcW w:type="dxa" w:w="15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0.7000</w:t>
            </w:r>
          </w:p>
        </w:tc>
      </w:tr>
      <w:tr>
        <w:trPr/>
        <w:tc>
          <w:tcPr>
            <w:tcW w:type="dxa" w:w="4774"/>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Random Forest (best)</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0.7053</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0.0594</w:t>
            </w:r>
          </w:p>
        </w:tc>
        <w:tc>
          <w:tcPr>
            <w:tcW w:type="dxa" w:w="15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0.7000</w:t>
            </w:r>
          </w:p>
        </w:tc>
      </w:tr>
      <w:tr>
        <w:trPr/>
        <w:tc>
          <w:tcPr>
            <w:tcW w:type="dxa" w:w="4774"/>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Gradient Boosting</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0.6850</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0.0683</w:t>
            </w:r>
          </w:p>
        </w:tc>
        <w:tc>
          <w:tcPr>
            <w:tcW w:type="dxa" w:w="15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0.6400</w:t>
            </w:r>
          </w:p>
        </w:tc>
      </w:tr>
      <w:tr>
        <w:trPr/>
        <w:tc>
          <w:tcPr>
            <w:tcW w:type="dxa" w:w="4774"/>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LDA</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0.7420</w:t>
            </w:r>
          </w:p>
        </w:tc>
        <w:tc>
          <w:tcPr>
            <w:tcW w:type="dxa" w:w="1519"/>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0.0391</w:t>
            </w:r>
          </w:p>
        </w:tc>
        <w:tc>
          <w:tcPr>
            <w:tcW w:type="dxa" w:w="154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0.7000</w:t>
            </w:r>
          </w:p>
        </w:tc>
      </w:tr>
    </w:tbl>
    <w:p>
      <w:pPr>
        <w:spacing w:after="100"/>
      </w:pPr>
    </w:p>
    <w:p>
      <w:pPr>
        <w:jc w:val="left"/>
      </w:pPr>
      <w:r>
        <w:rPr>
          <w:rFonts w:ascii="Times New Roman" w:hAnsi="Times New Roman" w:eastAsia="Times New Roman"/>
          <w:color w:val="000000"/>
          <w:sz w:val="22"/>
        </w:rPr>
        <w:t>Among these standard models, SVM had the best cross-validation accuracy. SVM, Random Forest, and LDA all reached 0.7000 on the holdout split, so the holdout result alone was not enough to choose a final model.</w:t>
      </w:r>
    </w:p>
    <w:p>
      <w:pPr>
        <w:pStyle w:val="Heading1"/>
        <w:jc w:val="left"/>
      </w:pPr>
      <w:r>
        <w:rPr>
          <w:rFonts w:ascii="Times New Roman" w:hAnsi="Times New Roman" w:eastAsia="Times New Roman"/>
          <w:b/>
          <w:color w:val="000000"/>
          <w:sz w:val="32"/>
        </w:rPr>
        <w:t>Corrected validation and engineered features</w:t>
      </w:r>
    </w:p>
    <w:p>
      <w:pPr>
        <w:jc w:val="left"/>
      </w:pPr>
      <w:r>
        <w:rPr>
          <w:rFonts w:ascii="Times New Roman" w:hAnsi="Times New Roman" w:eastAsia="Times New Roman"/>
          <w:color w:val="000000"/>
          <w:sz w:val="22"/>
        </w:rPr>
        <w:t>After the scaler correction, the original-feature SVM reached 0.7504 cross-validation accuracy. With the engineered features, SVM improved to 0.7702. The voting ensemble improved the same metric to 0.8024. The improvement is not huge, but it is consistent with the visual overlap between Bee and Bumblebee in the embeddings.</w:t>
      </w:r>
    </w:p>
    <w:p>
      <w:pPr>
        <w:pStyle w:val="Heading1"/>
        <w:jc w:val="left"/>
      </w:pPr>
      <w:r>
        <w:rPr>
          <w:rFonts w:ascii="Times New Roman" w:hAnsi="Times New Roman" w:eastAsia="Times New Roman"/>
          <w:b/>
          <w:color w:val="000000"/>
          <w:sz w:val="32"/>
        </w:rPr>
        <w:t>Class imbalance experiments</w:t>
      </w:r>
    </w:p>
    <w:p>
      <w:pPr>
        <w:jc w:val="left"/>
      </w:pPr>
      <w:r>
        <w:rPr>
          <w:rFonts w:ascii="Times New Roman" w:hAnsi="Times New Roman" w:eastAsia="Times New Roman"/>
          <w:color w:val="000000"/>
          <w:sz w:val="22"/>
        </w:rPr>
        <w:t>The class counts are uneven, so we tested no resampling, equal oversampling, hybrid_50 resampling, and mild undersampling. The table below keeps the top results from that sweep.</w:t>
      </w:r>
    </w:p>
    <w:tbl>
      <w:tblPr>
        <w:tblW w:type="dxa" w:w="9360"/>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952"/>
        <w:gridCol w:w="1512"/>
        <w:gridCol w:w="1296"/>
        <w:gridCol w:w="1296"/>
        <w:gridCol w:w="1152"/>
        <w:gridCol w:w="1152"/>
      </w:tblGrid>
      <w:tr>
        <w:trPr>
          <w:tblHeader w:val="true"/>
        </w:trPr>
        <w:tc>
          <w:tcPr>
            <w:tcW w:type="dxa" w:w="2952"/>
            <w:tcMar>
              <w:top w:w="80" w:type="dxa"/>
              <w:bottom w:w="80" w:type="dxa"/>
              <w:start w:w="120" w:type="dxa"/>
              <w:end w:w="120" w:type="dxa"/>
            </w:tcMar>
            <w:vAlign w:val="center"/>
          </w:tcPr>
          <w:p>
            <w:pPr>
              <w:spacing w:after="0"/>
              <w:jc w:val="left"/>
            </w:pPr>
            <w:r/>
            <w:r>
              <w:rPr>
                <w:rFonts w:ascii="Times New Roman" w:hAnsi="Times New Roman" w:eastAsia="Times New Roman"/>
                <w:b/>
                <w:color w:val="000000"/>
                <w:sz w:val="18"/>
              </w:rPr>
              <w:t>Model</w:t>
            </w:r>
          </w:p>
        </w:tc>
        <w:tc>
          <w:tcPr>
            <w:tcW w:type="dxa" w:w="1512"/>
            <w:tcMar>
              <w:top w:w="80" w:type="dxa"/>
              <w:bottom w:w="80" w:type="dxa"/>
              <w:start w:w="120" w:type="dxa"/>
              <w:end w:w="120" w:type="dxa"/>
            </w:tcMar>
            <w:vAlign w:val="center"/>
          </w:tcPr>
          <w:p>
            <w:pPr>
              <w:spacing w:after="0"/>
              <w:jc w:val="left"/>
            </w:pPr>
            <w:r/>
            <w:r>
              <w:rPr>
                <w:rFonts w:ascii="Times New Roman" w:hAnsi="Times New Roman" w:eastAsia="Times New Roman"/>
                <w:b/>
                <w:color w:val="000000"/>
                <w:sz w:val="18"/>
              </w:rPr>
              <w:t>Imbalance Strategy</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CV Accuracy Mean</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CV Macro F1 Mean</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Holdout Accuracy</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Holdout Macro F1</w:t>
            </w:r>
          </w:p>
        </w:tc>
      </w:tr>
      <w:tr>
        <w:trPr/>
        <w:tc>
          <w:tcPr>
            <w:tcW w:type="dxa" w:w="295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Voting SVM+LDA+ET</w:t>
            </w:r>
          </w:p>
        </w:tc>
        <w:tc>
          <w:tcPr>
            <w:tcW w:type="dxa" w:w="15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none</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0.8024</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0.5979</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0.7600</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0.6040</w:t>
            </w:r>
          </w:p>
        </w:tc>
      </w:tr>
      <w:tr>
        <w:trPr/>
        <w:tc>
          <w:tcPr>
            <w:tcW w:type="dxa" w:w="295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SVM RBF tuned gamma=0.01</w:t>
            </w:r>
          </w:p>
        </w:tc>
        <w:tc>
          <w:tcPr>
            <w:tcW w:type="dxa" w:w="15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none</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0.7744</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0.5876</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0.7200</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0.4860</w:t>
            </w:r>
          </w:p>
        </w:tc>
      </w:tr>
      <w:tr>
        <w:trPr/>
        <w:tc>
          <w:tcPr>
            <w:tcW w:type="dxa" w:w="295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SVM RBF C=10</w:t>
            </w:r>
          </w:p>
        </w:tc>
        <w:tc>
          <w:tcPr>
            <w:tcW w:type="dxa" w:w="15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none</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0.7702</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0.5783</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0.7000</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0.4771</w:t>
            </w:r>
          </w:p>
        </w:tc>
      </w:tr>
      <w:tr>
        <w:trPr/>
        <w:tc>
          <w:tcPr>
            <w:tcW w:type="dxa" w:w="295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LDA shrinkage</w:t>
            </w:r>
          </w:p>
        </w:tc>
        <w:tc>
          <w:tcPr>
            <w:tcW w:type="dxa" w:w="15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none</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0.7660</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0.6071</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0.7200</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0.6840</w:t>
            </w:r>
          </w:p>
        </w:tc>
      </w:tr>
      <w:tr>
        <w:trPr/>
        <w:tc>
          <w:tcPr>
            <w:tcW w:type="dxa" w:w="295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SVM RBF C=10 balanced</w:t>
            </w:r>
          </w:p>
        </w:tc>
        <w:tc>
          <w:tcPr>
            <w:tcW w:type="dxa" w:w="15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none</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0.7660</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0.5630</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0.7400</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0.6058</w:t>
            </w:r>
          </w:p>
        </w:tc>
      </w:tr>
      <w:tr>
        <w:trPr/>
        <w:tc>
          <w:tcPr>
            <w:tcW w:type="dxa" w:w="295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ExtraTrees balanced</w:t>
            </w:r>
          </w:p>
        </w:tc>
        <w:tc>
          <w:tcPr>
            <w:tcW w:type="dxa" w:w="15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none</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0.7540</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0.5019</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0.6800</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0.2958</w:t>
            </w:r>
          </w:p>
        </w:tc>
      </w:tr>
      <w:tr>
        <w:trPr/>
        <w:tc>
          <w:tcPr>
            <w:tcW w:type="dxa" w:w="295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Voting SVM+LDA+ET</w:t>
            </w:r>
          </w:p>
        </w:tc>
        <w:tc>
          <w:tcPr>
            <w:tcW w:type="dxa" w:w="15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hybrid_50</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0.7500</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0.6037</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0.7400</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0.6957</w:t>
            </w:r>
          </w:p>
        </w:tc>
      </w:tr>
      <w:tr>
        <w:trPr/>
        <w:tc>
          <w:tcPr>
            <w:tcW w:type="dxa" w:w="295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Random Forest balanced</w:t>
            </w:r>
          </w:p>
        </w:tc>
        <w:tc>
          <w:tcPr>
            <w:tcW w:type="dxa" w:w="15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none</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0.7456</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0.5112</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0.7000</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0.3011</w:t>
            </w:r>
          </w:p>
        </w:tc>
      </w:tr>
      <w:tr>
        <w:trPr/>
        <w:tc>
          <w:tcPr>
            <w:tcW w:type="dxa" w:w="295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HistGradientBoosting</w:t>
            </w:r>
          </w:p>
        </w:tc>
        <w:tc>
          <w:tcPr>
            <w:tcW w:type="dxa" w:w="15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none</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0.7420</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0.5080</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0.7600</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0.4536</w:t>
            </w:r>
          </w:p>
        </w:tc>
      </w:tr>
      <w:tr>
        <w:trPr/>
        <w:tc>
          <w:tcPr>
            <w:tcW w:type="dxa" w:w="295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Voting SVM+LDA+ET</w:t>
            </w:r>
          </w:p>
        </w:tc>
        <w:tc>
          <w:tcPr>
            <w:tcW w:type="dxa" w:w="151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undersample_mild</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0.7379</w:t>
            </w:r>
          </w:p>
        </w:tc>
        <w:tc>
          <w:tcPr>
            <w:tcW w:type="dxa" w:w="1296"/>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0.5927</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0.7000</w:t>
            </w:r>
          </w:p>
        </w:tc>
        <w:tc>
          <w:tcPr>
            <w:tcW w:type="dxa" w:w="1152"/>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0.6256</w:t>
            </w:r>
          </w:p>
        </w:tc>
      </w:tr>
    </w:tbl>
    <w:p>
      <w:pPr>
        <w:spacing w:after="100"/>
      </w:pPr>
    </w:p>
    <w:p>
      <w:pPr>
        <w:spacing w:before="80" w:after="40"/>
        <w:jc w:val="center"/>
      </w:pPr>
      <w:r>
        <w:drawing>
          <wp:inline xmlns:a="http://schemas.openxmlformats.org/drawingml/2006/main" xmlns:pic="http://schemas.openxmlformats.org/drawingml/2006/picture">
            <wp:extent cx="5595540" cy="3931920"/>
            <wp:docPr id="4" name="Picture 4"/>
            <wp:cNvGraphicFramePr>
              <a:graphicFrameLocks noChangeAspect="1"/>
            </wp:cNvGraphicFramePr>
            <a:graphic>
              <a:graphicData uri="http://schemas.openxmlformats.org/drawingml/2006/picture">
                <pic:pic>
                  <pic:nvPicPr>
                    <pic:cNvPr id="0" name="fig_model_comparison_enhanced.png"/>
                    <pic:cNvPicPr/>
                  </pic:nvPicPr>
                  <pic:blipFill>
                    <a:blip r:embed="rId12"/>
                    <a:stretch>
                      <a:fillRect/>
                    </a:stretch>
                  </pic:blipFill>
                  <pic:spPr>
                    <a:xfrm>
                      <a:off x="0" y="0"/>
                      <a:ext cx="5595540" cy="3931920"/>
                    </a:xfrm>
                    <a:prstGeom prst="rect"/>
                  </pic:spPr>
                </pic:pic>
              </a:graphicData>
            </a:graphic>
          </wp:inline>
        </w:drawing>
      </w:r>
    </w:p>
    <w:p>
      <w:pPr>
        <w:spacing w:after="160"/>
        <w:jc w:val="center"/>
      </w:pPr>
      <w:r>
        <w:rPr>
          <w:rFonts w:ascii="Times New Roman" w:hAnsi="Times New Roman" w:eastAsia="Times New Roman"/>
          <w:i/>
          <w:color w:val="000000"/>
          <w:sz w:val="18"/>
        </w:rPr>
        <w:t>Figure 4. Comparison of the stronger supervised models.</w:t>
      </w:r>
    </w:p>
    <w:p>
      <w:pPr>
        <w:pStyle w:val="Heading1"/>
        <w:jc w:val="left"/>
      </w:pPr>
      <w:r>
        <w:rPr>
          <w:rFonts w:ascii="Times New Roman" w:hAnsi="Times New Roman" w:eastAsia="Times New Roman"/>
          <w:b/>
          <w:color w:val="000000"/>
          <w:sz w:val="32"/>
        </w:rPr>
        <w:t>Boosted-tree check</w:t>
      </w:r>
    </w:p>
    <w:p>
      <w:pPr>
        <w:jc w:val="left"/>
      </w:pPr>
      <w:r>
        <w:rPr>
          <w:rFonts w:ascii="Times New Roman" w:hAnsi="Times New Roman" w:eastAsia="Times New Roman"/>
          <w:color w:val="000000"/>
          <w:sz w:val="22"/>
        </w:rPr>
        <w:t>We also tried XGBoost, LightGBM, and CatBoost on the same engineered features. The best boosted-tree run did not beat the soft voting ensemble on cross-validation accuracy.</w:t>
      </w:r>
    </w:p>
    <w:tbl>
      <w:tblPr>
        <w:tblW w:type="dxa" w:w="9360"/>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32"/>
        <w:gridCol w:w="1368"/>
        <w:gridCol w:w="1656"/>
        <w:gridCol w:w="1368"/>
        <w:gridCol w:w="1368"/>
        <w:gridCol w:w="1368"/>
      </w:tblGrid>
      <w:tr>
        <w:trPr>
          <w:tblHeader w:val="true"/>
        </w:trPr>
        <w:tc>
          <w:tcPr>
            <w:tcW w:type="dxa" w:w="2232"/>
            <w:tcMar>
              <w:top w:w="80" w:type="dxa"/>
              <w:bottom w:w="80" w:type="dxa"/>
              <w:start w:w="120" w:type="dxa"/>
              <w:end w:w="120" w:type="dxa"/>
            </w:tcMar>
            <w:vAlign w:val="center"/>
          </w:tcPr>
          <w:p>
            <w:pPr>
              <w:spacing w:after="0"/>
              <w:jc w:val="left"/>
            </w:pPr>
            <w:r/>
            <w:r>
              <w:rPr>
                <w:rFonts w:ascii="Times New Roman" w:hAnsi="Times New Roman" w:eastAsia="Times New Roman"/>
                <w:b/>
                <w:color w:val="000000"/>
                <w:sz w:val="18"/>
              </w:rPr>
              <w:t>Model</w:t>
            </w:r>
          </w:p>
        </w:tc>
        <w:tc>
          <w:tcPr>
            <w:tcW w:type="dxa" w:w="1368"/>
            <w:tcMar>
              <w:top w:w="80" w:type="dxa"/>
              <w:bottom w:w="80" w:type="dxa"/>
              <w:start w:w="120" w:type="dxa"/>
              <w:end w:w="120" w:type="dxa"/>
            </w:tcMar>
            <w:vAlign w:val="center"/>
          </w:tcPr>
          <w:p>
            <w:pPr>
              <w:spacing w:after="0"/>
              <w:jc w:val="left"/>
            </w:pPr>
            <w:r/>
            <w:r>
              <w:rPr>
                <w:rFonts w:ascii="Times New Roman" w:hAnsi="Times New Roman" w:eastAsia="Times New Roman"/>
                <w:b/>
                <w:color w:val="000000"/>
                <w:sz w:val="18"/>
              </w:rPr>
              <w:t>Family</w:t>
            </w:r>
          </w:p>
        </w:tc>
        <w:tc>
          <w:tcPr>
            <w:tcW w:type="dxa" w:w="1656"/>
            <w:tcMar>
              <w:top w:w="80" w:type="dxa"/>
              <w:bottom w:w="80" w:type="dxa"/>
              <w:start w:w="120" w:type="dxa"/>
              <w:end w:w="120" w:type="dxa"/>
            </w:tcMar>
            <w:vAlign w:val="center"/>
          </w:tcPr>
          <w:p>
            <w:pPr>
              <w:spacing w:after="0"/>
              <w:jc w:val="left"/>
            </w:pPr>
            <w:r/>
            <w:r>
              <w:rPr>
                <w:rFonts w:ascii="Times New Roman" w:hAnsi="Times New Roman" w:eastAsia="Times New Roman"/>
                <w:b/>
                <w:color w:val="000000"/>
                <w:sz w:val="18"/>
              </w:rPr>
              <w:t>Imbalance Strategy</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CV Accuracy Mean</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CV Macro F1 Mean</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color w:val="000000"/>
                <w:sz w:val="18"/>
              </w:rPr>
              <w:t>Holdout Accuracy</w:t>
            </w:r>
          </w:p>
        </w:tc>
      </w:tr>
      <w:tr>
        <w:trPr/>
        <w:tc>
          <w:tcPr>
            <w:tcW w:type="dxa" w:w="223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CatBoost compact</w:t>
            </w:r>
          </w:p>
        </w:tc>
        <w:tc>
          <w:tcPr>
            <w:tcW w:type="dxa" w:w="1368"/>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catboost</w:t>
            </w:r>
          </w:p>
        </w:tc>
        <w:tc>
          <w:tcPr>
            <w:tcW w:type="dxa" w:w="16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balanced_weight</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0.7620</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0.6158</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0.6400</w:t>
            </w:r>
          </w:p>
        </w:tc>
      </w:tr>
      <w:tr>
        <w:trPr/>
        <w:tc>
          <w:tcPr>
            <w:tcW w:type="dxa" w:w="223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XGBoost conservative</w:t>
            </w:r>
          </w:p>
        </w:tc>
        <w:tc>
          <w:tcPr>
            <w:tcW w:type="dxa" w:w="1368"/>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xgboost</w:t>
            </w:r>
          </w:p>
        </w:tc>
        <w:tc>
          <w:tcPr>
            <w:tcW w:type="dxa" w:w="16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none</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0.7537</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0.5069</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0.7000</w:t>
            </w:r>
          </w:p>
        </w:tc>
      </w:tr>
      <w:tr>
        <w:trPr/>
        <w:tc>
          <w:tcPr>
            <w:tcW w:type="dxa" w:w="223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LightGBM shallow</w:t>
            </w:r>
          </w:p>
        </w:tc>
        <w:tc>
          <w:tcPr>
            <w:tcW w:type="dxa" w:w="1368"/>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lightgbm</w:t>
            </w:r>
          </w:p>
        </w:tc>
        <w:tc>
          <w:tcPr>
            <w:tcW w:type="dxa" w:w="16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balanced_weight</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0.7458</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0.5473</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0.6800</w:t>
            </w:r>
          </w:p>
        </w:tc>
      </w:tr>
      <w:tr>
        <w:trPr/>
        <w:tc>
          <w:tcPr>
            <w:tcW w:type="dxa" w:w="223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CatBoost compact</w:t>
            </w:r>
          </w:p>
        </w:tc>
        <w:tc>
          <w:tcPr>
            <w:tcW w:type="dxa" w:w="1368"/>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catboost</w:t>
            </w:r>
          </w:p>
        </w:tc>
        <w:tc>
          <w:tcPr>
            <w:tcW w:type="dxa" w:w="16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none</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0.7457</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0.4387</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0.7000</w:t>
            </w:r>
          </w:p>
        </w:tc>
      </w:tr>
      <w:tr>
        <w:trPr/>
        <w:tc>
          <w:tcPr>
            <w:tcW w:type="dxa" w:w="223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LightGBM shallow</w:t>
            </w:r>
          </w:p>
        </w:tc>
        <w:tc>
          <w:tcPr>
            <w:tcW w:type="dxa" w:w="1368"/>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lightgbm</w:t>
            </w:r>
          </w:p>
        </w:tc>
        <w:tc>
          <w:tcPr>
            <w:tcW w:type="dxa" w:w="16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none</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0.7456</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0.5190</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0.7000</w:t>
            </w:r>
          </w:p>
        </w:tc>
      </w:tr>
      <w:tr>
        <w:trPr/>
        <w:tc>
          <w:tcPr>
            <w:tcW w:type="dxa" w:w="223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XGBoost deeper</w:t>
            </w:r>
          </w:p>
        </w:tc>
        <w:tc>
          <w:tcPr>
            <w:tcW w:type="dxa" w:w="1368"/>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xgboost</w:t>
            </w:r>
          </w:p>
        </w:tc>
        <w:tc>
          <w:tcPr>
            <w:tcW w:type="dxa" w:w="16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none</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0.7456</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0.4735</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0.7200</w:t>
            </w:r>
          </w:p>
        </w:tc>
      </w:tr>
      <w:tr>
        <w:trPr/>
        <w:tc>
          <w:tcPr>
            <w:tcW w:type="dxa" w:w="223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LightGBM compact</w:t>
            </w:r>
          </w:p>
        </w:tc>
        <w:tc>
          <w:tcPr>
            <w:tcW w:type="dxa" w:w="1368"/>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lightgbm</w:t>
            </w:r>
          </w:p>
        </w:tc>
        <w:tc>
          <w:tcPr>
            <w:tcW w:type="dxa" w:w="16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balanced_weight</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0.7418</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0.5345</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0.6800</w:t>
            </w:r>
          </w:p>
        </w:tc>
      </w:tr>
      <w:tr>
        <w:trPr/>
        <w:tc>
          <w:tcPr>
            <w:tcW w:type="dxa" w:w="2232"/>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LightGBM compact</w:t>
            </w:r>
          </w:p>
        </w:tc>
        <w:tc>
          <w:tcPr>
            <w:tcW w:type="dxa" w:w="1368"/>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lightgbm</w:t>
            </w:r>
          </w:p>
        </w:tc>
        <w:tc>
          <w:tcPr>
            <w:tcW w:type="dxa" w:w="1656"/>
            <w:tcMar>
              <w:top w:w="80" w:type="dxa"/>
              <w:bottom w:w="80" w:type="dxa"/>
              <w:start w:w="120" w:type="dxa"/>
              <w:end w:w="120" w:type="dxa"/>
            </w:tcMar>
            <w:vAlign w:val="center"/>
          </w:tcPr>
          <w:p>
            <w:pPr>
              <w:spacing w:after="0"/>
              <w:jc w:val="left"/>
            </w:pPr>
            <w:r/>
            <w:r>
              <w:rPr>
                <w:rFonts w:ascii="Times New Roman" w:hAnsi="Times New Roman" w:eastAsia="Times New Roman"/>
                <w:b w:val="0"/>
                <w:color w:val="000000"/>
                <w:sz w:val="17"/>
              </w:rPr>
              <w:t>none</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0.7418</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0.4904</w:t>
            </w:r>
          </w:p>
        </w:tc>
        <w:tc>
          <w:tcPr>
            <w:tcW w:type="dxa" w:w="1368"/>
            <w:tcMar>
              <w:top w:w="80" w:type="dxa"/>
              <w:bottom w:w="80" w:type="dxa"/>
              <w:start w:w="120" w:type="dxa"/>
              <w:end w:w="120" w:type="dxa"/>
            </w:tcMar>
            <w:vAlign w:val="center"/>
          </w:tcPr>
          <w:p>
            <w:pPr>
              <w:spacing w:after="0"/>
              <w:jc w:val="center"/>
            </w:pPr>
            <w:r/>
            <w:r>
              <w:rPr>
                <w:rFonts w:ascii="Times New Roman" w:hAnsi="Times New Roman" w:eastAsia="Times New Roman"/>
                <w:b w:val="0"/>
                <w:color w:val="000000"/>
                <w:sz w:val="17"/>
              </w:rPr>
              <w:t>0.6800</w:t>
            </w:r>
          </w:p>
        </w:tc>
      </w:tr>
    </w:tbl>
    <w:p>
      <w:pPr>
        <w:spacing w:after="100"/>
      </w:pPr>
    </w:p>
    <w:p>
      <w:pPr>
        <w:jc w:val="left"/>
      </w:pPr>
      <w:r>
        <w:rPr>
          <w:rFonts w:ascii="Times New Roman" w:hAnsi="Times New Roman" w:eastAsia="Times New Roman"/>
          <w:color w:val="000000"/>
          <w:sz w:val="22"/>
        </w:rPr>
        <w:t>The best boosted-tree accuracy was 0.7620 from CatBoost compact with balanced_weight. The strongest boosted-tree macro F1 was 0.6172 from CatBoost shallow, but its holdout macro F1 was 0.3208, so we did not select it.</w:t>
      </w:r>
    </w:p>
    <w:p>
      <w:pPr>
        <w:pStyle w:val="Heading1"/>
        <w:jc w:val="left"/>
      </w:pPr>
      <w:r>
        <w:rPr>
          <w:rFonts w:ascii="Times New Roman" w:hAnsi="Times New Roman" w:eastAsia="Times New Roman"/>
          <w:b/>
          <w:color w:val="000000"/>
          <w:sz w:val="32"/>
        </w:rPr>
        <w:t>Final model choice</w:t>
      </w:r>
    </w:p>
    <w:p>
      <w:pPr>
        <w:jc w:val="left"/>
      </w:pPr>
      <w:r>
        <w:rPr>
          <w:rFonts w:ascii="Times New Roman" w:hAnsi="Times New Roman" w:eastAsia="Times New Roman"/>
          <w:color w:val="000000"/>
          <w:sz w:val="22"/>
        </w:rPr>
        <w:t>Main accuracy model:</w:t>
      </w:r>
    </w:p>
    <w:p>
      <w:pPr>
        <w:pStyle w:val="ListBullet"/>
        <w:jc w:val="left"/>
      </w:pPr>
      <w:r>
        <w:rPr>
          <w:rFonts w:ascii="Times New Roman" w:hAnsi="Times New Roman" w:eastAsia="Times New Roman"/>
          <w:color w:val="000000"/>
          <w:sz w:val="22"/>
        </w:rPr>
        <w:t>File: best_model_engineered.pkl</w:t>
      </w:r>
    </w:p>
    <w:p>
      <w:pPr>
        <w:pStyle w:val="ListBullet"/>
        <w:jc w:val="left"/>
      </w:pPr>
      <w:r>
        <w:rPr>
          <w:rFonts w:ascii="Times New Roman" w:hAnsi="Times New Roman" w:eastAsia="Times New Roman"/>
          <w:color w:val="000000"/>
          <w:sz w:val="22"/>
        </w:rPr>
        <w:t>Model: Voting SVM+LDA+ET</w:t>
      </w:r>
    </w:p>
    <w:p>
      <w:pPr>
        <w:pStyle w:val="ListBullet"/>
        <w:jc w:val="left"/>
      </w:pPr>
      <w:r>
        <w:rPr>
          <w:rFonts w:ascii="Times New Roman" w:hAnsi="Times New Roman" w:eastAsia="Times New Roman"/>
          <w:color w:val="000000"/>
          <w:sz w:val="22"/>
        </w:rPr>
        <w:t>Imbalance strategy: none</w:t>
      </w:r>
    </w:p>
    <w:p>
      <w:pPr>
        <w:pStyle w:val="ListBullet"/>
        <w:jc w:val="left"/>
      </w:pPr>
      <w:r>
        <w:rPr>
          <w:rFonts w:ascii="Times New Roman" w:hAnsi="Times New Roman" w:eastAsia="Times New Roman"/>
          <w:color w:val="000000"/>
          <w:sz w:val="22"/>
        </w:rPr>
        <w:t>CV accuracy: 0.8024 +/- 0.0462</w:t>
      </w:r>
    </w:p>
    <w:p>
      <w:pPr>
        <w:pStyle w:val="ListBullet"/>
        <w:jc w:val="left"/>
      </w:pPr>
      <w:r>
        <w:rPr>
          <w:rFonts w:ascii="Times New Roman" w:hAnsi="Times New Roman" w:eastAsia="Times New Roman"/>
          <w:color w:val="000000"/>
          <w:sz w:val="22"/>
        </w:rPr>
        <w:t>CV macro F1: 0.5979</w:t>
      </w:r>
    </w:p>
    <w:p>
      <w:pPr>
        <w:pStyle w:val="ListBullet"/>
        <w:jc w:val="left"/>
      </w:pPr>
      <w:r>
        <w:rPr>
          <w:rFonts w:ascii="Times New Roman" w:hAnsi="Times New Roman" w:eastAsia="Times New Roman"/>
          <w:color w:val="000000"/>
          <w:sz w:val="22"/>
        </w:rPr>
        <w:t>Holdout accuracy: 0.7600</w:t>
      </w:r>
    </w:p>
    <w:p>
      <w:pPr>
        <w:jc w:val="left"/>
      </w:pPr>
      <w:r>
        <w:rPr>
          <w:rFonts w:ascii="Times New Roman" w:hAnsi="Times New Roman" w:eastAsia="Times New Roman"/>
          <w:color w:val="000000"/>
          <w:sz w:val="22"/>
        </w:rPr>
        <w:t>Macro-F1-oriented alternative from the sweep:</w:t>
      </w:r>
    </w:p>
    <w:p>
      <w:pPr>
        <w:pStyle w:val="ListBullet"/>
        <w:jc w:val="left"/>
      </w:pPr>
      <w:r>
        <w:rPr>
          <w:rFonts w:ascii="Times New Roman" w:hAnsi="Times New Roman" w:eastAsia="Times New Roman"/>
          <w:color w:val="000000"/>
          <w:sz w:val="22"/>
        </w:rPr>
        <w:t>Model: SVM RBF C=10</w:t>
      </w:r>
    </w:p>
    <w:p>
      <w:pPr>
        <w:pStyle w:val="ListBullet"/>
        <w:jc w:val="left"/>
      </w:pPr>
      <w:r>
        <w:rPr>
          <w:rFonts w:ascii="Times New Roman" w:hAnsi="Times New Roman" w:eastAsia="Times New Roman"/>
          <w:color w:val="000000"/>
          <w:sz w:val="22"/>
        </w:rPr>
        <w:t>Imbalance strategy: hybrid_50</w:t>
      </w:r>
    </w:p>
    <w:p>
      <w:pPr>
        <w:pStyle w:val="ListBullet"/>
        <w:jc w:val="left"/>
      </w:pPr>
      <w:r>
        <w:rPr>
          <w:rFonts w:ascii="Times New Roman" w:hAnsi="Times New Roman" w:eastAsia="Times New Roman"/>
          <w:color w:val="000000"/>
          <w:sz w:val="22"/>
        </w:rPr>
        <w:t>CV accuracy: 0.7136 +/- 0.0505</w:t>
      </w:r>
    </w:p>
    <w:p>
      <w:pPr>
        <w:pStyle w:val="ListBullet"/>
        <w:jc w:val="left"/>
      </w:pPr>
      <w:r>
        <w:rPr>
          <w:rFonts w:ascii="Times New Roman" w:hAnsi="Times New Roman" w:eastAsia="Times New Roman"/>
          <w:color w:val="000000"/>
          <w:sz w:val="22"/>
        </w:rPr>
        <w:t>CV macro F1: 0.6120</w:t>
      </w:r>
    </w:p>
    <w:p>
      <w:pPr>
        <w:pStyle w:val="ListBullet"/>
        <w:jc w:val="left"/>
      </w:pPr>
      <w:r>
        <w:rPr>
          <w:rFonts w:ascii="Times New Roman" w:hAnsi="Times New Roman" w:eastAsia="Times New Roman"/>
          <w:color w:val="000000"/>
          <w:sz w:val="22"/>
        </w:rPr>
        <w:t>Holdout macro F1: 0.6389</w:t>
      </w:r>
    </w:p>
    <w:p>
      <w:pPr>
        <w:jc w:val="left"/>
      </w:pPr>
      <w:r>
        <w:rPr>
          <w:rFonts w:ascii="Times New Roman" w:hAnsi="Times New Roman" w:eastAsia="Times New Roman"/>
          <w:color w:val="000000"/>
          <w:sz w:val="22"/>
        </w:rPr>
        <w:t>The accuracy model wins the main metric. The hybrid_50 SVM is worth keeping in mind only if the final evaluation rewards minority-class recall more heavily than plain accuracy.</w:t>
      </w:r>
    </w:p>
    <w:p>
      <w:pPr>
        <w:spacing w:before="80" w:after="40"/>
        <w:jc w:val="center"/>
      </w:pPr>
      <w:r>
        <w:drawing>
          <wp:inline xmlns:a="http://schemas.openxmlformats.org/drawingml/2006/main" xmlns:pic="http://schemas.openxmlformats.org/drawingml/2006/picture">
            <wp:extent cx="5806440" cy="2893841"/>
            <wp:docPr id="5" name="Picture 5"/>
            <wp:cNvGraphicFramePr>
              <a:graphicFrameLocks noChangeAspect="1"/>
            </wp:cNvGraphicFramePr>
            <a:graphic>
              <a:graphicData uri="http://schemas.openxmlformats.org/drawingml/2006/picture">
                <pic:pic>
                  <pic:nvPicPr>
                    <pic:cNvPr id="0" name="fig_final_model_confusion_enhanced.png"/>
                    <pic:cNvPicPr/>
                  </pic:nvPicPr>
                  <pic:blipFill>
                    <a:blip r:embed="rId13"/>
                    <a:stretch>
                      <a:fillRect/>
                    </a:stretch>
                  </pic:blipFill>
                  <pic:spPr>
                    <a:xfrm>
                      <a:off x="0" y="0"/>
                      <a:ext cx="5806440" cy="2893841"/>
                    </a:xfrm>
                    <a:prstGeom prst="rect"/>
                  </pic:spPr>
                </pic:pic>
              </a:graphicData>
            </a:graphic>
          </wp:inline>
        </w:drawing>
      </w:r>
    </w:p>
    <w:p>
      <w:pPr>
        <w:spacing w:after="160"/>
        <w:jc w:val="center"/>
      </w:pPr>
      <w:r>
        <w:rPr>
          <w:rFonts w:ascii="Times New Roman" w:hAnsi="Times New Roman" w:eastAsia="Times New Roman"/>
          <w:i/>
          <w:color w:val="000000"/>
          <w:sz w:val="18"/>
        </w:rPr>
        <w:t>Figure 5. Holdout confusion matrix for the selected voting model.</w:t>
      </w:r>
    </w:p>
    <w:p>
      <w:pPr>
        <w:spacing w:before="80" w:after="40"/>
        <w:jc w:val="center"/>
      </w:pPr>
      <w:r>
        <w:drawing>
          <wp:inline xmlns:a="http://schemas.openxmlformats.org/drawingml/2006/main" xmlns:pic="http://schemas.openxmlformats.org/drawingml/2006/picture">
            <wp:extent cx="5348684" cy="3931920"/>
            <wp:docPr id="6" name="Picture 6"/>
            <wp:cNvGraphicFramePr>
              <a:graphicFrameLocks noChangeAspect="1"/>
            </wp:cNvGraphicFramePr>
            <a:graphic>
              <a:graphicData uri="http://schemas.openxmlformats.org/drawingml/2006/picture">
                <pic:pic>
                  <pic:nvPicPr>
                    <pic:cNvPr id="0" name="fig_feature_importance_enhanced.png"/>
                    <pic:cNvPicPr/>
                  </pic:nvPicPr>
                  <pic:blipFill>
                    <a:blip r:embed="rId14"/>
                    <a:stretch>
                      <a:fillRect/>
                    </a:stretch>
                  </pic:blipFill>
                  <pic:spPr>
                    <a:xfrm>
                      <a:off x="0" y="0"/>
                      <a:ext cx="5348684" cy="3931920"/>
                    </a:xfrm>
                    <a:prstGeom prst="rect"/>
                  </pic:spPr>
                </pic:pic>
              </a:graphicData>
            </a:graphic>
          </wp:inline>
        </w:drawing>
      </w:r>
    </w:p>
    <w:p>
      <w:pPr>
        <w:spacing w:after="160"/>
        <w:jc w:val="center"/>
      </w:pPr>
      <w:r>
        <w:rPr>
          <w:rFonts w:ascii="Times New Roman" w:hAnsi="Times New Roman" w:eastAsia="Times New Roman"/>
          <w:i/>
          <w:color w:val="000000"/>
          <w:sz w:val="18"/>
        </w:rPr>
        <w:t>Figure 6. Important engineered features from the ExtraTrees component.</w:t>
      </w:r>
    </w:p>
    <w:p>
      <w:pPr>
        <w:spacing w:before="80" w:after="40"/>
        <w:jc w:val="center"/>
      </w:pPr>
      <w:r>
        <w:drawing>
          <wp:inline xmlns:a="http://schemas.openxmlformats.org/drawingml/2006/main" xmlns:pic="http://schemas.openxmlformats.org/drawingml/2006/picture">
            <wp:extent cx="5806440" cy="3194809"/>
            <wp:docPr id="7" name="Picture 7"/>
            <wp:cNvGraphicFramePr>
              <a:graphicFrameLocks noChangeAspect="1"/>
            </wp:cNvGraphicFramePr>
            <a:graphic>
              <a:graphicData uri="http://schemas.openxmlformats.org/drawingml/2006/picture">
                <pic:pic>
                  <pic:nvPicPr>
                    <pic:cNvPr id="0" name="fig_feature_boxplots_enhanced.png"/>
                    <pic:cNvPicPr/>
                  </pic:nvPicPr>
                  <pic:blipFill>
                    <a:blip r:embed="rId15"/>
                    <a:stretch>
                      <a:fillRect/>
                    </a:stretch>
                  </pic:blipFill>
                  <pic:spPr>
                    <a:xfrm>
                      <a:off x="0" y="0"/>
                      <a:ext cx="5806440" cy="3194809"/>
                    </a:xfrm>
                    <a:prstGeom prst="rect"/>
                  </pic:spPr>
                </pic:pic>
              </a:graphicData>
            </a:graphic>
          </wp:inline>
        </w:drawing>
      </w:r>
    </w:p>
    <w:p>
      <w:pPr>
        <w:spacing w:after="160"/>
        <w:jc w:val="center"/>
      </w:pPr>
      <w:r>
        <w:rPr>
          <w:rFonts w:ascii="Times New Roman" w:hAnsi="Times New Roman" w:eastAsia="Times New Roman"/>
          <w:i/>
          <w:color w:val="000000"/>
          <w:sz w:val="18"/>
        </w:rPr>
        <w:t>Figure 7. Selected engineered features by class.</w:t>
      </w:r>
    </w:p>
    <w:p>
      <w:pPr>
        <w:pStyle w:val="Heading1"/>
        <w:jc w:val="left"/>
      </w:pPr>
      <w:r>
        <w:rPr>
          <w:rFonts w:ascii="Times New Roman" w:hAnsi="Times New Roman" w:eastAsia="Times New Roman"/>
          <w:b/>
          <w:color w:val="000000"/>
          <w:sz w:val="32"/>
        </w:rPr>
        <w:t>Prediction steps</w:t>
      </w:r>
    </w:p>
    <w:p>
      <w:pPr>
        <w:pStyle w:val="ListNumber"/>
        <w:jc w:val="left"/>
      </w:pPr>
      <w:r>
        <w:rPr>
          <w:rFonts w:ascii="Times New Roman" w:hAnsi="Times New Roman" w:eastAsia="Times New Roman"/>
          <w:color w:val="000000"/>
          <w:sz w:val="22"/>
        </w:rPr>
        <w:t>Extract the same 39 base features from each hidden test image and mask.</w:t>
      </w:r>
    </w:p>
    <w:p>
      <w:pPr>
        <w:pStyle w:val="ListNumber"/>
        <w:jc w:val="left"/>
      </w:pPr>
      <w:r>
        <w:rPr>
          <w:rFonts w:ascii="Times New Roman" w:hAnsi="Times New Roman" w:eastAsia="Times New Roman"/>
          <w:color w:val="000000"/>
          <w:sz w:val="22"/>
        </w:rPr>
        <w:t>Apply add_engineered_features to produce the 80-feature representation.</w:t>
      </w:r>
    </w:p>
    <w:p>
      <w:pPr>
        <w:pStyle w:val="ListNumber"/>
        <w:jc w:val="left"/>
      </w:pPr>
      <w:r>
        <w:rPr>
          <w:rFonts w:ascii="Times New Roman" w:hAnsi="Times New Roman" w:eastAsia="Times New Roman"/>
          <w:color w:val="000000"/>
          <w:sz w:val="22"/>
        </w:rPr>
        <w:t>Use the saved feature_cols from best_model_engineered.pkl.</w:t>
      </w:r>
    </w:p>
    <w:p>
      <w:pPr>
        <w:pStyle w:val="ListNumber"/>
        <w:jc w:val="left"/>
      </w:pPr>
      <w:r>
        <w:rPr>
          <w:rFonts w:ascii="Times New Roman" w:hAnsi="Times New Roman" w:eastAsia="Times New Roman"/>
          <w:color w:val="000000"/>
          <w:sz w:val="22"/>
        </w:rPr>
        <w:t>Run the saved voting model and write a CSV with columns ID and bug type.</w:t>
      </w:r>
    </w:p>
    <w:tbl>
      <w:tblPr>
        <w:tblW w:w="5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p>
            <w:r>
              <w:rPr>
                <w:b/>
              </w:rPr>
              <w:t>bug type</w:t>
            </w:r>
          </w:p>
        </w:tc>
        <w:tc>
          <w:p>
            <w:r>
              <w:rPr>
                <w:b/>
              </w:rPr>
              <w:t>count</w:t>
            </w:r>
          </w:p>
        </w:tc>
      </w:tr>
      <w:tr>
        <w:tc>
          <w:p>
            <w:r>
              <w:t>Bee</w:t>
            </w:r>
          </w:p>
        </w:tc>
        <w:tc>
          <w:p>
            <w:r>
              <w:t>75</w:t>
            </w:r>
          </w:p>
        </w:tc>
      </w:tr>
      <w:tr>
        <w:tc>
          <w:p>
            <w:r>
              <w:t>Butterfly</w:t>
            </w:r>
          </w:p>
        </w:tc>
        <w:tc>
          <w:p>
            <w:r>
              <w:t>11</w:t>
            </w:r>
          </w:p>
        </w:tc>
      </w:tr>
      <w:tr>
        <w:tc>
          <w:p>
            <w:r>
              <w:t>Wasp</w:t>
            </w:r>
          </w:p>
        </w:tc>
        <w:tc>
          <w:p>
            <w:r>
              <w:t>5</w:t>
            </w:r>
          </w:p>
        </w:tc>
      </w:tr>
      <w:tr>
        <w:tc>
          <w:p>
            <w:r>
              <w:t>Hover fly</w:t>
            </w:r>
          </w:p>
        </w:tc>
        <w:tc>
          <w:p>
            <w:r>
              <w:t>5</w:t>
            </w:r>
          </w:p>
        </w:tc>
      </w:tr>
      <w:tr>
        <w:tc>
          <w:p>
            <w:r>
              <w:t>Bumblebee</w:t>
            </w:r>
          </w:p>
        </w:tc>
        <w:tc>
          <w:p>
            <w:r>
              <w:t>1</w:t>
            </w:r>
          </w:p>
        </w:tc>
      </w:tr>
      <w:tr>
        <w:tc>
          <w:p>
            <w:r>
              <w:t>Total</w:t>
            </w:r>
          </w:p>
        </w:tc>
        <w:tc>
          <w:p>
            <w:r>
              <w:t>97</w:t>
            </w:r>
          </w:p>
        </w:tc>
      </w:tr>
    </w:tbl>
    <w:p>
      <w:pPr>
        <w:pStyle w:val="Heading1"/>
      </w:pPr>
      <w:r>
        <w:t>Test Set Predictions</w:t>
      </w:r>
    </w:p>
    <w:p>
      <w:r>
        <w:t>We ran the Voting SVM+LDA+ET model on the 97 hidden test images (251-347). The CSV output predictions_251_347.csv was generated. Below is the predicted class distribution:</w:t>
      </w:r>
    </w:p>
    <w:p>
      <w:pPr>
        <w:pStyle w:val="Heading1"/>
        <w:jc w:val="left"/>
      </w:pPr>
      <w:r>
        <w:rPr>
          <w:rFonts w:ascii="Times New Roman" w:hAnsi="Times New Roman" w:eastAsia="Times New Roman"/>
          <w:b/>
          <w:color w:val="000000"/>
          <w:sz w:val="32"/>
        </w:rPr>
        <w:t>Limitations</w:t>
      </w:r>
    </w:p>
    <w:p>
      <w:pPr>
        <w:jc w:val="left"/>
      </w:pPr>
      <w:r>
        <w:rPr>
          <w:rFonts w:ascii="Times New Roman" w:hAnsi="Times New Roman" w:eastAsia="Times New Roman"/>
          <w:color w:val="000000"/>
          <w:sz w:val="22"/>
        </w:rPr>
        <w:t>The final model predicts five classes. Dragonfly and Bee &amp; Bumblebee were excluded from validation because there is only one labelled example of each. If the hidden test set contains those labels, the current model will not handle them directly. Hover fly and Wasp are also based on very small sample counts, so their validation scores should be read with caution.</w:t>
      </w:r>
    </w:p>
    <w:p>
      <w:pPr>
        <w:pStyle w:val="Heading1"/>
        <w:jc w:val="left"/>
      </w:pPr>
      <w:r>
        <w:rPr>
          <w:rFonts w:ascii="Times New Roman" w:hAnsi="Times New Roman" w:eastAsia="Times New Roman"/>
          <w:b/>
          <w:color w:val="000000"/>
          <w:sz w:val="32"/>
        </w:rPr>
        <w:t>Conclusion</w:t>
      </w:r>
    </w:p>
    <w:p>
      <w:pPr>
        <w:jc w:val="left"/>
      </w:pPr>
      <w:r>
        <w:rPr>
          <w:rFonts w:ascii="Times New Roman" w:hAnsi="Times New Roman" w:eastAsia="Times New Roman"/>
          <w:color w:val="000000"/>
          <w:sz w:val="22"/>
        </w:rPr>
        <w:t>The selected submission model is the engineered-feature soft voting ensemble. Compared with the corrected single SVM baseline, it raises cross-validation accuracy from 0.7504 to 0.8024 and reaches 0.7600 on the holdout split. The result is not perfect, especially for the small classes, but it is the most reasonable choice from the experiments available in this project.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Times New Roman" w:hAnsi="Times New Roman" w:eastAsia="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Times New Roman" w:hAnsi="Times New Roman" w:eastAsia="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