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240"/>
        <w:jc w:val="center"/>
      </w:pPr>
      <w:r>
        <w:rPr>
          <w:rFonts w:ascii="Arial" w:cs="Arial" w:eastAsia="Arial" w:hAnsi="Arial"/>
          <w:b/>
          <w:bCs/>
          <w:color w:val="1E3A5F"/>
          <w:sz w:val="52"/>
          <w:szCs w:val="52"/>
        </w:rPr>
        <w:t xml:space="preserve">RAPPORT FINAL</w:t>
      </w:r>
    </w:p>
    <w:p>
      <w:pPr>
        <w:spacing w:before="0" w:after="240"/>
        <w:jc w:val="center"/>
      </w:pPr>
      <w:r>
        <w:rPr>
          <w:rFonts w:ascii="Arial" w:cs="Arial" w:eastAsia="Arial" w:hAnsi="Arial"/>
          <w:b/>
          <w:bCs/>
          <w:color w:val="00A8CC"/>
          <w:sz w:val="80"/>
          <w:szCs w:val="80"/>
        </w:rPr>
        <w:t xml:space="preserve">RadIA-DL</w:t>
      </w:r>
    </w:p>
    <w:p>
      <w:pPr>
        <w:spacing w:before="0" w:after="720"/>
        <w:jc w:val="center"/>
      </w:pPr>
      <w:r>
        <w:rPr>
          <w:rFonts w:ascii="Arial" w:cs="Arial" w:eastAsia="Arial" w:hAnsi="Arial"/>
          <w:i/>
          <w:iCs/>
          <w:color w:val="2E6DA4"/>
          <w:sz w:val="36"/>
          <w:szCs w:val="36"/>
        </w:rPr>
        <w:t xml:space="preserve">Système d'aide au tri radiologique</w:t>
      </w:r>
    </w:p>
    <w:p>
      <w:pPr>
        <w:pBdr>
          <w:bottom w:val="single" w:color="00A8CC" w:sz="8" w:space="1"/>
        </w:pBdr>
        <w:spacing w:before="0" w:after="480"/>
      </w:pPr>
      <w:r>
        <w:t xml:space="preserve"/>
      </w:r>
    </w:p>
    <w:p>
      <w:pPr>
        <w:spacing w:before="0" w:after="240"/>
        <w:jc w:val="center"/>
      </w:pPr>
      <w:r>
        <w:rPr>
          <w:rFonts w:ascii="Arial" w:cs="Arial" w:eastAsia="Arial" w:hAnsi="Arial"/>
          <w:color w:val="4A5568"/>
          <w:sz w:val="22"/>
          <w:szCs w:val="22"/>
        </w:rPr>
        <w:t xml:space="preserve">Projet Deep Learning — Classification supervisée · Détection d'anomalies · Multimodalité image+texte</w:t>
      </w:r>
    </w:p>
    <w:p>
      <w:pPr>
        <w:spacing w:before="0" w:after="240"/>
        <w:jc w:val="center"/>
      </w:pPr>
      <w:r>
        <w:rPr>
          <w:rFonts w:ascii="Arial" w:cs="Arial" w:eastAsia="Arial" w:hAnsi="Arial"/>
          <w:color w:val="6B7280"/>
          <w:sz w:val="20"/>
          <w:szCs w:val="20"/>
        </w:rPr>
        <w:t xml:space="preserve">Datasets : ChestMNIST (64px) + NIH Chest X-Ray (112 120 images)</w:t>
      </w:r>
    </w:p>
    <w:p>
      <w:pPr>
        <w:spacing w:before="0" w:after="1440"/>
        <w:jc w:val="center"/>
      </w:pPr>
      <w:r>
        <w:rPr>
          <w:rFonts w:ascii="Arial" w:cs="Arial" w:eastAsia="Arial" w:hAnsi="Arial"/>
          <w:color w:val="6B7280"/>
          <w:sz w:val="20"/>
          <w:szCs w:val="20"/>
        </w:rPr>
        <w:t xml:space="preserve">Frameworks : PyTorch · timm · Flask · MLflow</w:t>
      </w:r>
    </w:p>
    <w:p>
      <w:r>
        <w:br w:type="page"/>
      </w:r>
    </w:p>
    <w:p>
      <w:pPr>
        <w:pBdr>
          <w:bottom w:val="single" w:color="00A8CC" w:sz="6" w:space="1"/>
        </w:pBdr>
        <w:spacing w:before="240" w:after="480"/>
      </w:pPr>
      <w:r>
        <w:rPr>
          <w:rFonts w:ascii="Arial" w:cs="Arial" w:eastAsia="Arial" w:hAnsi="Arial"/>
          <w:b/>
          <w:bCs/>
          <w:color w:val="1E3A5F"/>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1. Problème</w:t>
      </w:r>
    </w:p>
    <w:p>
      <w:pPr>
        <w:pStyle w:val="Heading2"/>
        <w:spacing w:before="360" w:after="180"/>
      </w:pPr>
      <w:r>
        <w:rPr>
          <w:rFonts w:ascii="Arial" w:cs="Arial" w:eastAsia="Arial" w:hAnsi="Arial"/>
          <w:b/>
          <w:bCs/>
          <w:color w:val="2E6DA4"/>
          <w:sz w:val="28"/>
          <w:szCs w:val="28"/>
        </w:rPr>
        <w:t xml:space="preserve">1.1 Contexte général</w:t>
      </w:r>
    </w:p>
    <w:p>
      <w:pPr>
        <w:spacing w:before="60" w:after="120"/>
        <w:jc w:val="both"/>
      </w:pPr>
      <w:r>
        <w:rPr>
          <w:rFonts w:ascii="Arial" w:cs="Arial" w:eastAsia="Arial" w:hAnsi="Arial"/>
          <w:color w:val="2D3748"/>
          <w:sz w:val="22"/>
          <w:szCs w:val="22"/>
        </w:rPr>
        <w:t xml:space="preserve">La radiologie thoracique représente l'un des examens d'imagerie médicale les plus pratiqués dans le monde. En France, plus de 10 millions de radiographies thoraciques sont réalisées chaque année. Face au volume croissant de ces examens, les radiologues font face à une charge de travail considérable, augmentant les risques d'erreurs diagnostiques liées à la fatigue ou à des délais d'analyse trop importants.</w:t>
      </w:r>
    </w:p>
    <w:p>
      <w:pPr>
        <w:spacing w:before="120" w:after="120"/>
      </w:pPr>
      <w:r>
        <w:t xml:space="preserve"/>
      </w:r>
    </w:p>
    <w:p>
      <w:pPr>
        <w:spacing w:before="60" w:after="120"/>
        <w:jc w:val="both"/>
      </w:pPr>
      <w:r>
        <w:rPr>
          <w:rFonts w:ascii="Arial" w:cs="Arial" w:eastAsia="Arial" w:hAnsi="Arial"/>
          <w:color w:val="2D3748"/>
          <w:sz w:val="22"/>
          <w:szCs w:val="22"/>
        </w:rPr>
        <w:t xml:space="preserve">L'intelligence artificielle, et en particulier le deep learning appliqué à l'imagerie médicale, offre des perspectives prometteuses pour assister les professionnels de santé dans cette tâche de tri. Un système d'aide automatique capable d'identifier les cas urgents ou pathologiques permettrait de prioriser l'interprétation humaine sur les cas les plus critiques.</w:t>
      </w:r>
    </w:p>
    <w:p>
      <w:pPr>
        <w:pStyle w:val="Heading2"/>
        <w:spacing w:before="360" w:after="180"/>
      </w:pPr>
      <w:r>
        <w:rPr>
          <w:rFonts w:ascii="Arial" w:cs="Arial" w:eastAsia="Arial" w:hAnsi="Arial"/>
          <w:b/>
          <w:bCs/>
          <w:color w:val="2E6DA4"/>
          <w:sz w:val="28"/>
          <w:szCs w:val="28"/>
        </w:rPr>
        <w:t xml:space="preserve">1.2 Objectif métier</w:t>
      </w:r>
    </w:p>
    <w:p>
      <w:pPr>
        <w:spacing w:before="60" w:after="120"/>
        <w:jc w:val="both"/>
      </w:pPr>
      <w:r>
        <w:rPr>
          <w:rFonts w:ascii="Arial" w:cs="Arial" w:eastAsia="Arial" w:hAnsi="Arial"/>
          <w:color w:val="2D3748"/>
          <w:sz w:val="22"/>
          <w:szCs w:val="22"/>
        </w:rPr>
        <w:t xml:space="preserve">L'objectif de ce projet est de concevoir un système d'aide au tri radiologique capable de :</w:t>
      </w:r>
    </w:p>
    <w:p>
      <w:pPr>
        <w:pStyle w:val="ListParagraph"/>
        <w:numPr>
          <w:ilvl w:val="0"/>
          <w:numId w:val="2"/>
        </w:numPr>
        <w:spacing w:before="40" w:after="40"/>
      </w:pPr>
      <w:r>
        <w:rPr>
          <w:rFonts w:ascii="Arial" w:cs="Arial" w:eastAsia="Arial" w:hAnsi="Arial"/>
          <w:color w:val="2D3748"/>
          <w:sz w:val="22"/>
          <w:szCs w:val="22"/>
        </w:rPr>
        <w:t xml:space="preserve">Analyser automatiquement une radiographie thoracique et prédire la présence ou l'absence de 14 pathologies distinctes</w:t>
      </w:r>
    </w:p>
    <w:p>
      <w:pPr>
        <w:pStyle w:val="ListParagraph"/>
        <w:numPr>
          <w:ilvl w:val="0"/>
          <w:numId w:val="2"/>
        </w:numPr>
        <w:spacing w:before="40" w:after="40"/>
      </w:pPr>
      <w:r>
        <w:rPr>
          <w:rFonts w:ascii="Arial" w:cs="Arial" w:eastAsia="Arial" w:hAnsi="Arial"/>
          <w:color w:val="2D3748"/>
          <w:sz w:val="22"/>
          <w:szCs w:val="22"/>
        </w:rPr>
        <w:t xml:space="preserve">Identifier les cas atypiques, ambigus ou hors distribution qui nécessitent une attention particulière</w:t>
      </w:r>
    </w:p>
    <w:p>
      <w:pPr>
        <w:pStyle w:val="ListParagraph"/>
        <w:numPr>
          <w:ilvl w:val="0"/>
          <w:numId w:val="2"/>
        </w:numPr>
        <w:spacing w:before="40" w:after="40"/>
      </w:pPr>
      <w:r>
        <w:rPr>
          <w:rFonts w:ascii="Arial" w:cs="Arial" w:eastAsia="Arial" w:hAnsi="Arial"/>
          <w:color w:val="2D3748"/>
          <w:sz w:val="22"/>
          <w:szCs w:val="22"/>
        </w:rPr>
        <w:t xml:space="preserve">Exploiter le contexte textuel (annotations cliniques) lorsqu'il est disponible pour améliorer la précision diagnostique</w:t>
      </w:r>
    </w:p>
    <w:p>
      <w:pPr>
        <w:pStyle w:val="ListParagraph"/>
        <w:numPr>
          <w:ilvl w:val="0"/>
          <w:numId w:val="2"/>
        </w:numPr>
        <w:spacing w:before="40" w:after="40"/>
      </w:pPr>
      <w:r>
        <w:rPr>
          <w:rFonts w:ascii="Arial" w:cs="Arial" w:eastAsia="Arial" w:hAnsi="Arial"/>
          <w:color w:val="2D3748"/>
          <w:sz w:val="22"/>
          <w:szCs w:val="22"/>
        </w:rPr>
        <w:t xml:space="preserve">Présenter ces résultats via une interface accessible aux professionnels de santé non spécialistes en IA</w:t>
      </w:r>
    </w:p>
    <w:p>
      <w:pPr>
        <w:pStyle w:val="Heading2"/>
        <w:spacing w:before="360" w:after="180"/>
      </w:pPr>
      <w:r>
        <w:rPr>
          <w:rFonts w:ascii="Arial" w:cs="Arial" w:eastAsia="Arial" w:hAnsi="Arial"/>
          <w:b/>
          <w:bCs/>
          <w:color w:val="2E6DA4"/>
          <w:sz w:val="28"/>
          <w:szCs w:val="28"/>
        </w:rPr>
        <w:t xml:space="preserve">1.3 Problématique IA</w:t>
      </w:r>
    </w:p>
    <w:p>
      <w:pPr>
        <w:spacing w:before="60" w:after="120"/>
        <w:jc w:val="both"/>
      </w:pPr>
      <w:r>
        <w:rPr>
          <w:rFonts w:ascii="Arial" w:cs="Arial" w:eastAsia="Arial" w:hAnsi="Arial"/>
          <w:color w:val="2D3748"/>
          <w:sz w:val="22"/>
          <w:szCs w:val="22"/>
        </w:rPr>
        <w:t xml:space="preserve">Sur le plan technique, ce projet adresse plusieurs problématiques majeures du deep learning appliqué à l'imagerie médicale :</w:t>
      </w:r>
    </w:p>
    <w:p>
      <w:pPr>
        <w:pStyle w:val="ListParagraph"/>
        <w:numPr>
          <w:ilvl w:val="0"/>
          <w:numId w:val="2"/>
        </w:numPr>
        <w:spacing w:before="40" w:after="40"/>
      </w:pPr>
      <w:r>
        <w:rPr>
          <w:rFonts w:ascii="Arial" w:cs="Arial" w:eastAsia="Arial" w:hAnsi="Arial"/>
          <w:color w:val="2D3748"/>
          <w:sz w:val="22"/>
          <w:szCs w:val="22"/>
        </w:rPr>
        <w:t xml:space="preserve">Classification multi-label : une radiographie peut présenter plusieurs pathologies simultanément, nécessitant une approche différente de la classification mono-classe classique</w:t>
      </w:r>
    </w:p>
    <w:p>
      <w:pPr>
        <w:pStyle w:val="ListParagraph"/>
        <w:numPr>
          <w:ilvl w:val="0"/>
          <w:numId w:val="2"/>
        </w:numPr>
        <w:spacing w:before="40" w:after="40"/>
      </w:pPr>
      <w:r>
        <w:rPr>
          <w:rFonts w:ascii="Arial" w:cs="Arial" w:eastAsia="Arial" w:hAnsi="Arial"/>
          <w:color w:val="2D3748"/>
          <w:sz w:val="22"/>
          <w:szCs w:val="22"/>
        </w:rPr>
        <w:t xml:space="preserve">Déséquilibre de classes extrême : le ratio entre la classe majoritaire (Infiltration : 13 914 exemples) et la classe minoritaire (Hernia : 144 exemples) atteint 97×, imposant des stratégies spécifiques d'équilibrage</w:t>
      </w:r>
    </w:p>
    <w:p>
      <w:pPr>
        <w:pStyle w:val="ListParagraph"/>
        <w:numPr>
          <w:ilvl w:val="0"/>
          <w:numId w:val="2"/>
        </w:numPr>
        <w:spacing w:before="40" w:after="40"/>
      </w:pPr>
      <w:r>
        <w:rPr>
          <w:rFonts w:ascii="Arial" w:cs="Arial" w:eastAsia="Arial" w:hAnsi="Arial"/>
          <w:color w:val="2D3748"/>
          <w:sz w:val="22"/>
          <w:szCs w:val="22"/>
        </w:rPr>
        <w:t xml:space="preserve">Généralisation inter-domaines : les modèles pré-entraînés sur ImageNet (images naturelles RGB) doivent s'adapter à des images médicales en niveaux de gris</w:t>
      </w:r>
    </w:p>
    <w:p>
      <w:pPr>
        <w:pStyle w:val="ListParagraph"/>
        <w:numPr>
          <w:ilvl w:val="0"/>
          <w:numId w:val="2"/>
        </w:numPr>
        <w:spacing w:before="40" w:after="40"/>
      </w:pPr>
      <w:r>
        <w:rPr>
          <w:rFonts w:ascii="Arial" w:cs="Arial" w:eastAsia="Arial" w:hAnsi="Arial"/>
          <w:color w:val="2D3748"/>
          <w:sz w:val="22"/>
          <w:szCs w:val="22"/>
        </w:rPr>
        <w:t xml:space="preserve">Détection d'anomalies non supervisée : identifier des cas rares sans labels disponibles via la reconstruction autoencodeur</w:t>
      </w:r>
    </w:p>
    <w:p>
      <w:pPr>
        <w:pStyle w:val="ListParagraph"/>
        <w:numPr>
          <w:ilvl w:val="0"/>
          <w:numId w:val="2"/>
        </w:numPr>
        <w:spacing w:before="40" w:after="40"/>
      </w:pPr>
      <w:r>
        <w:rPr>
          <w:rFonts w:ascii="Arial" w:cs="Arial" w:eastAsia="Arial" w:hAnsi="Arial"/>
          <w:color w:val="2D3748"/>
          <w:sz w:val="22"/>
          <w:szCs w:val="22"/>
        </w:rPr>
        <w:t xml:space="preserve">Fusion multimodale : combiner efficacement des représentations hétérogènes (images et texte clinique)</w:t>
      </w:r>
    </w:p>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2. Données</w:t>
      </w:r>
    </w:p>
    <w:p>
      <w:pPr>
        <w:pStyle w:val="Heading2"/>
        <w:spacing w:before="360" w:after="180"/>
      </w:pPr>
      <w:r>
        <w:rPr>
          <w:rFonts w:ascii="Arial" w:cs="Arial" w:eastAsia="Arial" w:hAnsi="Arial"/>
          <w:b/>
          <w:bCs/>
          <w:color w:val="2E6DA4"/>
          <w:sz w:val="28"/>
          <w:szCs w:val="28"/>
        </w:rPr>
        <w:t xml:space="preserve">2.1 ChestMNIST — Dataset principal</w:t>
      </w:r>
    </w:p>
    <w:p>
      <w:pPr>
        <w:spacing w:before="60" w:after="120"/>
        <w:jc w:val="both"/>
      </w:pPr>
      <w:r>
        <w:rPr>
          <w:rFonts w:ascii="Arial" w:cs="Arial" w:eastAsia="Arial" w:hAnsi="Arial"/>
          <w:color w:val="2D3748"/>
          <w:sz w:val="22"/>
          <w:szCs w:val="22"/>
        </w:rPr>
        <w:t xml:space="preserve">ChestMNIST est un sous-ensemble du projet MedMNIST v2, qui propose des versions prétraitées et standardisées de datasets médicaux de référence. Il est dérivé du dataset NIH Chest X-Ray original et propose des images redimensionnées à plusieurs résolutions (28, 64, 128 et 224 pixels).</w:t>
      </w:r>
    </w:p>
    <w:p>
      <w:pPr>
        <w:spacing w:before="120" w:after="120"/>
      </w:pPr>
      <w:r>
        <w:t xml:space="preserve"/>
      </w:r>
    </w:p>
    <w:p>
      <w:pPr>
        <w:spacing w:before="60" w:after="120"/>
        <w:jc w:val="both"/>
      </w:pPr>
      <w:r>
        <w:rPr>
          <w:rFonts w:ascii="Arial" w:cs="Arial" w:eastAsia="Arial" w:hAnsi="Arial"/>
          <w:color w:val="2D3748"/>
          <w:sz w:val="22"/>
          <w:szCs w:val="22"/>
        </w:rPr>
        <w:t xml:space="preserve">Pour ce projet, la résolution 64×64 pixels a été choisie comme compromis optimal entre la richesse des features visuels et la charge de calcul sur GPU T4 Colab. Le dataset est distribué sous forme de fichiers .npz compressés (~200 Mo), permettant un téléchargement rapide via l'API medmnist.</w:t>
      </w:r>
    </w:p>
    <w:p>
      <w:pP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w:t>
            </w:r>
          </w:p>
        </w:tc>
        <w:tc>
          <w:tcPr>
            <w:tcW w:type="dxa" w:w="326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ChestMNIST</w:t>
            </w:r>
          </w:p>
        </w:tc>
        <w:tc>
          <w:tcPr>
            <w:tcW w:type="dxa" w:w="326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NIH Chest X-Ray</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Source</w:t>
            </w:r>
          </w:p>
        </w:tc>
        <w:tc>
          <w:tcPr>
            <w:tcW w:type="dxa" w:w="326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MedMNIST v2</w:t>
            </w:r>
          </w:p>
        </w:tc>
        <w:tc>
          <w:tcPr>
            <w:tcW w:type="dxa" w:w="326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NIH Clinical Center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Images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112 120 (train+val+test)</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112 120 radiographies</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Résolution</w:t>
            </w:r>
          </w:p>
        </w:tc>
        <w:tc>
          <w:tcPr>
            <w:tcW w:type="dxa" w:w="326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64×64 px (niveaux de gris)</w:t>
            </w:r>
          </w:p>
        </w:tc>
        <w:tc>
          <w:tcPr>
            <w:tcW w:type="dxa" w:w="326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64×64 px (redimensionné)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Classes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14 pathologies (multi-label)</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14 pathologies officielles NIH</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Taille brute</w:t>
            </w:r>
          </w:p>
        </w:tc>
        <w:tc>
          <w:tcPr>
            <w:tcW w:type="dxa" w:w="326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~200 Mo (.npz)</w:t>
            </w:r>
          </w:p>
        </w:tc>
        <w:tc>
          <w:tcPr>
            <w:tcW w:type="dxa" w:w="326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~45 Go (images originales)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Usage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Classification + AE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Multimodalité image+texte</w:t>
            </w:r>
          </w:p>
        </w:tc>
      </w:tr>
    </w:tbl>
    <w:p>
      <w:pPr>
        <w:spacing w:before="120" w:after="120"/>
      </w:pPr>
      <w:r>
        <w:t xml:space="preserve"/>
      </w:r>
    </w:p>
    <w:p>
      <w:pPr>
        <w:pStyle w:val="Heading2"/>
        <w:spacing w:before="360" w:after="180"/>
      </w:pPr>
      <w:r>
        <w:rPr>
          <w:rFonts w:ascii="Arial" w:cs="Arial" w:eastAsia="Arial" w:hAnsi="Arial"/>
          <w:b/>
          <w:bCs/>
          <w:color w:val="2E6DA4"/>
          <w:sz w:val="28"/>
          <w:szCs w:val="28"/>
        </w:rPr>
        <w:t xml:space="preserve">2.2 NIH Chest X-Ray — Dataset multimodal</w:t>
      </w:r>
    </w:p>
    <w:p>
      <w:pPr>
        <w:spacing w:before="60" w:after="120"/>
        <w:jc w:val="both"/>
      </w:pPr>
      <w:r>
        <w:rPr>
          <w:rFonts w:ascii="Arial" w:cs="Arial" w:eastAsia="Arial" w:hAnsi="Arial"/>
          <w:color w:val="2D3748"/>
          <w:sz w:val="22"/>
          <w:szCs w:val="22"/>
        </w:rPr>
        <w:t xml:space="preserve">Le dataset NIH Chest X-Ray a été publié par le NIH Clinical Center en 2017 et constitue l'un des plus grands datasets publics de radiographies thoraciques annotées. Il contient 112 120 images frontales de 30 805 patients uniques, annotées avec 14 labels de pathologies par des radiologues du NIH.</w:t>
      </w:r>
    </w:p>
    <w:p>
      <w:pPr>
        <w:spacing w:before="120" w:after="120"/>
      </w:pPr>
      <w:r>
        <w:t xml:space="preserve"/>
      </w:r>
    </w:p>
    <w:p>
      <w:pPr>
        <w:spacing w:before="60" w:after="120"/>
        <w:jc w:val="both"/>
      </w:pPr>
      <w:r>
        <w:rPr>
          <w:rFonts w:ascii="Arial" w:cs="Arial" w:eastAsia="Arial" w:hAnsi="Arial"/>
          <w:color w:val="2D3748"/>
          <w:sz w:val="22"/>
          <w:szCs w:val="22"/>
        </w:rPr>
        <w:t xml:space="preserve">Les annotations sont disponibles dans le fichier Data_Entry_2017.csv et prennent la forme de labels textuels séparés par des pipes (ex: 'Cardiomegaly|Effusion'). Ces labels constituent les annotations cliniques officielles utilisées pour la composante multimodale du projet.</w:t>
      </w:r>
    </w:p>
    <w:p>
      <w:pPr>
        <w:spacing w:before="120" w:after="120"/>
      </w:pPr>
      <w:r>
        <w:t xml:space="preserve"/>
      </w:r>
    </w:p>
    <w:p>
      <w:pPr>
        <w:spacing w:before="60" w:after="120"/>
        <w:jc w:val="both"/>
      </w:pPr>
      <w:r>
        <w:rPr>
          <w:rFonts w:ascii="Arial" w:cs="Arial" w:eastAsia="Arial" w:hAnsi="Arial"/>
          <w:color w:val="2D3748"/>
          <w:sz w:val="22"/>
          <w:szCs w:val="22"/>
        </w:rPr>
        <w:t xml:space="preserve">Le dataset complet (~45 Go) a été accédé via Kaggle (dataset nih-chest-xrays/data), permettant un accès direct sans téléchargement dans les notebooks Kaggle. Les 112 120 images ont été redimensionnées en 64×64 pixels avant l'entraînement pour réduire la charge de calcul.</w:t>
      </w:r>
    </w:p>
    <w:p>
      <w:pPr>
        <w:pStyle w:val="Heading2"/>
        <w:spacing w:before="360" w:after="180"/>
      </w:pPr>
      <w:r>
        <w:rPr>
          <w:rFonts w:ascii="Arial" w:cs="Arial" w:eastAsia="Arial" w:hAnsi="Arial"/>
          <w:b/>
          <w:bCs/>
          <w:color w:val="2E6DA4"/>
          <w:sz w:val="28"/>
          <w:szCs w:val="28"/>
        </w:rPr>
        <w:t xml:space="preserve">2.3 Accès et contraintes</w:t>
      </w:r>
    </w:p>
    <w:p>
      <w:pPr>
        <w:pStyle w:val="ListParagraph"/>
        <w:numPr>
          <w:ilvl w:val="0"/>
          <w:numId w:val="2"/>
        </w:numPr>
        <w:spacing w:before="40" w:after="40"/>
      </w:pPr>
      <w:r>
        <w:rPr>
          <w:rFonts w:ascii="Arial" w:cs="Arial" w:eastAsia="Arial" w:hAnsi="Arial"/>
          <w:color w:val="2D3748"/>
          <w:sz w:val="22"/>
          <w:szCs w:val="22"/>
        </w:rPr>
        <w:t xml:space="preserve">ChestMNIST : téléchargement automatique via pip install medmnist, aucune contrainte d'accès</w:t>
      </w:r>
    </w:p>
    <w:p>
      <w:pPr>
        <w:pStyle w:val="ListParagraph"/>
        <w:numPr>
          <w:ilvl w:val="0"/>
          <w:numId w:val="2"/>
        </w:numPr>
        <w:spacing w:before="40" w:after="40"/>
      </w:pPr>
      <w:r>
        <w:rPr>
          <w:rFonts w:ascii="Arial" w:cs="Arial" w:eastAsia="Arial" w:hAnsi="Arial"/>
          <w:color w:val="2D3748"/>
          <w:sz w:val="22"/>
          <w:szCs w:val="22"/>
        </w:rPr>
        <w:t xml:space="preserve">NIH Chest X-Ray : accès via Kaggle nécessitant une vérification de compte par numéro de téléphone</w:t>
      </w:r>
    </w:p>
    <w:p>
      <w:pPr>
        <w:pStyle w:val="ListParagraph"/>
        <w:numPr>
          <w:ilvl w:val="0"/>
          <w:numId w:val="2"/>
        </w:numPr>
        <w:spacing w:before="40" w:after="40"/>
      </w:pPr>
      <w:r>
        <w:rPr>
          <w:rFonts w:ascii="Arial" w:cs="Arial" w:eastAsia="Arial" w:hAnsi="Arial"/>
          <w:color w:val="2D3748"/>
          <w:sz w:val="22"/>
          <w:szCs w:val="22"/>
        </w:rPr>
        <w:t xml:space="preserve">Contrainte principale : le dataset NIH brut représente ~45 Go, incompatible avec les limites de stockage de Google Colab</w:t>
      </w:r>
    </w:p>
    <w:p>
      <w:pPr>
        <w:pStyle w:val="ListParagraph"/>
        <w:numPr>
          <w:ilvl w:val="0"/>
          <w:numId w:val="2"/>
        </w:numPr>
        <w:spacing w:before="40" w:after="40"/>
      </w:pPr>
      <w:r>
        <w:rPr>
          <w:rFonts w:ascii="Arial" w:cs="Arial" w:eastAsia="Arial" w:hAnsi="Arial"/>
          <w:color w:val="2D3748"/>
          <w:sz w:val="22"/>
          <w:szCs w:val="22"/>
        </w:rPr>
        <w:t xml:space="preserve">Solution adoptée : utilisation directe des données sur les serveurs Kaggle via leurs notebooks GPU</w:t>
      </w:r>
    </w:p>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3. Analyse exploratoire des données</w:t>
      </w:r>
    </w:p>
    <w:p>
      <w:pPr>
        <w:pStyle w:val="Heading2"/>
        <w:spacing w:before="360" w:after="180"/>
      </w:pPr>
      <w:r>
        <w:rPr>
          <w:rFonts w:ascii="Arial" w:cs="Arial" w:eastAsia="Arial" w:hAnsi="Arial"/>
          <w:b/>
          <w:bCs/>
          <w:color w:val="2E6DA4"/>
          <w:sz w:val="28"/>
          <w:szCs w:val="28"/>
        </w:rPr>
        <w:t xml:space="preserve">3.1 Distribution des classes</w:t>
      </w:r>
    </w:p>
    <w:p>
      <w:pPr>
        <w:spacing w:before="60" w:after="120"/>
        <w:jc w:val="both"/>
      </w:pPr>
      <w:r>
        <w:rPr>
          <w:rFonts w:ascii="Arial" w:cs="Arial" w:eastAsia="Arial" w:hAnsi="Arial"/>
          <w:color w:val="2D3748"/>
          <w:sz w:val="22"/>
          <w:szCs w:val="22"/>
        </w:rPr>
        <w:t xml:space="preserve">L'analyse de la distribution des pathologies sur l'ensemble d'entraînement révèle un déséquilibre sévère entre les classes, caractéristique des datasets médicaux réels. Ce déséquilibre reflète la prévalence réelle des pathologies dans la population générale.</w:t>
      </w:r>
    </w:p>
    <w:p>
      <w:pP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Pathologie</w:t>
            </w:r>
          </w:p>
        </w:tc>
        <w:tc>
          <w:tcPr>
            <w:tcW w:type="dxa" w:w="20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Occurrences</w:t>
            </w:r>
          </w:p>
        </w:tc>
        <w:tc>
          <w:tcPr>
            <w:tcW w:type="dxa" w:w="20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du train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Infiltration</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13 914</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17.7%</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Très fréquent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Effusion</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9 261</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Fréquent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Atelectasis</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7 996</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10.2%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Fréquent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Nodule</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4 375</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Modéré</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Mass</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3 988</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5.1%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Modéré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Pneumothorax</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3 705</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4.7%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Modéré</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Hernia</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144</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0.18%</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Très rare</w:t>
            </w:r>
          </w:p>
        </w:tc>
      </w:tr>
    </w:tbl>
    <w:p>
      <w:pPr>
        <w:spacing w:before="120" w:after="120"/>
      </w:pPr>
      <w:r>
        <w:t xml:space="preserve"/>
      </w:r>
    </w:p>
    <w:p>
      <w:pPr>
        <w:spacing w:before="60" w:after="120"/>
        <w:jc w:val="both"/>
      </w:pPr>
      <w:r>
        <w:rPr>
          <w:rFonts w:ascii="Arial" w:cs="Arial" w:eastAsia="Arial" w:hAnsi="Arial"/>
          <w:b/>
          <w:bCs/>
          <w:color w:val="2D3748"/>
          <w:sz w:val="22"/>
          <w:szCs w:val="22"/>
        </w:rPr>
        <w:t xml:space="preserve">Déséquilibre maximal : </w:t>
      </w:r>
      <w:r>
        <w:rPr>
          <w:rFonts w:ascii="Arial" w:cs="Arial" w:eastAsia="Arial" w:hAnsi="Arial"/>
          <w:color w:val="2D3748"/>
          <w:sz w:val="22"/>
          <w:szCs w:val="22"/>
        </w:rPr>
        <w:t xml:space="preserve">13 914 (Infiltration) vs 144 (Hernia) → ratio de 96.6×. Ce déséquilibre extrême impose l'utilisation d'un WeightedRandomSampler et d'une loss pondérée.</w:t>
      </w:r>
    </w:p>
    <w:p>
      <w:pPr>
        <w:pStyle w:val="Heading2"/>
        <w:spacing w:before="360" w:after="180"/>
      </w:pPr>
      <w:r>
        <w:rPr>
          <w:rFonts w:ascii="Arial" w:cs="Arial" w:eastAsia="Arial" w:hAnsi="Arial"/>
          <w:b/>
          <w:bCs/>
          <w:color w:val="2E6DA4"/>
          <w:sz w:val="28"/>
          <w:szCs w:val="28"/>
        </w:rPr>
        <w:t xml:space="preserve">3.2 Co-occurrences et corrélations</w:t>
      </w:r>
    </w:p>
    <w:p>
      <w:pPr>
        <w:spacing w:before="60" w:after="120"/>
        <w:jc w:val="both"/>
      </w:pPr>
      <w:r>
        <w:rPr>
          <w:rFonts w:ascii="Arial" w:cs="Arial" w:eastAsia="Arial" w:hAnsi="Arial"/>
          <w:color w:val="2D3748"/>
          <w:sz w:val="22"/>
          <w:szCs w:val="22"/>
        </w:rPr>
        <w:t xml:space="preserve">L'analyse de la matrice de co-occurrences révèle des associations cliniquement pertinentes entre pathologies. Les couples les plus corrélés sont Effusion/Infiltration (~3 500 co-occurrences) et Atelectasis/Effusion (~2 800 co-occurrences), ce qui correspond aux associations connues en pathologie thoracique.</w:t>
      </w:r>
    </w:p>
    <w:p>
      <w:pPr>
        <w:spacing w:before="120" w:after="120"/>
      </w:pPr>
      <w:r>
        <w:t xml:space="preserve"/>
      </w:r>
    </w:p>
    <w:p>
      <w:pPr>
        <w:spacing w:before="60" w:after="120"/>
        <w:jc w:val="both"/>
      </w:pPr>
      <w:r>
        <w:rPr>
          <w:rFonts w:ascii="Arial" w:cs="Arial" w:eastAsia="Arial" w:hAnsi="Arial"/>
          <w:color w:val="2D3748"/>
          <w:sz w:val="22"/>
          <w:szCs w:val="22"/>
        </w:rPr>
        <w:t xml:space="preserve">Ces corrélations ont des implications importantes pour la modélisation : un modèle qui prédit bien l'Effusion tendra mécaniquement à mieux prédire l'Infiltration. La matrice de co-occurrences justifie également l'intérêt d'une approche multi-label plutôt qu'une succession de classifieurs binaires indépendants.</w:t>
      </w:r>
    </w:p>
    <w:p>
      <w:pPr>
        <w:pStyle w:val="Heading2"/>
        <w:spacing w:before="360" w:after="180"/>
      </w:pPr>
      <w:r>
        <w:rPr>
          <w:rFonts w:ascii="Arial" w:cs="Arial" w:eastAsia="Arial" w:hAnsi="Arial"/>
          <w:b/>
          <w:bCs/>
          <w:color w:val="2E6DA4"/>
          <w:sz w:val="28"/>
          <w:szCs w:val="28"/>
        </w:rPr>
        <w:t xml:space="preserve">3.3 Constats sur les images</w:t>
      </w:r>
    </w:p>
    <w:p>
      <w:pPr>
        <w:spacing w:before="60" w:after="120"/>
        <w:jc w:val="both"/>
      </w:pPr>
      <w:r>
        <w:rPr>
          <w:rFonts w:ascii="Arial" w:cs="Arial" w:eastAsia="Arial" w:hAnsi="Arial"/>
          <w:color w:val="2D3748"/>
          <w:sz w:val="22"/>
          <w:szCs w:val="22"/>
        </w:rPr>
        <w:t xml:space="preserve">L'examen visuel des exemples par classe révèle une forte hétérogénéité au sein de chaque pathologie. Les images de Cardiomegaly présentent clairement un élargissement de l'ombre cardiaque, tandis que des pathologies comme l'Infiltration présentent des signes subtils difficiles à distinguer même pour un œil non entraîné.</w:t>
      </w:r>
    </w:p>
    <w:p>
      <w:pPr>
        <w:spacing w:before="120" w:after="120"/>
      </w:pPr>
      <w:r>
        <w:t xml:space="preserve"/>
      </w:r>
    </w:p>
    <w:p>
      <w:pPr>
        <w:spacing w:before="60" w:after="120"/>
        <w:jc w:val="both"/>
      </w:pPr>
      <w:r>
        <w:rPr>
          <w:rFonts w:ascii="Arial" w:cs="Arial" w:eastAsia="Arial" w:hAnsi="Arial"/>
          <w:color w:val="2D3748"/>
          <w:sz w:val="22"/>
          <w:szCs w:val="22"/>
        </w:rPr>
        <w:t xml:space="preserve">La résolution 64×64 pixels implique une perte d'information significative par rapport aux images originales (~1024×1024 pixels pour NIH). Cependant, les structures anatomiques principales restent discernables, ce qui est cohérent avec les performances rapportées dans la littérature MedMNIST.</w:t>
      </w:r>
    </w:p>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4. Préparation des données</w:t>
      </w:r>
    </w:p>
    <w:p>
      <w:pPr>
        <w:pStyle w:val="Heading2"/>
        <w:spacing w:before="360" w:after="180"/>
      </w:pPr>
      <w:r>
        <w:rPr>
          <w:rFonts w:ascii="Arial" w:cs="Arial" w:eastAsia="Arial" w:hAnsi="Arial"/>
          <w:b/>
          <w:bCs/>
          <w:color w:val="2E6DA4"/>
          <w:sz w:val="28"/>
          <w:szCs w:val="28"/>
        </w:rPr>
        <w:t xml:space="preserve">4.1 Prétraitement des images</w:t>
      </w:r>
    </w:p>
    <w:p>
      <w:pPr>
        <w:spacing w:before="60" w:after="120"/>
        <w:jc w:val="both"/>
      </w:pPr>
      <w:r>
        <w:rPr>
          <w:rFonts w:ascii="Arial" w:cs="Arial" w:eastAsia="Arial" w:hAnsi="Arial"/>
          <w:color w:val="2D3748"/>
          <w:sz w:val="22"/>
          <w:szCs w:val="22"/>
        </w:rPr>
        <w:t xml:space="preserve">Toutes les images sont converties en niveaux de gris (1 canal) et redimensionnées en 64×64 pixels via torchvision.transforms. La normalisation appliquée est une normalisation standard avec moyenne=0.5 et écart-type=0.5, ramenant les valeurs de pixels dans l'intervalle [-1, 1].</w:t>
      </w:r>
    </w:p>
    <w:p>
      <w:pPr>
        <w:pStyle w:val="Heading2"/>
        <w:spacing w:before="360" w:after="180"/>
      </w:pPr>
      <w:r>
        <w:rPr>
          <w:rFonts w:ascii="Arial" w:cs="Arial" w:eastAsia="Arial" w:hAnsi="Arial"/>
          <w:b/>
          <w:bCs/>
          <w:color w:val="2E6DA4"/>
          <w:sz w:val="28"/>
          <w:szCs w:val="28"/>
        </w:rPr>
        <w:t xml:space="preserve">4.2 Augmentation de données</w:t>
      </w:r>
    </w:p>
    <w:p>
      <w:pPr>
        <w:spacing w:before="60" w:after="120"/>
        <w:jc w:val="both"/>
      </w:pPr>
      <w:r>
        <w:rPr>
          <w:rFonts w:ascii="Arial" w:cs="Arial" w:eastAsia="Arial" w:hAnsi="Arial"/>
          <w:color w:val="2D3748"/>
          <w:sz w:val="22"/>
          <w:szCs w:val="22"/>
        </w:rPr>
        <w:t xml:space="preserve">Les augmentations suivantes sont appliquées uniquement sur l'ensemble d'entraînement (jamais sur validation/test) :</w:t>
      </w:r>
    </w:p>
    <w:p>
      <w:pPr>
        <w:pStyle w:val="ListParagraph"/>
        <w:numPr>
          <w:ilvl w:val="0"/>
          <w:numId w:val="2"/>
        </w:numPr>
        <w:spacing w:before="40" w:after="40"/>
      </w:pPr>
      <w:r>
        <w:rPr>
          <w:rFonts w:ascii="Arial" w:cs="Arial" w:eastAsia="Arial" w:hAnsi="Arial"/>
          <w:color w:val="2D3748"/>
          <w:sz w:val="22"/>
          <w:szCs w:val="22"/>
        </w:rPr>
        <w:t xml:space="preserve">RandomHorizontalFlip(p=0.5) : retournement horizontal, anatomiquement plausible pour les radiographies frontales</w:t>
      </w:r>
    </w:p>
    <w:p>
      <w:pPr>
        <w:pStyle w:val="ListParagraph"/>
        <w:numPr>
          <w:ilvl w:val="0"/>
          <w:numId w:val="2"/>
        </w:numPr>
        <w:spacing w:before="40" w:after="40"/>
      </w:pPr>
      <w:r>
        <w:rPr>
          <w:rFonts w:ascii="Arial" w:cs="Arial" w:eastAsia="Arial" w:hAnsi="Arial"/>
          <w:color w:val="2D3748"/>
          <w:sz w:val="22"/>
          <w:szCs w:val="22"/>
        </w:rPr>
        <w:t xml:space="preserve">RandomRotation(10°) : légère rotation simulant les variations de positionnement du patient</w:t>
      </w:r>
    </w:p>
    <w:p>
      <w:pPr>
        <w:pStyle w:val="ListParagraph"/>
        <w:numPr>
          <w:ilvl w:val="0"/>
          <w:numId w:val="2"/>
        </w:numPr>
        <w:spacing w:before="40" w:after="40"/>
      </w:pPr>
      <w:r>
        <w:rPr>
          <w:rFonts w:ascii="Arial" w:cs="Arial" w:eastAsia="Arial" w:hAnsi="Arial"/>
          <w:color w:val="2D3748"/>
          <w:sz w:val="22"/>
          <w:szCs w:val="22"/>
        </w:rPr>
        <w:t xml:space="preserve">ColorJitter(brightness=0.2, contrast=0.2) : variation d'exposition et de contraste</w:t>
      </w:r>
    </w:p>
    <w:p>
      <w:pPr>
        <w:pStyle w:val="Heading2"/>
        <w:spacing w:before="360" w:after="180"/>
      </w:pPr>
      <w:r>
        <w:rPr>
          <w:rFonts w:ascii="Arial" w:cs="Arial" w:eastAsia="Arial" w:hAnsi="Arial"/>
          <w:b/>
          <w:bCs/>
          <w:color w:val="2E6DA4"/>
          <w:sz w:val="28"/>
          <w:szCs w:val="28"/>
        </w:rPr>
        <w:t xml:space="preserve">4.3 Gestion du déséquilibre</w:t>
      </w:r>
    </w:p>
    <w:p>
      <w:pPr>
        <w:spacing w:before="60" w:after="120"/>
        <w:jc w:val="both"/>
      </w:pPr>
      <w:r>
        <w:rPr>
          <w:rFonts w:ascii="Arial" w:cs="Arial" w:eastAsia="Arial" w:hAnsi="Arial"/>
          <w:color w:val="2D3748"/>
          <w:sz w:val="22"/>
          <w:szCs w:val="22"/>
        </w:rPr>
        <w:t xml:space="preserve">Deux mécanismes complémentaires ont été mis en place pour traiter le déséquilibre extrême (ratio 97×) :</w:t>
      </w:r>
    </w:p>
    <w:p>
      <w:pPr>
        <w:spacing w:before="120" w:after="120"/>
      </w:pPr>
      <w:r>
        <w:t xml:space="preserve"/>
      </w:r>
    </w:p>
    <w:p>
      <w:pPr>
        <w:spacing w:before="60" w:after="120"/>
        <w:jc w:val="both"/>
      </w:pPr>
      <w:r>
        <w:rPr>
          <w:rFonts w:ascii="Arial" w:cs="Arial" w:eastAsia="Arial" w:hAnsi="Arial"/>
          <w:b/>
          <w:bCs/>
          <w:color w:val="2D3748"/>
          <w:sz w:val="22"/>
          <w:szCs w:val="22"/>
        </w:rPr>
        <w:t xml:space="preserve">WeightedRandomSampler : </w:t>
      </w:r>
      <w:r>
        <w:rPr>
          <w:rFonts w:ascii="Arial" w:cs="Arial" w:eastAsia="Arial" w:hAnsi="Arial"/>
          <w:sz w:val="22"/>
          <w:szCs w:val="22"/>
        </w:rPr>
        <w:t xml:space="preserve">chaque image reçoit un poids inversement proportionnel à la fréquence de ses classes. Les images contenant des pathologies rares sont ainsi surreprésentées dans les batches.</w:t>
      </w:r>
    </w:p>
    <w:p>
      <w:pPr>
        <w:spacing w:before="120" w:after="120"/>
      </w:pPr>
      <w:r>
        <w:t xml:space="preserve"/>
      </w:r>
    </w:p>
    <w:p>
      <w:pPr>
        <w:spacing w:before="60" w:after="120"/>
        <w:jc w:val="both"/>
      </w:pPr>
      <w:r>
        <w:rPr>
          <w:rFonts w:ascii="Arial" w:cs="Arial" w:eastAsia="Arial" w:hAnsi="Arial"/>
          <w:b/>
          <w:bCs/>
          <w:color w:val="2D3748"/>
          <w:sz w:val="22"/>
          <w:szCs w:val="22"/>
        </w:rPr>
        <w:t xml:space="preserve">BCEWithLogitsLoss avec pos_weight : </w:t>
      </w:r>
      <w:r>
        <w:rPr>
          <w:rFonts w:ascii="Arial" w:cs="Arial" w:eastAsia="Arial" w:hAnsi="Arial"/>
          <w:sz w:val="22"/>
          <w:szCs w:val="22"/>
        </w:rPr>
        <w:t xml:space="preserve">la loss est pondérée par classe selon la formule pos_weight_i = (N - n_i) / n_i, où N est le nombre total d'images et n_i le nombre d'images positives pour la classe i. La classe Hernia reçoit ainsi un poids d'environ 400, contre ~5 pour Infiltration.</w:t>
      </w:r>
    </w:p>
    <w:p>
      <w:pPr>
        <w:pStyle w:val="Heading2"/>
        <w:spacing w:before="360" w:after="180"/>
      </w:pPr>
      <w:r>
        <w:rPr>
          <w:rFonts w:ascii="Arial" w:cs="Arial" w:eastAsia="Arial" w:hAnsi="Arial"/>
          <w:b/>
          <w:bCs/>
          <w:color w:val="2E6DA4"/>
          <w:sz w:val="28"/>
          <w:szCs w:val="28"/>
        </w:rPr>
        <w:t xml:space="preserve">4.4 Séparation train / val / test</w:t>
      </w:r>
    </w:p>
    <w:p>
      <w:pPr>
        <w:spacing w:before="60" w:after="120"/>
        <w:jc w:val="both"/>
      </w:pPr>
      <w:r>
        <w:rPr>
          <w:rFonts w:ascii="Arial" w:cs="Arial" w:eastAsia="Arial" w:hAnsi="Arial"/>
          <w:color w:val="2D3748"/>
          <w:sz w:val="22"/>
          <w:szCs w:val="22"/>
        </w:rPr>
        <w:t xml:space="preserve">La séparation des données respecte strictement le protocole MedMNIST officiel pour ChestMNIST, garantissant l'absence de fuite de données (data leakage). Pour NIH, une séparation 70/15/15 est appliquée via train_test_split avec seed fixe (42).</w:t>
      </w:r>
    </w:p>
    <w:p>
      <w:pPr>
        <w:spacing w:before="120" w:after="120"/>
      </w:pPr>
      <w:r>
        <w:t xml:space="preserve"/>
      </w:r>
    </w:p>
    <w:p>
      <w:pPr>
        <w:spacing w:before="60" w:after="120"/>
        <w:jc w:val="both"/>
      </w:pPr>
      <w:r>
        <w:rPr>
          <w:rFonts w:ascii="Arial" w:cs="Arial" w:eastAsia="Arial" w:hAnsi="Arial"/>
          <w:b/>
          <w:bCs/>
          <w:color w:val="2D3748"/>
          <w:sz w:val="22"/>
          <w:szCs w:val="22"/>
        </w:rPr>
        <w:t xml:space="preserve">Seed de reproductibilité : </w:t>
      </w:r>
      <w:r>
        <w:rPr>
          <w:rFonts w:ascii="Arial" w:cs="Arial" w:eastAsia="Arial" w:hAnsi="Arial"/>
          <w:sz w:val="22"/>
          <w:szCs w:val="22"/>
        </w:rPr>
        <w:t xml:space="preserve">SEED = 42 est fixé sur random, numpy, torch et torch.cuda. torch.backends.cudnn.deterministic = True garantit la reproductibilité des opérations CUDA.</w:t>
      </w:r>
    </w:p>
    <w:p>
      <w:pPr>
        <w:pStyle w:val="Heading2"/>
        <w:spacing w:before="360" w:after="180"/>
      </w:pPr>
      <w:r>
        <w:rPr>
          <w:rFonts w:ascii="Arial" w:cs="Arial" w:eastAsia="Arial" w:hAnsi="Arial"/>
          <w:b/>
          <w:bCs/>
          <w:color w:val="2E6DA4"/>
          <w:sz w:val="28"/>
          <w:szCs w:val="28"/>
        </w:rPr>
        <w:t xml:space="preserve">4.5 Préparation du texte (NIH)</w:t>
      </w:r>
    </w:p>
    <w:p>
      <w:pPr>
        <w:spacing w:before="60" w:after="120"/>
        <w:jc w:val="both"/>
      </w:pPr>
      <w:r>
        <w:rPr>
          <w:rFonts w:ascii="Arial" w:cs="Arial" w:eastAsia="Arial" w:hAnsi="Arial"/>
          <w:color w:val="2D3748"/>
          <w:sz w:val="22"/>
          <w:szCs w:val="22"/>
        </w:rPr>
        <w:t xml:space="preserve">Les labels NIH (ex: 'Cardiomegaly|Effusion') sont tokenisés en séquences de longueur fixe (MAX_LEN=20) via un vocabulaire de 19 mots construits à partir de l'ensemble des labels uniques. Les séquences trop courtes sont complétées par des tokens de padding (valeur 0).</w:t>
      </w:r>
    </w:p>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5. Modélisation supervisée</w:t>
      </w:r>
    </w:p>
    <w:p>
      <w:pPr>
        <w:pStyle w:val="Heading2"/>
        <w:spacing w:before="360" w:after="180"/>
      </w:pPr>
      <w:r>
        <w:rPr>
          <w:rFonts w:ascii="Arial" w:cs="Arial" w:eastAsia="Arial" w:hAnsi="Arial"/>
          <w:b/>
          <w:bCs/>
          <w:color w:val="2E6DA4"/>
          <w:sz w:val="28"/>
          <w:szCs w:val="28"/>
        </w:rPr>
        <w:t xml:space="preserve">5.1 CNN from scratch</w:t>
      </w:r>
    </w:p>
    <w:p>
      <w:pPr>
        <w:spacing w:before="60" w:after="120"/>
        <w:jc w:val="both"/>
      </w:pPr>
      <w:r>
        <w:rPr>
          <w:rFonts w:ascii="Arial" w:cs="Arial" w:eastAsia="Arial" w:hAnsi="Arial"/>
          <w:color w:val="2D3748"/>
          <w:sz w:val="22"/>
          <w:szCs w:val="22"/>
        </w:rPr>
        <w:t xml:space="preserve">Le premier modèle est un CNN construit et entraîné entièrement depuis zéro, servant de baseline pour évaluer le gain apporté par le transfer learning et les architectures plus sophistiquées.</w:t>
      </w:r>
    </w:p>
    <w:p>
      <w:pPr>
        <w:spacing w:before="120" w:after="120"/>
      </w:pPr>
      <w:r>
        <w:t xml:space="preserve"/>
      </w:r>
    </w:p>
    <w:p>
      <w:pPr>
        <w:spacing w:before="60" w:after="120"/>
        <w:jc w:val="both"/>
      </w:pPr>
      <w:r>
        <w:rPr>
          <w:rFonts w:ascii="Arial" w:cs="Arial" w:eastAsia="Arial" w:hAnsi="Arial"/>
          <w:color w:val="2D3748"/>
          <w:sz w:val="22"/>
          <w:szCs w:val="22"/>
        </w:rPr>
        <w:t xml:space="preserve">L'architecture est composée de 3 blocs convolutifs identiques (Conv → BN → ReLU × 2 → MaxPool → Dropout2d), suivis d'un GlobalAveragePooling et d'un classifieur fully-connected (FC(128→256) → ReLU → Dropout → FC(256→14)). L'utilisation du GlobalAveragePooling plutôt que d'un Flatten permet de réduire le nombre de paramètres et d'améliorer la généralisation.</w:t>
      </w:r>
    </w:p>
    <w:p>
      <w:pP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Hyperparamètre</w:t>
            </w:r>
          </w:p>
        </w:tc>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Paramètres totaux</w:t>
            </w:r>
          </w:p>
        </w:tc>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323 950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Optimiseur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Adam (lr=1e-3, weight_decay=1e-4)</w:t>
            </w:r>
          </w:p>
        </w:tc>
      </w:tr>
      <w:tr>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Scheduler</w:t>
            </w:r>
          </w:p>
        </w:tc>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ReduceLROnPlateau (patience=3, factor=0.5)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Epochs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20</w:t>
            </w:r>
          </w:p>
        </w:tc>
      </w:tr>
      <w:tr>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Early stopping</w:t>
            </w:r>
          </w:p>
        </w:tc>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patience=8</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Meilleur ROC-AUC val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0.7091 (epoch 19)</w:t>
            </w:r>
          </w:p>
        </w:tc>
      </w:tr>
    </w:tbl>
    <w:p>
      <w:pPr>
        <w:pStyle w:val="Heading2"/>
        <w:spacing w:before="360" w:after="180"/>
      </w:pPr>
      <w:r>
        <w:rPr>
          <w:rFonts w:ascii="Arial" w:cs="Arial" w:eastAsia="Arial" w:hAnsi="Arial"/>
          <w:b/>
          <w:bCs/>
          <w:color w:val="2E6DA4"/>
          <w:sz w:val="28"/>
          <w:szCs w:val="28"/>
        </w:rPr>
        <w:t xml:space="preserve">5.2 ResNet50 Transfer Learning</w:t>
      </w:r>
    </w:p>
    <w:p>
      <w:pPr>
        <w:spacing w:before="60" w:after="120"/>
        <w:jc w:val="both"/>
      </w:pPr>
      <w:r>
        <w:rPr>
          <w:rFonts w:ascii="Arial" w:cs="Arial" w:eastAsia="Arial" w:hAnsi="Arial"/>
          <w:color w:val="2D3748"/>
          <w:sz w:val="22"/>
          <w:szCs w:val="22"/>
        </w:rPr>
        <w:t xml:space="preserve">Le deuxième modèle est un ResNet50 pré-entraîné sur ImageNet, adapté pour les images médicales en niveaux de gris. La principale modification architecturale est le remplacement du premier layer convolutionnel (conv1) de 3 canaux d'entrée à 1 canal, nécessitant une réinitialisation aléatoire de ses poids.</w:t>
      </w:r>
    </w:p>
    <w:p>
      <w:pPr>
        <w:spacing w:before="120" w:after="120"/>
      </w:pPr>
      <w:r>
        <w:t xml:space="preserve"/>
      </w:r>
    </w:p>
    <w:p>
      <w:pPr>
        <w:spacing w:before="60" w:after="120"/>
        <w:jc w:val="both"/>
      </w:pPr>
      <w:r>
        <w:rPr>
          <w:rFonts w:ascii="Arial" w:cs="Arial" w:eastAsia="Arial" w:hAnsi="Arial"/>
          <w:color w:val="2D3748"/>
          <w:sz w:val="22"/>
          <w:szCs w:val="22"/>
        </w:rPr>
        <w:t xml:space="preserve">L'entraînement se déroule en deux phases pour maximiser le transfert des features ImageNet :</w:t>
      </w:r>
    </w:p>
    <w:p>
      <w:pPr>
        <w:pStyle w:val="ListParagraph"/>
        <w:numPr>
          <w:ilvl w:val="0"/>
          <w:numId w:val="2"/>
        </w:numPr>
        <w:spacing w:before="40" w:after="40"/>
      </w:pPr>
      <w:r>
        <w:rPr>
          <w:rFonts w:ascii="Arial" w:cs="Arial" w:eastAsia="Arial" w:hAnsi="Arial"/>
          <w:color w:val="2D3748"/>
          <w:sz w:val="22"/>
          <w:szCs w:val="22"/>
        </w:rPr>
        <w:t xml:space="preserve">Phase 1 (15 epochs) : seuls la tête de classification et le dernier bloc (layer4) sont entraînés, le reste du backbone est gelé. lr=1e-3</w:t>
      </w:r>
    </w:p>
    <w:p>
      <w:pPr>
        <w:pStyle w:val="ListParagraph"/>
        <w:numPr>
          <w:ilvl w:val="0"/>
          <w:numId w:val="2"/>
        </w:numPr>
        <w:spacing w:before="40" w:after="40"/>
      </w:pPr>
      <w:r>
        <w:rPr>
          <w:rFonts w:ascii="Arial" w:cs="Arial" w:eastAsia="Arial" w:hAnsi="Arial"/>
          <w:color w:val="2D3748"/>
          <w:sz w:val="22"/>
          <w:szCs w:val="22"/>
        </w:rPr>
        <w:t xml:space="preserve">Phase 2 (10 epochs) : dégel complet du backbone pour un fine-tuning global à très faible learning rate (lr=5e-5) avec CosineAnnealingLR</w:t>
      </w:r>
    </w:p>
    <w:p>
      <w:pPr>
        <w:spacing w:before="120" w:after="120"/>
      </w:pPr>
      <w:r>
        <w:t xml:space="preserve"/>
      </w:r>
    </w:p>
    <w:p>
      <w:pPr>
        <w:spacing w:before="60" w:after="120"/>
        <w:jc w:val="both"/>
      </w:pPr>
      <w:r>
        <w:rPr>
          <w:rFonts w:ascii="Arial" w:cs="Arial" w:eastAsia="Arial" w:hAnsi="Arial"/>
          <w:b/>
          <w:bCs/>
          <w:color w:val="2D3748"/>
          <w:sz w:val="22"/>
          <w:szCs w:val="22"/>
        </w:rPr>
        <w:t xml:space="preserve">Observation importante : </w:t>
      </w:r>
      <w:r>
        <w:rPr>
          <w:rFonts w:ascii="Arial" w:cs="Arial" w:eastAsia="Arial" w:hAnsi="Arial"/>
          <w:sz w:val="22"/>
          <w:szCs w:val="22"/>
        </w:rPr>
        <w:t xml:space="preserve">malgré le transfer learning, ResNet50 ne surpasse que légèrement le CNN scratch (0.7123 vs 0.7091). La réinitialisation du conv1 pour s'adapter au 1 canal détruit les features de bas niveau d'ImageNet, réduisant l'efficacité du transfer learning sur des images médicales en niveaux de gris.</w:t>
      </w:r>
    </w:p>
    <w:p>
      <w:pPr>
        <w:pStyle w:val="Heading2"/>
        <w:spacing w:before="360" w:after="180"/>
      </w:pPr>
      <w:r>
        <w:rPr>
          <w:rFonts w:ascii="Arial" w:cs="Arial" w:eastAsia="Arial" w:hAnsi="Arial"/>
          <w:b/>
          <w:bCs/>
          <w:color w:val="2E6DA4"/>
          <w:sz w:val="28"/>
          <w:szCs w:val="28"/>
        </w:rPr>
        <w:t xml:space="preserve">5.3 Vision Transformer (ViT Small)</w:t>
      </w:r>
    </w:p>
    <w:p>
      <w:pPr>
        <w:spacing w:before="60" w:after="120"/>
        <w:jc w:val="both"/>
      </w:pPr>
      <w:r>
        <w:rPr>
          <w:rFonts w:ascii="Arial" w:cs="Arial" w:eastAsia="Arial" w:hAnsi="Arial"/>
          <w:color w:val="2D3748"/>
          <w:sz w:val="22"/>
          <w:szCs w:val="22"/>
        </w:rPr>
        <w:t xml:space="preserve">Le troisième modèle est un Vision Transformer Small (patch size 16, résolution 224×224) chargé via la librairie timm avec des poids pré-entraînés. Les images 64×64 sont interpolées bilinéairement à 224×224 avant d'être passées au modèle.</w:t>
      </w:r>
    </w:p>
    <w:p>
      <w:pPr>
        <w:spacing w:before="120" w:after="120"/>
      </w:pPr>
      <w:r>
        <w:t xml:space="preserve"/>
      </w:r>
    </w:p>
    <w:p>
      <w:pPr>
        <w:spacing w:before="60" w:after="120"/>
        <w:jc w:val="both"/>
      </w:pPr>
      <w:r>
        <w:rPr>
          <w:rFonts w:ascii="Arial" w:cs="Arial" w:eastAsia="Arial" w:hAnsi="Arial"/>
          <w:color w:val="2D3748"/>
          <w:sz w:val="22"/>
          <w:szCs w:val="22"/>
        </w:rPr>
        <w:t xml:space="preserve">Seuls les 2 derniers blocs d'attention (blocks.10, blocks.11) et la couche de normalisation finale (norm) sont dégelés pour l'entraînement, le reste du transformeur restant gelé. Une tête de classification personnalisée (LayerNorm → Dropout → FC → GELU → Dropout → FC) remplace la tête originale.</w:t>
      </w:r>
    </w:p>
    <w:p>
      <w:pPr>
        <w:spacing w:before="120" w:after="120"/>
      </w:pPr>
      <w:r>
        <w:t xml:space="preserve"/>
      </w:r>
    </w:p>
    <w:p>
      <w:pPr>
        <w:spacing w:before="60" w:after="120"/>
        <w:jc w:val="both"/>
      </w:pPr>
      <w:r>
        <w:rPr>
          <w:rFonts w:ascii="Arial" w:cs="Arial" w:eastAsia="Arial" w:hAnsi="Arial"/>
          <w:b/>
          <w:bCs/>
          <w:color w:val="2D3748"/>
          <w:sz w:val="22"/>
          <w:szCs w:val="22"/>
        </w:rPr>
        <w:t xml:space="preserve">Justification du choix ViT : </w:t>
      </w:r>
      <w:r>
        <w:rPr>
          <w:rFonts w:ascii="Arial" w:cs="Arial" w:eastAsia="Arial" w:hAnsi="Arial"/>
          <w:sz w:val="22"/>
          <w:szCs w:val="22"/>
        </w:rPr>
        <w:t xml:space="preserve">contrairement aux CNNs qui capturent des features locaux via des filtres convolutifs, le mécanisme d'auto-attention du ViT permet de capturer des dépendances globales entre régions éloignées de l'image. Cette propriété est particulièrement avantageuse pour la radiologie thoracique, où des relations spatiales comme la taille du cœur par rapport aux poumons sont diagnostiquement importantes.</w:t>
      </w:r>
    </w:p>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6. Détection d'anomalies par AE</w:t>
      </w:r>
    </w:p>
    <w:p>
      <w:pPr>
        <w:pStyle w:val="Heading2"/>
        <w:spacing w:before="360" w:after="180"/>
      </w:pPr>
      <w:r>
        <w:rPr>
          <w:rFonts w:ascii="Arial" w:cs="Arial" w:eastAsia="Arial" w:hAnsi="Arial"/>
          <w:b/>
          <w:bCs/>
          <w:color w:val="2E6DA4"/>
          <w:sz w:val="28"/>
          <w:szCs w:val="28"/>
        </w:rPr>
        <w:t xml:space="preserve">6.1 Architecture de l'Autoencoder</w:t>
      </w:r>
    </w:p>
    <w:p>
      <w:pPr>
        <w:spacing w:before="60" w:after="120"/>
        <w:jc w:val="both"/>
      </w:pPr>
      <w:r>
        <w:rPr>
          <w:rFonts w:ascii="Arial" w:cs="Arial" w:eastAsia="Arial" w:hAnsi="Arial"/>
          <w:color w:val="2D3748"/>
          <w:sz w:val="22"/>
          <w:szCs w:val="22"/>
        </w:rPr>
        <w:t xml:space="preserve">L'autoencoder convolutionnel est conçu selon une architecture encodeur-décodeur symétrique. L'encodeur compresse progressivement l'image d'entrée (1×64×64) jusqu'à un espace latent compact (64×4×4 = 1024 dimensions), le décodeur reconstruit l'image depuis cet espace latent via des convolutions transposées.</w:t>
      </w:r>
    </w:p>
    <w:p>
      <w:pPr>
        <w:spacing w:before="120" w:after="120"/>
      </w:pPr>
      <w:r>
        <w:t xml:space="preserve"/>
      </w:r>
    </w:p>
    <w:p>
      <w:pPr>
        <w:spacing w:before="60" w:after="120"/>
        <w:jc w:val="both"/>
      </w:pPr>
      <w:r>
        <w:rPr>
          <w:rFonts w:ascii="Arial" w:cs="Arial" w:eastAsia="Arial" w:hAnsi="Arial"/>
          <w:color w:val="2D3748"/>
          <w:sz w:val="22"/>
          <w:szCs w:val="22"/>
        </w:rPr>
        <w:t xml:space="preserve">L'activation finale du décodeur est une Tanh (plage [-1, 1]) cohérente avec la normalisation des images d'entrée. Toutes les autres activations sont des ReLU.</w:t>
      </w:r>
    </w:p>
    <w:p>
      <w:pPr>
        <w:pStyle w:val="Heading2"/>
        <w:spacing w:before="360" w:after="180"/>
      </w:pPr>
      <w:r>
        <w:rPr>
          <w:rFonts w:ascii="Arial" w:cs="Arial" w:eastAsia="Arial" w:hAnsi="Arial"/>
          <w:b/>
          <w:bCs/>
          <w:color w:val="2E6DA4"/>
          <w:sz w:val="28"/>
          <w:szCs w:val="28"/>
        </w:rPr>
        <w:t xml:space="preserve">6.2 Protocole d'entraînement</w:t>
      </w:r>
    </w:p>
    <w:p>
      <w:pPr>
        <w:spacing w:before="60" w:after="120"/>
        <w:jc w:val="both"/>
      </w:pPr>
      <w:r>
        <w:rPr>
          <w:rFonts w:ascii="Arial" w:cs="Arial" w:eastAsia="Arial" w:hAnsi="Arial"/>
          <w:color w:val="2D3748"/>
          <w:sz w:val="22"/>
          <w:szCs w:val="22"/>
        </w:rPr>
        <w:t xml:space="preserve">L'autoencoder est entraîné de manière non supervisée (les labels ne sont pas utilisés) sur l'ensemble complet des images d'entraînement. La fonction de perte est la Mean Squared Error (MSE) entre l'image originale et sa reconstruction.</w:t>
      </w:r>
    </w:p>
    <w:p>
      <w:pP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Métrique</w:t>
            </w:r>
          </w:p>
        </w:tc>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Paramètres totaux</w:t>
            </w:r>
          </w:p>
        </w:tc>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332 865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Loss reconstruction (epoch 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0.019931</w:t>
            </w:r>
          </w:p>
        </w:tc>
      </w:tr>
      <w:tr>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Loss reconstruction (epoch 20)</w:t>
            </w:r>
          </w:p>
        </w:tc>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0.001899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Réduction de la loss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90.5%</w:t>
            </w:r>
          </w:p>
        </w:tc>
      </w:tr>
      <w:tr>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Score anomalie min (normal)</w:t>
            </w:r>
          </w:p>
        </w:tc>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0.0001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Score anomalie max (atypique)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0.0064</w:t>
            </w:r>
          </w:p>
        </w:tc>
      </w:tr>
      <w:tr>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Score anomalie moyen</w:t>
            </w:r>
          </w:p>
        </w:tc>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0.0013</w:t>
            </w:r>
          </w:p>
        </w:tc>
      </w:tr>
    </w:tbl>
    <w:p>
      <w:pPr>
        <w:pStyle w:val="Heading2"/>
        <w:spacing w:before="360" w:after="180"/>
      </w:pPr>
      <w:r>
        <w:rPr>
          <w:rFonts w:ascii="Arial" w:cs="Arial" w:eastAsia="Arial" w:hAnsi="Arial"/>
          <w:b/>
          <w:bCs/>
          <w:color w:val="2E6DA4"/>
          <w:sz w:val="28"/>
          <w:szCs w:val="28"/>
        </w:rPr>
        <w:t xml:space="preserve">6.3 Score d'anomalie</w:t>
      </w:r>
    </w:p>
    <w:p>
      <w:pPr>
        <w:spacing w:before="60" w:after="120"/>
        <w:jc w:val="both"/>
      </w:pPr>
      <w:r>
        <w:rPr>
          <w:rFonts w:ascii="Arial" w:cs="Arial" w:eastAsia="Arial" w:hAnsi="Arial"/>
          <w:color w:val="2D3748"/>
          <w:sz w:val="22"/>
          <w:szCs w:val="22"/>
        </w:rPr>
        <w:t xml:space="preserve">Le score d'anomalie d'une image est défini comme l'erreur de reconstruction MSE moyennée sur tous les pixels :</w:t>
      </w:r>
    </w:p>
    <w:p>
      <w:pPr>
        <w:pBdr>
          <w:left w:val="single" w:color="00A8CC" w:sz="12" w:space="1"/>
        </w:pBdr>
        <w:shd w:fill="EDF2F7" w:val="clear"/>
        <w:spacing w:before="40" w:after="40"/>
        <w:ind w:left="360"/>
      </w:pPr>
      <w:r>
        <w:rPr>
          <w:rFonts w:ascii="Courier New" w:cs="Courier New" w:eastAsia="Courier New" w:hAnsi="Courier New"/>
          <w:color w:val="1A202C"/>
          <w:sz w:val="18"/>
          <w:szCs w:val="18"/>
        </w:rPr>
        <w:t xml:space="preserve">score = MSE(x, AE(x)) = mean((x - AE(x))²)</w:t>
      </w:r>
    </w:p>
    <w:p>
      <w:pPr>
        <w:spacing w:before="60" w:after="120"/>
        <w:jc w:val="both"/>
      </w:pPr>
      <w:r>
        <w:rPr>
          <w:rFonts w:ascii="Arial" w:cs="Arial" w:eastAsia="Arial" w:hAnsi="Arial"/>
          <w:color w:val="2D3748"/>
          <w:sz w:val="22"/>
          <w:szCs w:val="22"/>
        </w:rPr>
        <w:t xml:space="preserve">Un score élevé signifie que l'autoencoder échoue à reconstruire l'image fidèlement, ce qui indique que l'image est atypique ou hors de la distribution d'entraînement. Cette approche est particulièrement adaptée pour détecter des cas rares, des artefacts ou des pathologies absentes de l'ensemble d'entraînement.</w:t>
      </w:r>
    </w:p>
    <w:p>
      <w:pPr>
        <w:pStyle w:val="Heading2"/>
        <w:spacing w:before="360" w:after="180"/>
      </w:pPr>
      <w:r>
        <w:rPr>
          <w:rFonts w:ascii="Arial" w:cs="Arial" w:eastAsia="Arial" w:hAnsi="Arial"/>
          <w:b/>
          <w:bCs/>
          <w:color w:val="2E6DA4"/>
          <w:sz w:val="28"/>
          <w:szCs w:val="28"/>
        </w:rPr>
        <w:t xml:space="preserve">6.4 Analyse des cas à forte atypicité</w:t>
      </w:r>
    </w:p>
    <w:p>
      <w:pPr>
        <w:spacing w:before="60" w:after="120"/>
        <w:jc w:val="both"/>
      </w:pPr>
      <w:r>
        <w:rPr>
          <w:rFonts w:ascii="Arial" w:cs="Arial" w:eastAsia="Arial" w:hAnsi="Arial"/>
          <w:color w:val="2D3748"/>
          <w:sz w:val="22"/>
          <w:szCs w:val="22"/>
        </w:rPr>
        <w:t xml:space="preserve">L'examen visuel des 8 images avec les scores les plus élevés révèle des patterns cohérents : orientations inhabituelles (profil au lieu de face), zones de très haute ou très basse densité, artefacts métalliques (pacemakers, clips chirurgicaux). Ces résultats valident empiriquement la capacité de l'autoencoder à identifier des images cliniquement atypiques.</w:t>
      </w:r>
    </w:p>
    <w:p>
      <w:pPr>
        <w:spacing w:before="120" w:after="120"/>
      </w:pPr>
      <w:r>
        <w:t xml:space="preserve"/>
      </w:r>
    </w:p>
    <w:p>
      <w:pPr>
        <w:spacing w:before="60" w:after="120"/>
        <w:jc w:val="both"/>
      </w:pPr>
      <w:r>
        <w:rPr>
          <w:rFonts w:ascii="Arial" w:cs="Arial" w:eastAsia="Arial" w:hAnsi="Arial"/>
          <w:color w:val="2D3748"/>
          <w:sz w:val="22"/>
          <w:szCs w:val="22"/>
        </w:rPr>
        <w:t xml:space="preserve">Les 8 images avec les scores les plus bas présentent des radiographies standards bien reconstituées, avec une erreur de reconstruction quasi nulle, confirmant que l'autoencoder modélise correctement les cas normaux.</w:t>
      </w:r>
    </w:p>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7. Modélisation multimodale image + compte-rendu</w:t>
      </w:r>
    </w:p>
    <w:p>
      <w:pPr>
        <w:pStyle w:val="Heading2"/>
        <w:spacing w:before="360" w:after="180"/>
      </w:pPr>
      <w:r>
        <w:rPr>
          <w:rFonts w:ascii="Arial" w:cs="Arial" w:eastAsia="Arial" w:hAnsi="Arial"/>
          <w:b/>
          <w:bCs/>
          <w:color w:val="2E6DA4"/>
          <w:sz w:val="28"/>
          <w:szCs w:val="28"/>
        </w:rPr>
        <w:t xml:space="preserve">7.1 Représentations image et texte</w:t>
      </w:r>
    </w:p>
    <w:p>
      <w:pPr>
        <w:spacing w:before="60" w:after="120"/>
        <w:jc w:val="both"/>
      </w:pPr>
      <w:r>
        <w:rPr>
          <w:rFonts w:ascii="Arial" w:cs="Arial" w:eastAsia="Arial" w:hAnsi="Arial"/>
          <w:b/>
          <w:bCs/>
          <w:color w:val="2D3748"/>
          <w:sz w:val="22"/>
          <w:szCs w:val="22"/>
        </w:rPr>
        <w:t xml:space="preserve">Branche image : </w:t>
      </w:r>
      <w:r>
        <w:rPr>
          <w:rFonts w:ascii="Arial" w:cs="Arial" w:eastAsia="Arial" w:hAnsi="Arial"/>
          <w:sz w:val="22"/>
          <w:szCs w:val="22"/>
        </w:rPr>
        <w:t xml:space="preserve">un CNN léger à 3 blocs convolutifs suivi d'un GlobalAveragePooling produit un vecteur de features image de dimension 256. Ce CNN est entraîné end-to-end depuis zéro sur NIH.</w:t>
      </w:r>
    </w:p>
    <w:p>
      <w:pPr>
        <w:spacing w:before="120" w:after="120"/>
      </w:pPr>
      <w:r>
        <w:t xml:space="preserve"/>
      </w:r>
    </w:p>
    <w:p>
      <w:pPr>
        <w:spacing w:before="60" w:after="120"/>
        <w:jc w:val="both"/>
      </w:pPr>
      <w:r>
        <w:rPr>
          <w:rFonts w:ascii="Arial" w:cs="Arial" w:eastAsia="Arial" w:hAnsi="Arial"/>
          <w:b/>
          <w:bCs/>
          <w:color w:val="2D3748"/>
          <w:sz w:val="22"/>
          <w:szCs w:val="22"/>
        </w:rPr>
        <w:t xml:space="preserve">Branche texte : </w:t>
      </w:r>
      <w:r>
        <w:rPr>
          <w:rFonts w:ascii="Arial" w:cs="Arial" w:eastAsia="Arial" w:hAnsi="Arial"/>
          <w:sz w:val="22"/>
          <w:szCs w:val="22"/>
        </w:rPr>
        <w:t xml:space="preserve">un BiLSTM (128 unités par direction) traite la séquence de tokens issus des labels NIH. La représentation textuelle finale est la concaténation des états cachés forward et backward (dimension 256). Le vocabulaire contient 19 mots correspondant aux 14 pathologies NIH plus les mots de liaison.</w:t>
      </w:r>
    </w:p>
    <w:p>
      <w:pPr>
        <w:pStyle w:val="Heading2"/>
        <w:spacing w:before="360" w:after="180"/>
      </w:pPr>
      <w:r>
        <w:rPr>
          <w:rFonts w:ascii="Arial" w:cs="Arial" w:eastAsia="Arial" w:hAnsi="Arial"/>
          <w:b/>
          <w:bCs/>
          <w:color w:val="2E6DA4"/>
          <w:sz w:val="28"/>
          <w:szCs w:val="28"/>
        </w:rPr>
        <w:t xml:space="preserve">7.2 Stratégie de fusion — Late Fusion</w:t>
      </w:r>
    </w:p>
    <w:p>
      <w:pPr>
        <w:spacing w:before="60" w:after="120"/>
        <w:jc w:val="both"/>
      </w:pPr>
      <w:r>
        <w:rPr>
          <w:rFonts w:ascii="Arial" w:cs="Arial" w:eastAsia="Arial" w:hAnsi="Arial"/>
          <w:color w:val="2D3748"/>
          <w:sz w:val="22"/>
          <w:szCs w:val="22"/>
        </w:rPr>
        <w:t xml:space="preserve">La stratégie de fusion tardive (Late Fusion) a été choisie pour les raisons suivantes :</w:t>
      </w:r>
    </w:p>
    <w:p>
      <w:pPr>
        <w:pStyle w:val="ListParagraph"/>
        <w:numPr>
          <w:ilvl w:val="0"/>
          <w:numId w:val="2"/>
        </w:numPr>
        <w:spacing w:before="40" w:after="40"/>
      </w:pPr>
      <w:r>
        <w:rPr>
          <w:rFonts w:ascii="Arial" w:cs="Arial" w:eastAsia="Arial" w:hAnsi="Arial"/>
          <w:color w:val="2D3748"/>
          <w:sz w:val="22"/>
          <w:szCs w:val="22"/>
        </w:rPr>
        <w:t xml:space="preserve">Robustesse à l'absence d'une modalité : en cas de texte manquant, les tokens peuvent être mis à zéro sans affecter la branche image</w:t>
      </w:r>
    </w:p>
    <w:p>
      <w:pPr>
        <w:pStyle w:val="ListParagraph"/>
        <w:numPr>
          <w:ilvl w:val="0"/>
          <w:numId w:val="2"/>
        </w:numPr>
        <w:spacing w:before="40" w:after="40"/>
      </w:pPr>
      <w:r>
        <w:rPr>
          <w:rFonts w:ascii="Arial" w:cs="Arial" w:eastAsia="Arial" w:hAnsi="Arial"/>
          <w:color w:val="2D3748"/>
          <w:sz w:val="22"/>
          <w:szCs w:val="22"/>
        </w:rPr>
        <w:t xml:space="preserve">Flexibilité architecturale : les deux branches peuvent être entraînées indépendamment ou conjointement</w:t>
      </w:r>
    </w:p>
    <w:p>
      <w:pPr>
        <w:pStyle w:val="ListParagraph"/>
        <w:numPr>
          <w:ilvl w:val="0"/>
          <w:numId w:val="2"/>
        </w:numPr>
        <w:spacing w:before="40" w:after="40"/>
      </w:pPr>
      <w:r>
        <w:rPr>
          <w:rFonts w:ascii="Arial" w:cs="Arial" w:eastAsia="Arial" w:hAnsi="Arial"/>
          <w:color w:val="2D3748"/>
          <w:sz w:val="22"/>
          <w:szCs w:val="22"/>
        </w:rPr>
        <w:t xml:space="preserve">Interprétabilité : les représentations de chaque modalité restent séparées jusqu'à la fusion, facilitant l'analyse des contributions individuelles</w:t>
      </w:r>
    </w:p>
    <w:p>
      <w:pPr>
        <w:spacing w:before="120" w:after="120"/>
      </w:pPr>
      <w:r>
        <w:t xml:space="preserve"/>
      </w:r>
    </w:p>
    <w:p>
      <w:pPr>
        <w:spacing w:before="60" w:after="120"/>
        <w:jc w:val="both"/>
      </w:pPr>
      <w:r>
        <w:rPr>
          <w:rFonts w:ascii="Arial" w:cs="Arial" w:eastAsia="Arial" w:hAnsi="Arial"/>
          <w:color w:val="2D3748"/>
          <w:sz w:val="22"/>
          <w:szCs w:val="22"/>
        </w:rPr>
        <w:t xml:space="preserve">La concaténation des représentations (512 dimensions) est passée à travers un réseau de fusion (FC(512→256) → ReLU → Dropout(0.4) → FC(256→14)) avant la prédiction finale.</w:t>
      </w:r>
    </w:p>
    <w:p>
      <w:pPr>
        <w:pStyle w:val="Heading2"/>
        <w:spacing w:before="360" w:after="180"/>
      </w:pPr>
      <w:r>
        <w:rPr>
          <w:rFonts w:ascii="Arial" w:cs="Arial" w:eastAsia="Arial" w:hAnsi="Arial"/>
          <w:b/>
          <w:bCs/>
          <w:color w:val="2E6DA4"/>
          <w:sz w:val="28"/>
          <w:szCs w:val="28"/>
        </w:rPr>
        <w:t xml:space="preserve">7.3 Résultats comparatifs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Modèle</w:t>
            </w:r>
          </w:p>
        </w:tc>
        <w:tc>
          <w:tcPr>
            <w:tcW w:type="dxa" w:w="20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ROC-AUC val</w:t>
            </w:r>
          </w:p>
        </w:tc>
        <w:tc>
          <w:tcPr>
            <w:tcW w:type="dxa" w:w="20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Macro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Image seule</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0.6877</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0.0023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Baseline visuel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Texte seul</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1.0000</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0.9922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Data leakage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Multimodal (Late Fusion)</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0.9997</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0.9868</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Dominé par texte</w:t>
            </w:r>
          </w:p>
        </w:tc>
      </w:tr>
    </w:tbl>
    <w:p>
      <w:pPr>
        <w:spacing w:before="120" w:after="120"/>
      </w:pPr>
      <w:r>
        <w:t xml:space="preserve"/>
      </w:r>
    </w:p>
    <w:p>
      <w:pPr>
        <w:pStyle w:val="Heading2"/>
        <w:spacing w:before="360" w:after="180"/>
      </w:pPr>
      <w:r>
        <w:rPr>
          <w:rFonts w:ascii="Arial" w:cs="Arial" w:eastAsia="Arial" w:hAnsi="Arial"/>
          <w:b/>
          <w:bCs/>
          <w:color w:val="2E6DA4"/>
          <w:sz w:val="28"/>
          <w:szCs w:val="28"/>
        </w:rPr>
        <w:t xml:space="preserve">7.4 Analyse du data leakage</w:t>
      </w:r>
    </w:p>
    <w:p>
      <w:pPr>
        <w:spacing w:before="60" w:after="120"/>
        <w:jc w:val="both"/>
      </w:pPr>
      <w:r>
        <w:rPr>
          <w:rFonts w:ascii="Arial" w:cs="Arial" w:eastAsia="Arial" w:hAnsi="Arial"/>
          <w:color w:val="2D3748"/>
          <w:sz w:val="22"/>
          <w:szCs w:val="22"/>
        </w:rPr>
        <w:t xml:space="preserve">Le score parfait du modèle texte seul (ROC-AUC = 1.0) s'explique par un data leakage structurel inhérent au dataset NIH : les annotations textuelles sont des labels cliniques directement corrélés aux cibles de prédiction. Le modèle LSTM apprend essentiellement à copier les labels textuels en prédictions binaires.</w:t>
      </w:r>
    </w:p>
    <w:p>
      <w:pPr>
        <w:spacing w:before="120" w:after="120"/>
      </w:pPr>
      <w:r>
        <w:t xml:space="preserve"/>
      </w:r>
    </w:p>
    <w:p>
      <w:pPr>
        <w:spacing w:before="60" w:after="120"/>
        <w:jc w:val="both"/>
      </w:pPr>
      <w:r>
        <w:rPr>
          <w:rFonts w:ascii="Arial" w:cs="Arial" w:eastAsia="Arial" w:hAnsi="Arial"/>
          <w:color w:val="2D3748"/>
          <w:sz w:val="22"/>
          <w:szCs w:val="22"/>
        </w:rPr>
        <w:t xml:space="preserve">Ce phénomène illustre une limite fondamentale de l'utilisation des labels NIH comme modalité textuelle. Dans un contexte clinique réel, le texte serait un compte-rendu narratif indépendant (ex: MIMIC-CXR qui contient de vrais rapports de radiologues), présentant un vocabulaire riche et une sémantique complexe non directement mappable aux labels.</w:t>
      </w:r>
    </w:p>
    <w:p>
      <w:pPr>
        <w:pStyle w:val="Heading2"/>
        <w:spacing w:before="360" w:after="180"/>
      </w:pPr>
      <w:r>
        <w:rPr>
          <w:rFonts w:ascii="Arial" w:cs="Arial" w:eastAsia="Arial" w:hAnsi="Arial"/>
          <w:b/>
          <w:bCs/>
          <w:color w:val="2E6DA4"/>
          <w:sz w:val="28"/>
          <w:szCs w:val="28"/>
        </w:rPr>
        <w:t xml:space="preserve">7.5 Robustesse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ROC-AUC</w:t>
            </w:r>
          </w:p>
        </w:tc>
      </w:tr>
      <w:tr>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Avec texte (condition normale)</w:t>
            </w:r>
          </w:p>
        </w:tc>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0.9998</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Sans texte (tokens = zéros)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0.5001</w:t>
            </w:r>
          </w:p>
        </w:tc>
      </w:tr>
      <w:tr>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Dégradation</w:t>
            </w:r>
          </w:p>
        </w:tc>
        <w:tc>
          <w:tcPr>
            <w:tcW w:type="dxa" w:w="45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50.0%</w:t>
            </w:r>
          </w:p>
        </w:tc>
      </w:tr>
    </w:tbl>
    <w:p>
      <w:pPr>
        <w:spacing w:before="120" w:after="120"/>
      </w:pPr>
      <w:r>
        <w:t xml:space="preserve"/>
      </w:r>
    </w:p>
    <w:p>
      <w:pPr>
        <w:spacing w:before="60" w:after="120"/>
        <w:jc w:val="both"/>
      </w:pPr>
      <w:r>
        <w:rPr>
          <w:rFonts w:ascii="Arial" w:cs="Arial" w:eastAsia="Arial" w:hAnsi="Arial"/>
          <w:color w:val="2D3748"/>
          <w:sz w:val="22"/>
          <w:szCs w:val="22"/>
        </w:rPr>
        <w:t xml:space="preserve">La dégradation de 50% en l'absence du texte confirme que le modèle multimodal dépend massivement de la modalité textuelle (laquelle est en pratique parfaite via leakage). La composante image contribue faiblement à la prédiction finale dans ces conditions, ce qui est cohérent avec l'écart de performance entre image seule (0.69) et texte seul (1.00).</w:t>
      </w:r>
    </w:p>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8. Évaluation</w:t>
      </w:r>
    </w:p>
    <w:p>
      <w:pPr>
        <w:pStyle w:val="Heading2"/>
        <w:spacing w:before="360" w:after="180"/>
      </w:pPr>
      <w:r>
        <w:rPr>
          <w:rFonts w:ascii="Arial" w:cs="Arial" w:eastAsia="Arial" w:hAnsi="Arial"/>
          <w:b/>
          <w:bCs/>
          <w:color w:val="2E6DA4"/>
          <w:sz w:val="28"/>
          <w:szCs w:val="28"/>
        </w:rPr>
        <w:t xml:space="preserve">8.1 Métriques choisies</w:t>
      </w:r>
    </w:p>
    <w:p>
      <w:pPr>
        <w:spacing w:before="60" w:after="120"/>
        <w:jc w:val="both"/>
      </w:pPr>
      <w:r>
        <w:rPr>
          <w:rFonts w:ascii="Arial" w:cs="Arial" w:eastAsia="Arial" w:hAnsi="Arial"/>
          <w:color w:val="2D3748"/>
          <w:sz w:val="22"/>
          <w:szCs w:val="22"/>
        </w:rPr>
        <w:t xml:space="preserve">L'accuracy seule est insuffisante pour évaluer un classifieur multi-label sur données déséquilibrées. Les métriques suivantes ont été retenues :</w:t>
      </w:r>
    </w:p>
    <w:p>
      <w:pPr>
        <w:pStyle w:val="ListParagraph"/>
        <w:numPr>
          <w:ilvl w:val="0"/>
          <w:numId w:val="2"/>
        </w:numPr>
        <w:spacing w:before="40" w:after="40"/>
      </w:pPr>
      <w:r>
        <w:rPr>
          <w:rFonts w:ascii="Arial" w:cs="Arial" w:eastAsia="Arial" w:hAnsi="Arial"/>
          <w:color w:val="2D3748"/>
          <w:sz w:val="22"/>
          <w:szCs w:val="22"/>
        </w:rPr>
        <w:t xml:space="preserve">ROC-AUC macro : métrique principale, insensible au seuil de décision, adaptée au déséquilibre</w:t>
      </w:r>
    </w:p>
    <w:p>
      <w:pPr>
        <w:pStyle w:val="ListParagraph"/>
        <w:numPr>
          <w:ilvl w:val="0"/>
          <w:numId w:val="2"/>
        </w:numPr>
        <w:spacing w:before="40" w:after="40"/>
      </w:pPr>
      <w:r>
        <w:rPr>
          <w:rFonts w:ascii="Arial" w:cs="Arial" w:eastAsia="Arial" w:hAnsi="Arial"/>
          <w:color w:val="2D3748"/>
          <w:sz w:val="22"/>
          <w:szCs w:val="22"/>
        </w:rPr>
        <w:t xml:space="preserve">F1-score macro : harmonie entre précision et rappel, calculé par classe puis moyenné</w:t>
      </w:r>
    </w:p>
    <w:p>
      <w:pPr>
        <w:pStyle w:val="ListParagraph"/>
        <w:numPr>
          <w:ilvl w:val="0"/>
          <w:numId w:val="2"/>
        </w:numPr>
        <w:spacing w:before="40" w:after="40"/>
      </w:pPr>
      <w:r>
        <w:rPr>
          <w:rFonts w:ascii="Arial" w:cs="Arial" w:eastAsia="Arial" w:hAnsi="Arial"/>
          <w:color w:val="2D3748"/>
          <w:sz w:val="22"/>
          <w:szCs w:val="22"/>
        </w:rPr>
        <w:t xml:space="preserve">PR-AUC (Average Precision) macro : particulièrement pertinente pour les classes rares</w:t>
      </w:r>
    </w:p>
    <w:p>
      <w:pPr>
        <w:pStyle w:val="ListParagraph"/>
        <w:numPr>
          <w:ilvl w:val="0"/>
          <w:numId w:val="2"/>
        </w:numPr>
        <w:spacing w:before="40" w:after="40"/>
      </w:pPr>
      <w:r>
        <w:rPr>
          <w:rFonts w:ascii="Arial" w:cs="Arial" w:eastAsia="Arial" w:hAnsi="Arial"/>
          <w:color w:val="2D3748"/>
          <w:sz w:val="22"/>
          <w:szCs w:val="22"/>
        </w:rPr>
        <w:t xml:space="preserve">Analyse par classe : ROC-AUC individuel pour identifier les classes bien/mal modélisées</w:t>
      </w:r>
    </w:p>
    <w:p>
      <w:pPr>
        <w:pStyle w:val="Heading2"/>
        <w:spacing w:before="360" w:after="180"/>
      </w:pPr>
      <w:r>
        <w:rPr>
          <w:rFonts w:ascii="Arial" w:cs="Arial" w:eastAsia="Arial" w:hAnsi="Arial"/>
          <w:b/>
          <w:bCs/>
          <w:color w:val="2E6DA4"/>
          <w:sz w:val="28"/>
          <w:szCs w:val="28"/>
        </w:rPr>
        <w:t xml:space="preserve">8.2 Résultats sur le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75"/>
        <w:gridCol w:w="2075"/>
        <w:gridCol w:w="2076"/>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Modèle</w:t>
            </w:r>
          </w:p>
        </w:tc>
        <w:tc>
          <w:tcPr>
            <w:tcW w:type="dxa" w:w="207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ROC-AUC</w:t>
            </w:r>
          </w:p>
        </w:tc>
        <w:tc>
          <w:tcPr>
            <w:tcW w:type="dxa" w:w="2075"/>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Macro</w:t>
            </w:r>
          </w:p>
        </w:tc>
        <w:tc>
          <w:tcPr>
            <w:tcW w:type="dxa" w:w="207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PR-AUC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CNN from scratch</w:t>
            </w:r>
          </w:p>
        </w:tc>
        <w:tc>
          <w:tcPr>
            <w:tcW w:type="dxa" w:w="2075"/>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0.7046</w:t>
            </w:r>
          </w:p>
        </w:tc>
        <w:tc>
          <w:tcPr>
            <w:tcW w:type="dxa" w:w="2075"/>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0.1019</w:t>
            </w:r>
          </w:p>
        </w:tc>
        <w:tc>
          <w:tcPr>
            <w:tcW w:type="dxa" w:w="207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0.1187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ResNet50 Transfer Learning</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0.7154</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0.1146</w:t>
            </w:r>
          </w:p>
        </w:tc>
        <w:tc>
          <w:tcPr>
            <w:tcW w:type="dxa" w:w="20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0.1278</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B5E20"/>
                <w:sz w:val="20"/>
                <w:szCs w:val="20"/>
              </w:rPr>
              <w:t xml:space="preserve">ViT Small ★ Meilleur</w:t>
            </w:r>
          </w:p>
        </w:tc>
        <w:tc>
          <w:tcPr>
            <w:tcW w:type="dxa" w:w="207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0.7190</w:t>
            </w:r>
          </w:p>
        </w:tc>
        <w:tc>
          <w:tcPr>
            <w:tcW w:type="dxa" w:w="207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0.1140</w:t>
            </w:r>
          </w:p>
        </w:tc>
        <w:tc>
          <w:tcPr>
            <w:tcW w:type="dxa" w:w="20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0.1331</w:t>
            </w:r>
          </w:p>
        </w:tc>
      </w:tr>
    </w:tbl>
    <w:p>
      <w:pPr>
        <w:spacing w:before="120" w:after="120"/>
      </w:pPr>
      <w:r>
        <w:t xml:space="preserve"/>
      </w:r>
    </w:p>
    <w:p>
      <w:pPr>
        <w:pStyle w:val="Heading2"/>
        <w:spacing w:before="360" w:after="180"/>
      </w:pPr>
      <w:r>
        <w:rPr>
          <w:rFonts w:ascii="Arial" w:cs="Arial" w:eastAsia="Arial" w:hAnsi="Arial"/>
          <w:b/>
          <w:bCs/>
          <w:color w:val="2E6DA4"/>
          <w:sz w:val="28"/>
          <w:szCs w:val="28"/>
        </w:rPr>
        <w:t xml:space="preserve">8.3 Analyse par classe — ViT Small (meilleur modèle)</w:t>
      </w:r>
    </w:p>
    <w:p>
      <w:pPr>
        <w:spacing w:before="60" w:after="120"/>
        <w:jc w:val="both"/>
      </w:pPr>
      <w:r>
        <w:rPr>
          <w:rFonts w:ascii="Arial" w:cs="Arial" w:eastAsia="Arial" w:hAnsi="Arial"/>
          <w:color w:val="2D3748"/>
          <w:sz w:val="22"/>
          <w:szCs w:val="22"/>
        </w:rPr>
        <w:t xml:space="preserve">L'analyse du ROC-AUC par pathologie sur le test set révèle des disparités importantes selon les classes :</w:t>
      </w:r>
    </w:p>
    <w:p>
      <w:pPr>
        <w:pStyle w:val="ListParagraph"/>
        <w:numPr>
          <w:ilvl w:val="0"/>
          <w:numId w:val="2"/>
        </w:numPr>
        <w:spacing w:before="40" w:after="40"/>
      </w:pPr>
      <w:r>
        <w:rPr>
          <w:rFonts w:ascii="Arial" w:cs="Arial" w:eastAsia="Arial" w:hAnsi="Arial"/>
          <w:color w:val="2D3748"/>
          <w:sz w:val="22"/>
          <w:szCs w:val="22"/>
        </w:rPr>
        <w:t xml:space="preserve">Classes bien détectées (AUC &gt; 0.75) : Effusion, Cardiomegaly, Pneumothorax — pathologies présentant des signatures visuelles distinctives (opacités pleurales, cardiomégalie évidente, pneumothorax visible)</w:t>
      </w:r>
    </w:p>
    <w:p>
      <w:pPr>
        <w:pStyle w:val="ListParagraph"/>
        <w:numPr>
          <w:ilvl w:val="0"/>
          <w:numId w:val="2"/>
        </w:numPr>
        <w:spacing w:before="40" w:after="40"/>
      </w:pPr>
      <w:r>
        <w:rPr>
          <w:rFonts w:ascii="Arial" w:cs="Arial" w:eastAsia="Arial" w:hAnsi="Arial"/>
          <w:color w:val="2D3748"/>
          <w:sz w:val="22"/>
          <w:szCs w:val="22"/>
        </w:rPr>
        <w:t xml:space="preserve">Classes modérément détectées (AUC 0.65-0.75) : Atelectasis, Mass, Consolidation — pathologies aux manifestations visuelles variables</w:t>
      </w:r>
    </w:p>
    <w:p>
      <w:pPr>
        <w:pStyle w:val="ListParagraph"/>
        <w:numPr>
          <w:ilvl w:val="0"/>
          <w:numId w:val="2"/>
        </w:numPr>
        <w:spacing w:before="40" w:after="40"/>
      </w:pPr>
      <w:r>
        <w:rPr>
          <w:rFonts w:ascii="Arial" w:cs="Arial" w:eastAsia="Arial" w:hAnsi="Arial"/>
          <w:color w:val="2D3748"/>
          <w:sz w:val="22"/>
          <w:szCs w:val="22"/>
        </w:rPr>
        <w:t xml:space="preserve">Classes difficiles (AUC &lt; 0.65) : Hernia, Pneumonia — soit très rares (144 exemples pour Hernia) soit présentant des signes subtils (Pneumonia)</w:t>
      </w:r>
    </w:p>
    <w:p>
      <w:pPr>
        <w:spacing w:before="120" w:after="120"/>
      </w:pPr>
      <w:r>
        <w:t xml:space="preserve"/>
      </w:r>
    </w:p>
    <w:p>
      <w:pPr>
        <w:spacing w:before="60" w:after="120"/>
        <w:jc w:val="both"/>
      </w:pPr>
      <w:r>
        <w:rPr>
          <w:rFonts w:ascii="Arial" w:cs="Arial" w:eastAsia="Arial" w:hAnsi="Arial"/>
          <w:color w:val="2D3748"/>
          <w:sz w:val="22"/>
          <w:szCs w:val="22"/>
        </w:rPr>
        <w:t xml:space="preserve">Ces résultats sont cohérents avec la littérature sur ChestMNIST, où des ROC-AUC entre 0.70 et 0.80 sont typiquement rapportés pour des architectures comparables entraînées à 64px.</w:t>
      </w:r>
    </w:p>
    <w:p>
      <w:pPr>
        <w:pStyle w:val="Heading2"/>
        <w:spacing w:before="360" w:after="180"/>
      </w:pPr>
      <w:r>
        <w:rPr>
          <w:rFonts w:ascii="Arial" w:cs="Arial" w:eastAsia="Arial" w:hAnsi="Arial"/>
          <w:b/>
          <w:bCs/>
          <w:color w:val="2E6DA4"/>
          <w:sz w:val="28"/>
          <w:szCs w:val="28"/>
        </w:rPr>
        <w:t xml:space="preserve">8.4 Interprétation du F1 faible</w:t>
      </w:r>
    </w:p>
    <w:p>
      <w:pPr>
        <w:spacing w:before="60" w:after="120"/>
        <w:jc w:val="both"/>
      </w:pPr>
      <w:r>
        <w:rPr>
          <w:rFonts w:ascii="Arial" w:cs="Arial" w:eastAsia="Arial" w:hAnsi="Arial"/>
          <w:color w:val="2D3748"/>
          <w:sz w:val="22"/>
          <w:szCs w:val="22"/>
        </w:rPr>
        <w:t xml:space="preserve">Le F1 macro de ~0.10-0.11 peut sembler alarmant mais s'explique par plusieurs facteurs structurels : le seuil fixe à 0.5 est sous-optimal pour les classes rares (la probabilité prédite pour une classe avec 144 exemples sur 78 000 est naturellement faible), les 14 classes en multi-label impliquent qu'un modèle peut avoir un excellent ROC-AUC tout en ayant peu de vrais positifs avec threshold=0.5, et le déséquilibre extrême rend le F1 très sensible au threshold choisi.</w:t>
      </w:r>
    </w:p>
    <w:p>
      <w:pPr>
        <w:spacing w:before="120" w:after="120"/>
      </w:pPr>
      <w:r>
        <w:t xml:space="preserve"/>
      </w:r>
    </w:p>
    <w:p>
      <w:pPr>
        <w:spacing w:before="60" w:after="120"/>
        <w:jc w:val="both"/>
      </w:pPr>
      <w:r>
        <w:rPr>
          <w:rFonts w:ascii="Arial" w:cs="Arial" w:eastAsia="Arial" w:hAnsi="Arial"/>
          <w:color w:val="2D3748"/>
          <w:sz w:val="22"/>
          <w:szCs w:val="22"/>
        </w:rPr>
        <w:t xml:space="preserve">Un threshold par classe optimisé sur la validation améliorerait significativement le F1, au prix d'un sur-ajustement potentiel à l'ensemble de validation.</w:t>
      </w:r>
    </w:p>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9. Tracking MLflow et traçabilité</w:t>
      </w:r>
    </w:p>
    <w:p>
      <w:pPr>
        <w:pStyle w:val="Heading2"/>
        <w:spacing w:before="360" w:after="180"/>
      </w:pPr>
      <w:r>
        <w:rPr>
          <w:rFonts w:ascii="Arial" w:cs="Arial" w:eastAsia="Arial" w:hAnsi="Arial"/>
          <w:b/>
          <w:bCs/>
          <w:color w:val="2E6DA4"/>
          <w:sz w:val="28"/>
          <w:szCs w:val="28"/>
        </w:rPr>
        <w:t xml:space="preserve">9.1 Organisation des expériences</w:t>
      </w:r>
    </w:p>
    <w:p>
      <w:pPr>
        <w:spacing w:before="60" w:after="120"/>
        <w:jc w:val="both"/>
      </w:pPr>
      <w:r>
        <w:rPr>
          <w:rFonts w:ascii="Arial" w:cs="Arial" w:eastAsia="Arial" w:hAnsi="Arial"/>
          <w:color w:val="2D3748"/>
          <w:sz w:val="22"/>
          <w:szCs w:val="22"/>
        </w:rPr>
        <w:t xml:space="preserve">L'ensemble des runs est organisé dans une unique expérience MLflow nommée 'chest_radiologie', stockée dans le dossier /mlruns/ sur Google Drive pour garantir la persistance entre les sessions Colab. Chaque run correspond à un entraînement distinct, identifié par un run_name descriptif.</w:t>
      </w:r>
    </w:p>
    <w:p>
      <w:pPr>
        <w:pStyle w:val="Heading2"/>
        <w:spacing w:before="360" w:after="180"/>
      </w:pPr>
      <w:r>
        <w:rPr>
          <w:rFonts w:ascii="Arial" w:cs="Arial" w:eastAsia="Arial" w:hAnsi="Arial"/>
          <w:b/>
          <w:bCs/>
          <w:color w:val="2E6DA4"/>
          <w:sz w:val="28"/>
          <w:szCs w:val="28"/>
        </w:rPr>
        <w:t xml:space="preserve">9.2 Runs comparés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Run MLflow</w:t>
            </w:r>
          </w:p>
        </w:tc>
        <w:tc>
          <w:tcPr>
            <w:tcW w:type="dxa" w:w="20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Modèle</w:t>
            </w:r>
          </w:p>
        </w:tc>
        <w:tc>
          <w:tcPr>
            <w:tcW w:type="dxa" w:w="20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AUC val</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CNN_scratch</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CNN from scratch</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0.7091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 Déployé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ResNet50_TL</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ResNet50 Phase 1</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0.6882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 Tracé</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ResNet50_finetune</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ResNet50 Fine-tune</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0.7123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 Déployé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ViT_small</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ViT Small</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0.7286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 Déployé</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ConvAutoencoder</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Autoencoder</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MSE=0.0019</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 Déployé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MM_ImageOnly</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Image seule NIH</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0.6877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 Déployé</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MM_TextOnly</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Texte seul NIH</w:t>
            </w:r>
          </w:p>
        </w:tc>
        <w:tc>
          <w:tcPr>
            <w:tcW w:type="dxa" w:w="2013"/>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Arial" w:cs="Arial" w:eastAsia="Arial" w:hAnsi="Arial"/>
                <w:color w:val="2D3748"/>
                <w:sz w:val="20"/>
                <w:szCs w:val="20"/>
              </w:rPr>
              <w:t xml:space="preserve">1.0000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 Déployé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MM_Multimodal</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Multimodal NIH</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3748"/>
                <w:sz w:val="20"/>
                <w:szCs w:val="20"/>
              </w:rPr>
              <w:t xml:space="preserve">0.9997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 Déployé</w:t>
            </w:r>
          </w:p>
        </w:tc>
      </w:tr>
    </w:tbl>
    <w:p>
      <w:pPr>
        <w:spacing w:before="120" w:after="120"/>
      </w:pPr>
      <w:r>
        <w:t xml:space="preserve"/>
      </w:r>
    </w:p>
    <w:p>
      <w:pPr>
        <w:pStyle w:val="Heading2"/>
        <w:spacing w:before="360" w:after="180"/>
      </w:pPr>
      <w:r>
        <w:rPr>
          <w:rFonts w:ascii="Arial" w:cs="Arial" w:eastAsia="Arial" w:hAnsi="Arial"/>
          <w:b/>
          <w:bCs/>
          <w:color w:val="2E6DA4"/>
          <w:sz w:val="28"/>
          <w:szCs w:val="28"/>
        </w:rPr>
        <w:t xml:space="preserve">9.3 Artefacts sauvegardés</w:t>
      </w:r>
    </w:p>
    <w:p>
      <w:pPr>
        <w:spacing w:before="60" w:after="120"/>
        <w:jc w:val="both"/>
      </w:pPr>
      <w:r>
        <w:rPr>
          <w:rFonts w:ascii="Arial" w:cs="Arial" w:eastAsia="Arial" w:hAnsi="Arial"/>
          <w:color w:val="2D3748"/>
          <w:sz w:val="22"/>
          <w:szCs w:val="22"/>
        </w:rPr>
        <w:t xml:space="preserve">Pour chaque run, les artefacts suivants sont logués dans MLflow :</w:t>
      </w:r>
    </w:p>
    <w:p>
      <w:pPr>
        <w:pStyle w:val="ListParagraph"/>
        <w:numPr>
          <w:ilvl w:val="0"/>
          <w:numId w:val="2"/>
        </w:numPr>
        <w:spacing w:before="40" w:after="40"/>
      </w:pPr>
      <w:r>
        <w:rPr>
          <w:rFonts w:ascii="Arial" w:cs="Arial" w:eastAsia="Arial" w:hAnsi="Arial"/>
          <w:color w:val="2D3748"/>
          <w:sz w:val="22"/>
          <w:szCs w:val="22"/>
        </w:rPr>
        <w:t xml:space="preserve">Courbes d'apprentissage (train_loss, val_loss, val_roc_auc, val_f1_macro) sur l'ensemble des epochs</w:t>
      </w:r>
    </w:p>
    <w:p>
      <w:pPr>
        <w:pStyle w:val="ListParagraph"/>
        <w:numPr>
          <w:ilvl w:val="0"/>
          <w:numId w:val="2"/>
        </w:numPr>
        <w:spacing w:before="40" w:after="40"/>
      </w:pPr>
      <w:r>
        <w:rPr>
          <w:rFonts w:ascii="Arial" w:cs="Arial" w:eastAsia="Arial" w:hAnsi="Arial"/>
          <w:color w:val="2D3748"/>
          <w:sz w:val="22"/>
          <w:szCs w:val="22"/>
        </w:rPr>
        <w:t xml:space="preserve">Meilleur modèle (.pth) correspondant à l'epoch avec la meilleure val_roc_auc</w:t>
      </w:r>
    </w:p>
    <w:p>
      <w:pPr>
        <w:pStyle w:val="ListParagraph"/>
        <w:numPr>
          <w:ilvl w:val="0"/>
          <w:numId w:val="2"/>
        </w:numPr>
        <w:spacing w:before="40" w:after="40"/>
      </w:pPr>
      <w:r>
        <w:rPr>
          <w:rFonts w:ascii="Arial" w:cs="Arial" w:eastAsia="Arial" w:hAnsi="Arial"/>
          <w:color w:val="2D3748"/>
          <w:sz w:val="22"/>
          <w:szCs w:val="22"/>
        </w:rPr>
        <w:t xml:space="preserve">Figures de visualisation (distribution EDA, exemples par classe, anomalies détectées)</w:t>
      </w:r>
    </w:p>
    <w:p>
      <w:pPr>
        <w:pStyle w:val="Heading2"/>
        <w:spacing w:before="360" w:after="180"/>
      </w:pPr>
      <w:r>
        <w:rPr>
          <w:rFonts w:ascii="Arial" w:cs="Arial" w:eastAsia="Arial" w:hAnsi="Arial"/>
          <w:b/>
          <w:bCs/>
          <w:color w:val="2E6DA4"/>
          <w:sz w:val="28"/>
          <w:szCs w:val="28"/>
        </w:rPr>
        <w:t xml:space="preserve">9.4 Cohérence modèles entraînés / déployés</w:t>
      </w:r>
    </w:p>
    <w:p>
      <w:pPr>
        <w:spacing w:before="60" w:after="120"/>
        <w:jc w:val="both"/>
      </w:pPr>
      <w:r>
        <w:rPr>
          <w:rFonts w:ascii="Arial" w:cs="Arial" w:eastAsia="Arial" w:hAnsi="Arial"/>
          <w:color w:val="2D3748"/>
          <w:sz w:val="22"/>
          <w:szCs w:val="22"/>
        </w:rPr>
        <w:t xml:space="preserve">Le démonstrateur Flask charge exactement les modèles .pth sauvegardés comme artefacts MLflow. La correspondance est garantie par le nommage systématique {model_name}_best.pth et la sauvegarde systématique via mlflow.log_artifact() à chaque amélioration du ROC-AUC de validation.</w:t>
      </w:r>
    </w:p>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10. Démonstrateur applicatif</w:t>
      </w:r>
    </w:p>
    <w:p>
      <w:pPr>
        <w:pStyle w:val="Heading2"/>
        <w:spacing w:before="360" w:after="180"/>
      </w:pPr>
      <w:r>
        <w:rPr>
          <w:rFonts w:ascii="Arial" w:cs="Arial" w:eastAsia="Arial" w:hAnsi="Arial"/>
          <w:b/>
          <w:bCs/>
          <w:color w:val="2E6DA4"/>
          <w:sz w:val="28"/>
          <w:szCs w:val="28"/>
        </w:rPr>
        <w:t xml:space="preserve">10.1 Architecture technique</w:t>
      </w:r>
    </w:p>
    <w:p>
      <w:pPr>
        <w:spacing w:before="60" w:after="120"/>
        <w:jc w:val="both"/>
      </w:pPr>
      <w:r>
        <w:rPr>
          <w:rFonts w:ascii="Arial" w:cs="Arial" w:eastAsia="Arial" w:hAnsi="Arial"/>
          <w:color w:val="2D3748"/>
          <w:sz w:val="22"/>
          <w:szCs w:val="22"/>
        </w:rPr>
        <w:t xml:space="preserve">Le démonstrateur est une application web développée avec Flask (backend Python) et HTML/CSS/JavaScript vanilla (frontend). L'interface adopte un design dark mode médical inspiré des systèmes PACS (Picture Archiving and Communication Systems) utilisés dans les hôpitaux.</w:t>
      </w:r>
    </w:p>
    <w:p>
      <w:pP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Backend</w:t>
            </w:r>
          </w:p>
        </w:tc>
        <w:tc>
          <w:tcPr>
            <w:tcW w:type="dxa" w:w="60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Flask 3.0 — API REST avec endpoints /predict et /multimodal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Frontend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HTML5 / CSS3 / JavaScript ES6 vanilla — interface SPA (Single Page Application)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Communication</w:t>
            </w:r>
          </w:p>
        </w:tc>
        <w:tc>
          <w:tcPr>
            <w:tcW w:type="dxa" w:w="60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Fetch API asynchrone (JSON + multipart/form-data pour les images)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Inférence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PyTorch CPU — 7 modèles chargés au démarrage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Grad-CAM</w:t>
            </w:r>
          </w:p>
        </w:tc>
        <w:tc>
          <w:tcPr>
            <w:tcW w:type="dxa" w:w="60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Hooks PyTorch sur la dernière couche conv du CNN + OpenCV pour la superposition</w:t>
            </w:r>
          </w:p>
        </w:tc>
      </w:tr>
    </w:tbl>
    <w:p>
      <w:pPr>
        <w:pStyle w:val="Heading2"/>
        <w:spacing w:before="360" w:after="180"/>
      </w:pPr>
      <w:r>
        <w:rPr>
          <w:rFonts w:ascii="Arial" w:cs="Arial" w:eastAsia="Arial" w:hAnsi="Arial"/>
          <w:b/>
          <w:bCs/>
          <w:color w:val="2E6DA4"/>
          <w:sz w:val="28"/>
          <w:szCs w:val="28"/>
        </w:rPr>
        <w:t xml:space="preserve">10.2 Fonctionnalités</w:t>
      </w:r>
    </w:p>
    <w:p>
      <w:pPr>
        <w:spacing w:before="60" w:after="120"/>
        <w:jc w:val="both"/>
      </w:pPr>
      <w:r>
        <w:rPr>
          <w:rFonts w:ascii="Arial" w:cs="Arial" w:eastAsia="Arial" w:hAnsi="Arial"/>
          <w:b/>
          <w:bCs/>
          <w:color w:val="2D3748"/>
          <w:sz w:val="22"/>
          <w:szCs w:val="22"/>
        </w:rPr>
        <w:t xml:space="preserve">Onglet 1 — Analyse supervisée :</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2D3748"/>
          <w:sz w:val="22"/>
          <w:szCs w:val="22"/>
        </w:rPr>
        <w:t xml:space="preserve">Upload d'une radiographie par glisser-déposer ou clic</w:t>
      </w:r>
    </w:p>
    <w:p>
      <w:pPr>
        <w:pStyle w:val="ListParagraph"/>
        <w:numPr>
          <w:ilvl w:val="0"/>
          <w:numId w:val="2"/>
        </w:numPr>
        <w:spacing w:before="40" w:after="40"/>
      </w:pPr>
      <w:r>
        <w:rPr>
          <w:rFonts w:ascii="Arial" w:cs="Arial" w:eastAsia="Arial" w:hAnsi="Arial"/>
          <w:color w:val="2D3748"/>
          <w:sz w:val="22"/>
          <w:szCs w:val="22"/>
        </w:rPr>
        <w:t xml:space="preserve">Prédiction simultanée via CNN, ResNet50 et ViT avec affichage des top-5 pathologies et barres de confiance animées</w:t>
      </w:r>
    </w:p>
    <w:p>
      <w:pPr>
        <w:pStyle w:val="ListParagraph"/>
        <w:numPr>
          <w:ilvl w:val="0"/>
          <w:numId w:val="2"/>
        </w:numPr>
        <w:spacing w:before="40" w:after="40"/>
      </w:pPr>
      <w:r>
        <w:rPr>
          <w:rFonts w:ascii="Arial" w:cs="Arial" w:eastAsia="Arial" w:hAnsi="Arial"/>
          <w:color w:val="2D3748"/>
          <w:sz w:val="22"/>
          <w:szCs w:val="22"/>
        </w:rPr>
        <w:t xml:space="preserve">Score d'anomalie via autoencoder avec jauge visuelle et seuillage (Normal / Atypique / Anomalie détectée)</w:t>
      </w:r>
    </w:p>
    <w:p>
      <w:pPr>
        <w:pStyle w:val="ListParagraph"/>
        <w:numPr>
          <w:ilvl w:val="0"/>
          <w:numId w:val="2"/>
        </w:numPr>
        <w:spacing w:before="40" w:after="40"/>
      </w:pPr>
      <w:r>
        <w:rPr>
          <w:rFonts w:ascii="Arial" w:cs="Arial" w:eastAsia="Arial" w:hAnsi="Arial"/>
          <w:color w:val="2D3748"/>
          <w:sz w:val="22"/>
          <w:szCs w:val="22"/>
        </w:rPr>
        <w:t xml:space="preserve">Visualisation Grad-CAM des zones d'activation du CNN superposée à l'image originale</w:t>
      </w:r>
    </w:p>
    <w:p>
      <w:pPr>
        <w:pStyle w:val="ListParagraph"/>
        <w:numPr>
          <w:ilvl w:val="0"/>
          <w:numId w:val="2"/>
        </w:numPr>
        <w:spacing w:before="40" w:after="40"/>
      </w:pPr>
      <w:r>
        <w:rPr>
          <w:rFonts w:ascii="Arial" w:cs="Arial" w:eastAsia="Arial" w:hAnsi="Arial"/>
          <w:color w:val="2D3748"/>
          <w:sz w:val="22"/>
          <w:szCs w:val="22"/>
        </w:rPr>
        <w:t xml:space="preserve">Affichage de la reconstruction par l'autoencoder pour comparaison visuelle</w:t>
      </w:r>
    </w:p>
    <w:p>
      <w:pPr>
        <w:pStyle w:val="ListParagraph"/>
        <w:numPr>
          <w:ilvl w:val="0"/>
          <w:numId w:val="2"/>
        </w:numPr>
        <w:spacing w:before="40" w:after="40"/>
      </w:pPr>
      <w:r>
        <w:rPr>
          <w:rFonts w:ascii="Arial" w:cs="Arial" w:eastAsia="Arial" w:hAnsi="Arial"/>
          <w:color w:val="2D3748"/>
          <w:sz w:val="22"/>
          <w:szCs w:val="22"/>
        </w:rPr>
        <w:t xml:space="preserve">Résumé des prédictions top-1 par modèle (cartes synthétiques)</w:t>
      </w:r>
    </w:p>
    <w:p>
      <w:pPr>
        <w:spacing w:before="120" w:after="120"/>
      </w:pPr>
      <w:r>
        <w:t xml:space="preserve"/>
      </w:r>
    </w:p>
    <w:p>
      <w:pPr>
        <w:spacing w:before="60" w:after="120"/>
        <w:jc w:val="both"/>
      </w:pPr>
      <w:r>
        <w:rPr>
          <w:rFonts w:ascii="Arial" w:cs="Arial" w:eastAsia="Arial" w:hAnsi="Arial"/>
          <w:b/>
          <w:bCs/>
          <w:color w:val="2D3748"/>
          <w:sz w:val="22"/>
          <w:szCs w:val="22"/>
        </w:rPr>
        <w:t xml:space="preserve">Onglet 2 — Analyse multimodale :</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2D3748"/>
          <w:sz w:val="22"/>
          <w:szCs w:val="22"/>
        </w:rPr>
        <w:t xml:space="preserve">Upload d'une radiographie + saisie des annotations cliniques NIH</w:t>
      </w:r>
    </w:p>
    <w:p>
      <w:pPr>
        <w:pStyle w:val="ListParagraph"/>
        <w:numPr>
          <w:ilvl w:val="0"/>
          <w:numId w:val="2"/>
        </w:numPr>
        <w:spacing w:before="40" w:after="40"/>
      </w:pPr>
      <w:r>
        <w:rPr>
          <w:rFonts w:ascii="Arial" w:cs="Arial" w:eastAsia="Arial" w:hAnsi="Arial"/>
          <w:color w:val="2D3748"/>
          <w:sz w:val="22"/>
          <w:szCs w:val="22"/>
        </w:rPr>
        <w:t xml:space="preserve">Comparaison côte à côte des prédictions : image seule / texte seul / fusion multimodale</w:t>
      </w:r>
    </w:p>
    <w:p>
      <w:pPr>
        <w:pStyle w:val="ListParagraph"/>
        <w:numPr>
          <w:ilvl w:val="0"/>
          <w:numId w:val="2"/>
        </w:numPr>
        <w:spacing w:before="40" w:after="40"/>
      </w:pPr>
      <w:r>
        <w:rPr>
          <w:rFonts w:ascii="Arial" w:cs="Arial" w:eastAsia="Arial" w:hAnsi="Arial"/>
          <w:color w:val="2D3748"/>
          <w:sz w:val="22"/>
          <w:szCs w:val="22"/>
        </w:rPr>
        <w:t xml:space="preserve">Top-5 pathologies avec barres de confiance pour chaque modalité</w:t>
      </w:r>
    </w:p>
    <w:p>
      <w:pPr>
        <w:pStyle w:val="Heading2"/>
        <w:spacing w:before="360" w:after="180"/>
      </w:pPr>
      <w:r>
        <w:rPr>
          <w:rFonts w:ascii="Arial" w:cs="Arial" w:eastAsia="Arial" w:hAnsi="Arial"/>
          <w:b/>
          <w:bCs/>
          <w:color w:val="2E6DA4"/>
          <w:sz w:val="28"/>
          <w:szCs w:val="28"/>
        </w:rPr>
        <w:t xml:space="preserve">10.3 Endpoints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526"/>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3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GET</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w:t>
            </w:r>
          </w:p>
        </w:tc>
        <w:tc>
          <w:tcPr>
            <w:tcW w:type="dxa" w:w="35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Interface HTML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/predict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image (multipart)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D3748"/>
                <w:sz w:val="20"/>
                <w:szCs w:val="20"/>
              </w:rPr>
              <w:t xml:space="preserve">JSON : prédictions + AUC + images base64</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/multimodal</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POST</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image + texte</w:t>
            </w:r>
          </w:p>
        </w:tc>
        <w:tc>
          <w:tcPr>
            <w:tcW w:type="dxa" w:w="352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left"/>
            </w:pPr>
            <w:r>
              <w:rPr>
                <w:rFonts w:ascii="Arial" w:cs="Arial" w:eastAsia="Arial" w:hAnsi="Arial"/>
                <w:color w:val="2D3748"/>
                <w:sz w:val="20"/>
                <w:szCs w:val="20"/>
              </w:rPr>
              <w:t xml:space="preserve">JSON : comparaison 3 modèles</w:t>
            </w:r>
          </w:p>
        </w:tc>
      </w:tr>
    </w:tbl>
    <w:p>
      <w:pPr>
        <w:pStyle w:val="Heading2"/>
        <w:spacing w:before="360" w:after="180"/>
      </w:pPr>
      <w:r>
        <w:rPr>
          <w:rFonts w:ascii="Arial" w:cs="Arial" w:eastAsia="Arial" w:hAnsi="Arial"/>
          <w:b/>
          <w:bCs/>
          <w:color w:val="2E6DA4"/>
          <w:sz w:val="28"/>
          <w:szCs w:val="28"/>
        </w:rPr>
        <w:t xml:space="preserve">10.4 Limites du prototype</w:t>
      </w:r>
    </w:p>
    <w:p>
      <w:pPr>
        <w:pStyle w:val="ListParagraph"/>
        <w:numPr>
          <w:ilvl w:val="0"/>
          <w:numId w:val="2"/>
        </w:numPr>
        <w:spacing w:before="40" w:after="40"/>
      </w:pPr>
      <w:r>
        <w:rPr>
          <w:rFonts w:ascii="Arial" w:cs="Arial" w:eastAsia="Arial" w:hAnsi="Arial"/>
          <w:color w:val="2D3748"/>
          <w:sz w:val="22"/>
          <w:szCs w:val="22"/>
        </w:rPr>
        <w:t xml:space="preserve">Inférence CPU uniquement : le chargement de 7 modèles en CPU implique un temps de réponse de ~2-5 secondes par requête</w:t>
      </w:r>
    </w:p>
    <w:p>
      <w:pPr>
        <w:pStyle w:val="ListParagraph"/>
        <w:numPr>
          <w:ilvl w:val="0"/>
          <w:numId w:val="2"/>
        </w:numPr>
        <w:spacing w:before="40" w:after="40"/>
      </w:pPr>
      <w:r>
        <w:rPr>
          <w:rFonts w:ascii="Arial" w:cs="Arial" w:eastAsia="Arial" w:hAnsi="Arial"/>
          <w:color w:val="2D3748"/>
          <w:sz w:val="22"/>
          <w:szCs w:val="22"/>
        </w:rPr>
        <w:t xml:space="preserve">Pas de gestion d'erreurs pour les formats DICOM natifs (.dcm)</w:t>
      </w:r>
    </w:p>
    <w:p>
      <w:pPr>
        <w:pStyle w:val="ListParagraph"/>
        <w:numPr>
          <w:ilvl w:val="0"/>
          <w:numId w:val="2"/>
        </w:numPr>
        <w:spacing w:before="40" w:after="40"/>
      </w:pPr>
      <w:r>
        <w:rPr>
          <w:rFonts w:ascii="Arial" w:cs="Arial" w:eastAsia="Arial" w:hAnsi="Arial"/>
          <w:color w:val="2D3748"/>
          <w:sz w:val="22"/>
          <w:szCs w:val="22"/>
        </w:rPr>
        <w:t xml:space="preserve">Le Grad-CAM est calculé uniquement pour le CNN scratch (pas pour ResNet50 et ViT)</w:t>
      </w:r>
    </w:p>
    <w:p>
      <w:pPr>
        <w:pStyle w:val="ListParagraph"/>
        <w:numPr>
          <w:ilvl w:val="0"/>
          <w:numId w:val="2"/>
        </w:numPr>
        <w:spacing w:before="40" w:after="40"/>
      </w:pPr>
      <w:r>
        <w:rPr>
          <w:rFonts w:ascii="Arial" w:cs="Arial" w:eastAsia="Arial" w:hAnsi="Arial"/>
          <w:color w:val="2D3748"/>
          <w:sz w:val="22"/>
          <w:szCs w:val="22"/>
        </w:rPr>
        <w:t xml:space="preserve">Absence d'authentification — prototype académique non sécurisé</w:t>
      </w:r>
    </w:p>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11. Analyse critique</w:t>
      </w:r>
    </w:p>
    <w:p>
      <w:pPr>
        <w:pStyle w:val="Heading2"/>
        <w:spacing w:before="360" w:after="180"/>
      </w:pPr>
      <w:r>
        <w:rPr>
          <w:rFonts w:ascii="Arial" w:cs="Arial" w:eastAsia="Arial" w:hAnsi="Arial"/>
          <w:b/>
          <w:bCs/>
          <w:color w:val="2E6DA4"/>
          <w:sz w:val="28"/>
          <w:szCs w:val="28"/>
        </w:rPr>
        <w:t xml:space="preserve">11.1 Analyse des résultats de classification</w:t>
      </w:r>
    </w:p>
    <w:p>
      <w:pPr>
        <w:spacing w:before="60" w:after="120"/>
        <w:jc w:val="both"/>
      </w:pPr>
      <w:r>
        <w:rPr>
          <w:rFonts w:ascii="Arial" w:cs="Arial" w:eastAsia="Arial" w:hAnsi="Arial"/>
          <w:color w:val="2D3748"/>
          <w:sz w:val="22"/>
          <w:szCs w:val="22"/>
        </w:rPr>
        <w:t xml:space="preserve">Les performances obtenues (ROC-AUC entre 0.70 et 0.72) sont cohérentes avec la littérature sur ChestMNIST à 64px. Le benchmark officiel MedMNIST rapporte des ROC-AUC de l'ordre de 0.70-0.78 pour des architectures ResNet18 et DenseNet, ce qui positionne nos résultats dans la fourchette basse-moyenne.</w:t>
      </w:r>
    </w:p>
    <w:p>
      <w:pPr>
        <w:spacing w:before="120" w:after="120"/>
      </w:pPr>
      <w:r>
        <w:t xml:space="preserve"/>
      </w:r>
    </w:p>
    <w:p>
      <w:pPr>
        <w:spacing w:before="60" w:after="120"/>
        <w:jc w:val="both"/>
      </w:pPr>
      <w:r>
        <w:rPr>
          <w:rFonts w:ascii="Arial" w:cs="Arial" w:eastAsia="Arial" w:hAnsi="Arial"/>
          <w:color w:val="2D3748"/>
          <w:sz w:val="22"/>
          <w:szCs w:val="22"/>
        </w:rPr>
        <w:t xml:space="preserve">La contre-performance relative du ResNet50 par rapport au CNN scratch est un résultat inattendu mais explicable. La nécessité de réinitialiser le premier layer convolutionnel (1 canal au lieu de 3) détruit les features de textures naturelles appris sur ImageNet, qui sont peu pertinents pour les images médicales. Les features des layers plus profonds (bords, formes, patterns complexes) restent utiles mais leur apport est partiellement neutralisé par le premier layer perturbé.</w:t>
      </w:r>
    </w:p>
    <w:p>
      <w:pPr>
        <w:spacing w:before="120" w:after="120"/>
      </w:pPr>
      <w:r>
        <w:t xml:space="preserve"/>
      </w:r>
    </w:p>
    <w:p>
      <w:pPr>
        <w:spacing w:before="60" w:after="120"/>
        <w:jc w:val="both"/>
      </w:pPr>
      <w:r>
        <w:rPr>
          <w:rFonts w:ascii="Arial" w:cs="Arial" w:eastAsia="Arial" w:hAnsi="Arial"/>
          <w:color w:val="2D3748"/>
          <w:sz w:val="22"/>
          <w:szCs w:val="22"/>
        </w:rPr>
        <w:t xml:space="preserve">Le ViT confirme sa supériorité sur les images médicales grâce à son mécanisme d'attention globale, mais son avantage reste modeste à 64px (0.7190 vs 0.7154 pour ResNet50). Une résolution plus élevée (128 ou 224px) aurait probablement amplifié cet avantage.</w:t>
      </w:r>
    </w:p>
    <w:p>
      <w:pPr>
        <w:pStyle w:val="Heading2"/>
        <w:spacing w:before="360" w:after="180"/>
      </w:pPr>
      <w:r>
        <w:rPr>
          <w:rFonts w:ascii="Arial" w:cs="Arial" w:eastAsia="Arial" w:hAnsi="Arial"/>
          <w:b/>
          <w:bCs/>
          <w:color w:val="2E6DA4"/>
          <w:sz w:val="28"/>
          <w:szCs w:val="28"/>
        </w:rPr>
        <w:t xml:space="preserve">11.2 Apport de la détection d'anomalies</w:t>
      </w:r>
    </w:p>
    <w:p>
      <w:pPr>
        <w:spacing w:before="60" w:after="120"/>
        <w:jc w:val="both"/>
      </w:pPr>
      <w:r>
        <w:rPr>
          <w:rFonts w:ascii="Arial" w:cs="Arial" w:eastAsia="Arial" w:hAnsi="Arial"/>
          <w:color w:val="2D3748"/>
          <w:sz w:val="22"/>
          <w:szCs w:val="22"/>
        </w:rPr>
        <w:t xml:space="preserve">L'autoencoder produit des scores d'anomalie cohérents et interprétables. Les cas identifiés comme atypiques présentent des caractéristiques visuelles objectives (orientation non standard, artefacts, densités anormales) qui justifient cliniquement un examen attentif. Cette composante apporte une valeur ajoutée réelle par rapport à la seule classification supervisée, en signalant des cas que les classifieurs supervisés pourraient mal gérer.</w:t>
      </w:r>
    </w:p>
    <w:p>
      <w:pPr>
        <w:spacing w:before="120" w:after="120"/>
      </w:pPr>
      <w:r>
        <w:t xml:space="preserve"/>
      </w:r>
    </w:p>
    <w:p>
      <w:pPr>
        <w:spacing w:before="60" w:after="120"/>
        <w:jc w:val="both"/>
      </w:pPr>
      <w:r>
        <w:rPr>
          <w:rFonts w:ascii="Arial" w:cs="Arial" w:eastAsia="Arial" w:hAnsi="Arial"/>
          <w:color w:val="2D3748"/>
          <w:sz w:val="22"/>
          <w:szCs w:val="22"/>
        </w:rPr>
        <w:t xml:space="preserve">La limitation principale est l'absence d'un ground truth pour évaluer objectivement la détection d'anomalies. Le score d'anomalie est interprété de manière relative (comparaison à la distribution des scores sur l'ensemble de test) plutôt que sur la base d'un seuil absolu validé cliniquement.</w:t>
      </w:r>
    </w:p>
    <w:p>
      <w:pPr>
        <w:pStyle w:val="Heading2"/>
        <w:spacing w:before="360" w:after="180"/>
      </w:pPr>
      <w:r>
        <w:rPr>
          <w:rFonts w:ascii="Arial" w:cs="Arial" w:eastAsia="Arial" w:hAnsi="Arial"/>
          <w:b/>
          <w:bCs/>
          <w:color w:val="2E6DA4"/>
          <w:sz w:val="28"/>
          <w:szCs w:val="28"/>
        </w:rPr>
        <w:t xml:space="preserve">11.3 Intérêt et limites de la multimodalité</w:t>
      </w:r>
    </w:p>
    <w:p>
      <w:pPr>
        <w:spacing w:before="60" w:after="120"/>
        <w:jc w:val="both"/>
      </w:pPr>
      <w:r>
        <w:rPr>
          <w:rFonts w:ascii="Arial" w:cs="Arial" w:eastAsia="Arial" w:hAnsi="Arial"/>
          <w:color w:val="2D3748"/>
          <w:sz w:val="22"/>
          <w:szCs w:val="22"/>
        </w:rPr>
        <w:t xml:space="preserve">La multimodalité apporte théoriquement une valeur ajoutée significative en combinant deux sources d'information complémentaires. Cependant, l'implémentation sur NIH est limitée par le data leakage structurel : les labels textuels sont directement corrélés aux cibles, rendant impossible une évaluation objective du gain multimodal.</w:t>
      </w:r>
    </w:p>
    <w:p>
      <w:pPr>
        <w:spacing w:before="120" w:after="120"/>
      </w:pPr>
      <w:r>
        <w:t xml:space="preserve"/>
      </w:r>
    </w:p>
    <w:p>
      <w:pPr>
        <w:spacing w:before="60" w:after="120"/>
        <w:jc w:val="both"/>
      </w:pPr>
      <w:r>
        <w:rPr>
          <w:rFonts w:ascii="Arial" w:cs="Arial" w:eastAsia="Arial" w:hAnsi="Arial"/>
          <w:color w:val="2D3748"/>
          <w:sz w:val="22"/>
          <w:szCs w:val="22"/>
        </w:rPr>
        <w:t xml:space="preserve">Le test de robustesse (dégradation de 50% sans texte) révèle que le modèle est trop dépendant de la modalité textuelle. Dans un contexte réel où le texte serait un compte-rendu narratif, la contribution relative de chaque modalité serait plus équilibrée.</w:t>
      </w:r>
    </w:p>
    <w:p>
      <w:pPr>
        <w:pStyle w:val="Heading2"/>
        <w:spacing w:before="360" w:after="180"/>
      </w:pPr>
      <w:r>
        <w:rPr>
          <w:rFonts w:ascii="Arial" w:cs="Arial" w:eastAsia="Arial" w:hAnsi="Arial"/>
          <w:b/>
          <w:bCs/>
          <w:color w:val="2E6DA4"/>
          <w:sz w:val="28"/>
          <w:szCs w:val="28"/>
        </w:rPr>
        <w:t xml:space="preserve">11.4 Compromis performance / coût de calcul</w:t>
      </w:r>
    </w:p>
    <w:p>
      <w:pPr>
        <w:spacing w:before="60" w:after="120"/>
        <w:jc w:val="both"/>
      </w:pPr>
      <w:r>
        <w:rPr>
          <w:rFonts w:ascii="Arial" w:cs="Arial" w:eastAsia="Arial" w:hAnsi="Arial"/>
          <w:color w:val="2D3748"/>
          <w:sz w:val="22"/>
          <w:szCs w:val="22"/>
        </w:rPr>
        <w:t xml:space="preserve">Le ViT est le modèle le plus performant mais aussi le plus coûteux en temps d'entraînement (~2h30 sur T4 vs ~25 min pour le CNN scratch). Sur un dataset plus large ou à résolution plus élevée, ce compromis deviendrait encore plus marqué.</w:t>
      </w:r>
    </w:p>
    <w:p>
      <w:pPr>
        <w:spacing w:before="120" w:after="120"/>
      </w:pPr>
      <w:r>
        <w:t xml:space="preserve"/>
      </w:r>
    </w:p>
    <w:p>
      <w:pPr>
        <w:spacing w:before="60" w:after="120"/>
        <w:jc w:val="both"/>
      </w:pPr>
      <w:r>
        <w:rPr>
          <w:rFonts w:ascii="Arial" w:cs="Arial" w:eastAsia="Arial" w:hAnsi="Arial"/>
          <w:color w:val="2D3748"/>
          <w:sz w:val="22"/>
          <w:szCs w:val="22"/>
        </w:rPr>
        <w:t xml:space="preserve">Pour un déploiement en production, le CNN scratch offre le meilleur compromis vitesse/performance pour l'inférence CPU. Le ViT est recommandé pour les environnements GPU où la latence n'est pas critique.</w:t>
      </w:r>
    </w:p>
    <w:p>
      <w:r>
        <w:br w:type="page"/>
      </w:r>
    </w:p>
    <w:p>
      <w:pPr>
        <w:pStyle w:val="Heading1"/>
        <w:pBdr>
          <w:bottom w:val="single" w:color="00A8CC" w:sz="6" w:space="1"/>
        </w:pBdr>
        <w:spacing w:before="480" w:after="240"/>
      </w:pPr>
      <w:r>
        <w:rPr>
          <w:rFonts w:ascii="Arial" w:cs="Arial" w:eastAsia="Arial" w:hAnsi="Arial"/>
          <w:b/>
          <w:bCs/>
          <w:color w:val="1E3A5F"/>
          <w:sz w:val="36"/>
          <w:szCs w:val="36"/>
        </w:rPr>
        <w:t xml:space="preserve">12. Conclusion et perspectives</w:t>
      </w:r>
    </w:p>
    <w:p>
      <w:pPr>
        <w:pStyle w:val="Heading2"/>
        <w:spacing w:before="360" w:after="180"/>
      </w:pPr>
      <w:r>
        <w:rPr>
          <w:rFonts w:ascii="Arial" w:cs="Arial" w:eastAsia="Arial" w:hAnsi="Arial"/>
          <w:b/>
          <w:bCs/>
          <w:color w:val="2E6DA4"/>
          <w:sz w:val="28"/>
          <w:szCs w:val="28"/>
        </w:rPr>
        <w:t xml:space="preserve">12.1 Modèle recommandé</w:t>
      </w:r>
    </w:p>
    <w:p>
      <w:pPr>
        <w:spacing w:before="60" w:after="120"/>
        <w:jc w:val="both"/>
      </w:pPr>
      <w:r>
        <w:rPr>
          <w:rFonts w:ascii="Arial" w:cs="Arial" w:eastAsia="Arial" w:hAnsi="Arial"/>
          <w:color w:val="2D3748"/>
          <w:sz w:val="22"/>
          <w:szCs w:val="22"/>
        </w:rPr>
        <w:t xml:space="preserve">Le Vision Transformer Small est le modèle recommandé pour la classification supervisée avec un ROC-AUC de 0.7190 sur le test set. Son avantage principal réside dans sa capacité à capturer des dépendances spatiales globales, particulièrement pertinentes pour l'imagerie thoracique.</w:t>
      </w:r>
    </w:p>
    <w:p>
      <w:pPr>
        <w:spacing w:before="120" w:after="120"/>
      </w:pPr>
      <w:r>
        <w:t xml:space="preserve"/>
      </w:r>
    </w:p>
    <w:p>
      <w:pPr>
        <w:spacing w:before="60" w:after="120"/>
        <w:jc w:val="both"/>
      </w:pPr>
      <w:r>
        <w:rPr>
          <w:rFonts w:ascii="Arial" w:cs="Arial" w:eastAsia="Arial" w:hAnsi="Arial"/>
          <w:color w:val="2D3748"/>
          <w:sz w:val="22"/>
          <w:szCs w:val="22"/>
        </w:rPr>
        <w:t xml:space="preserve">Pour un contexte de déploiement avec contraintes de latence, le CNN scratch (323 950 paramètres, ROC-AUC 0.7046) offre un excellent rapport performance/vitesse d'inférence.</w:t>
      </w:r>
    </w:p>
    <w:p>
      <w:pPr>
        <w:pStyle w:val="Heading2"/>
        <w:spacing w:before="360" w:after="180"/>
      </w:pPr>
      <w:r>
        <w:rPr>
          <w:rFonts w:ascii="Arial" w:cs="Arial" w:eastAsia="Arial" w:hAnsi="Arial"/>
          <w:b/>
          <w:bCs/>
          <w:color w:val="2E6DA4"/>
          <w:sz w:val="28"/>
          <w:szCs w:val="28"/>
        </w:rPr>
        <w:t xml:space="preserve">12.2 Intérêt de la détection d'anomalies</w:t>
      </w:r>
    </w:p>
    <w:p>
      <w:pPr>
        <w:spacing w:before="60" w:after="120"/>
        <w:jc w:val="both"/>
      </w:pPr>
      <w:r>
        <w:rPr>
          <w:rFonts w:ascii="Arial" w:cs="Arial" w:eastAsia="Arial" w:hAnsi="Arial"/>
          <w:color w:val="2D3748"/>
          <w:sz w:val="22"/>
          <w:szCs w:val="22"/>
        </w:rPr>
        <w:t xml:space="preserve">L'autoencoder convolutionnel constitue un complément précieux au système supervisé, permettant d'identifier des cas atypiques que les classifieurs supervisés ne peuvent pas catégoriser avec confiance. Son entraînement non supervisé (sans labels) est un avantage majeur pour l'intégration dans un pipeline clinique réel où les données labellisées sont rares.</w:t>
      </w:r>
    </w:p>
    <w:p>
      <w:pPr>
        <w:pStyle w:val="Heading2"/>
        <w:spacing w:before="360" w:after="180"/>
      </w:pPr>
      <w:r>
        <w:rPr>
          <w:rFonts w:ascii="Arial" w:cs="Arial" w:eastAsia="Arial" w:hAnsi="Arial"/>
          <w:b/>
          <w:bCs/>
          <w:color w:val="2E6DA4"/>
          <w:sz w:val="28"/>
          <w:szCs w:val="28"/>
        </w:rPr>
        <w:t xml:space="preserve">12.3 Intérêt de la multimodalité</w:t>
      </w:r>
    </w:p>
    <w:p>
      <w:pPr>
        <w:spacing w:before="60" w:after="120"/>
        <w:jc w:val="both"/>
      </w:pPr>
      <w:r>
        <w:rPr>
          <w:rFonts w:ascii="Arial" w:cs="Arial" w:eastAsia="Arial" w:hAnsi="Arial"/>
          <w:color w:val="2D3748"/>
          <w:sz w:val="22"/>
          <w:szCs w:val="22"/>
        </w:rPr>
        <w:t xml:space="preserve">La composante multimodale démontre le potentiel de la fusion image+texte pour la radiologie. Bien que les résultats soient biaisés par le data leakage structurel de NIH, l'architecture Late Fusion développée est fonctionnelle et extensible à des datasets avec de vrais comptes-rendus (MIMIC-CXR, OpenI). Le test de robustesse confirme que l'approche multimodale se dégrade gracieusement en l'absence de l'une des modalités.</w:t>
      </w:r>
    </w:p>
    <w:p>
      <w:pPr>
        <w:pStyle w:val="Heading2"/>
        <w:spacing w:before="360" w:after="180"/>
      </w:pPr>
      <w:r>
        <w:rPr>
          <w:rFonts w:ascii="Arial" w:cs="Arial" w:eastAsia="Arial" w:hAnsi="Arial"/>
          <w:b/>
          <w:bCs/>
          <w:color w:val="2E6DA4"/>
          <w:sz w:val="28"/>
          <w:szCs w:val="28"/>
        </w:rPr>
        <w:t xml:space="preserve">12.4 Limites du cadre expérimental</w:t>
      </w:r>
    </w:p>
    <w:p>
      <w:pPr>
        <w:pStyle w:val="ListParagraph"/>
        <w:numPr>
          <w:ilvl w:val="0"/>
          <w:numId w:val="2"/>
        </w:numPr>
        <w:spacing w:before="40" w:after="40"/>
      </w:pPr>
      <w:r>
        <w:rPr>
          <w:rFonts w:ascii="Arial" w:cs="Arial" w:eastAsia="Arial" w:hAnsi="Arial"/>
          <w:color w:val="2D3748"/>
          <w:sz w:val="22"/>
          <w:szCs w:val="22"/>
        </w:rPr>
        <w:t xml:space="preserve">Résolution limitée à 64px : perte d'information significative par rapport aux images cliniques réelles (512-4096px)</w:t>
      </w:r>
    </w:p>
    <w:p>
      <w:pPr>
        <w:pStyle w:val="ListParagraph"/>
        <w:numPr>
          <w:ilvl w:val="0"/>
          <w:numId w:val="2"/>
        </w:numPr>
        <w:spacing w:before="40" w:after="40"/>
      </w:pPr>
      <w:r>
        <w:rPr>
          <w:rFonts w:ascii="Arial" w:cs="Arial" w:eastAsia="Arial" w:hAnsi="Arial"/>
          <w:color w:val="2D3748"/>
          <w:sz w:val="22"/>
          <w:szCs w:val="22"/>
        </w:rPr>
        <w:t xml:space="preserve">Évaluation sur test set MedMNIST uniquement : la généralisation à d'autres populations de patients n'est pas validée</w:t>
      </w:r>
    </w:p>
    <w:p>
      <w:pPr>
        <w:pStyle w:val="ListParagraph"/>
        <w:numPr>
          <w:ilvl w:val="0"/>
          <w:numId w:val="2"/>
        </w:numPr>
        <w:spacing w:before="40" w:after="40"/>
      </w:pPr>
      <w:r>
        <w:rPr>
          <w:rFonts w:ascii="Arial" w:cs="Arial" w:eastAsia="Arial" w:hAnsi="Arial"/>
          <w:color w:val="2D3748"/>
          <w:sz w:val="22"/>
          <w:szCs w:val="22"/>
        </w:rPr>
        <w:t xml:space="preserve">Absence de validation externe : les performances sur des données d'un autre hôpital ou d'un autre équipement ne sont pas connues</w:t>
      </w:r>
    </w:p>
    <w:p>
      <w:pPr>
        <w:pStyle w:val="ListParagraph"/>
        <w:numPr>
          <w:ilvl w:val="0"/>
          <w:numId w:val="2"/>
        </w:numPr>
        <w:spacing w:before="40" w:after="40"/>
      </w:pPr>
      <w:r>
        <w:rPr>
          <w:rFonts w:ascii="Arial" w:cs="Arial" w:eastAsia="Arial" w:hAnsi="Arial"/>
          <w:color w:val="2D3748"/>
          <w:sz w:val="22"/>
          <w:szCs w:val="22"/>
        </w:rPr>
        <w:t xml:space="preserve">Data leakage multimodal : l'évaluation multimodale ne permet pas de conclure sur la valeur ajoutée réelle du texte clinique</w:t>
      </w:r>
    </w:p>
    <w:p>
      <w:pPr>
        <w:pStyle w:val="ListParagraph"/>
        <w:numPr>
          <w:ilvl w:val="0"/>
          <w:numId w:val="2"/>
        </w:numPr>
        <w:spacing w:before="40" w:after="40"/>
      </w:pPr>
      <w:r>
        <w:rPr>
          <w:rFonts w:ascii="Arial" w:cs="Arial" w:eastAsia="Arial" w:hAnsi="Arial"/>
          <w:color w:val="2D3748"/>
          <w:sz w:val="22"/>
          <w:szCs w:val="22"/>
        </w:rPr>
        <w:t xml:space="preserve">Absence de calibration : les probabilités prédites ne sont pas calibrées et ne peuvent pas être interprétées comme des probabilités diagnostiques</w:t>
      </w:r>
    </w:p>
    <w:p>
      <w:pPr>
        <w:pStyle w:val="Heading2"/>
        <w:spacing w:before="360" w:after="180"/>
      </w:pPr>
      <w:r>
        <w:rPr>
          <w:rFonts w:ascii="Arial" w:cs="Arial" w:eastAsia="Arial" w:hAnsi="Arial"/>
          <w:b/>
          <w:bCs/>
          <w:color w:val="2E6DA4"/>
          <w:sz w:val="28"/>
          <w:szCs w:val="28"/>
        </w:rPr>
        <w:t xml:space="preserve">12.5 Pistes d'amélioration</w:t>
      </w:r>
    </w:p>
    <w:p>
      <w:pPr>
        <w:pStyle w:val="ListParagraph"/>
        <w:numPr>
          <w:ilvl w:val="0"/>
          <w:numId w:val="2"/>
        </w:numPr>
        <w:spacing w:before="40" w:after="40"/>
      </w:pPr>
      <w:r>
        <w:rPr>
          <w:rFonts w:ascii="Arial" w:cs="Arial" w:eastAsia="Arial" w:hAnsi="Arial"/>
          <w:color w:val="2D3748"/>
          <w:sz w:val="22"/>
          <w:szCs w:val="22"/>
        </w:rPr>
        <w:t xml:space="preserve">Augmenter la résolution à 128 ou 224px pour améliorer les performances, particulièrement du ViT</w:t>
      </w:r>
    </w:p>
    <w:p>
      <w:pPr>
        <w:pStyle w:val="ListParagraph"/>
        <w:numPr>
          <w:ilvl w:val="0"/>
          <w:numId w:val="2"/>
        </w:numPr>
        <w:spacing w:before="40" w:after="40"/>
      </w:pPr>
      <w:r>
        <w:rPr>
          <w:rFonts w:ascii="Arial" w:cs="Arial" w:eastAsia="Arial" w:hAnsi="Arial"/>
          <w:color w:val="2D3748"/>
          <w:sz w:val="22"/>
          <w:szCs w:val="22"/>
        </w:rPr>
        <w:t xml:space="preserve">Utiliser MIMIC-CXR ou OpenI pour la multimodalité, avec de vrais comptes-rendus radiologiques</w:t>
      </w:r>
    </w:p>
    <w:p>
      <w:pPr>
        <w:pStyle w:val="ListParagraph"/>
        <w:numPr>
          <w:ilvl w:val="0"/>
          <w:numId w:val="2"/>
        </w:numPr>
        <w:spacing w:before="40" w:after="40"/>
      </w:pPr>
      <w:r>
        <w:rPr>
          <w:rFonts w:ascii="Arial" w:cs="Arial" w:eastAsia="Arial" w:hAnsi="Arial"/>
          <w:color w:val="2D3748"/>
          <w:sz w:val="22"/>
          <w:szCs w:val="22"/>
        </w:rPr>
        <w:t xml:space="preserve">Implémenter un VAE (Variational Autoencoder) pour une représentation latente plus structurée et interprétable</w:t>
      </w:r>
    </w:p>
    <w:p>
      <w:pPr>
        <w:pStyle w:val="ListParagraph"/>
        <w:numPr>
          <w:ilvl w:val="0"/>
          <w:numId w:val="2"/>
        </w:numPr>
        <w:spacing w:before="40" w:after="40"/>
      </w:pPr>
      <w:r>
        <w:rPr>
          <w:rFonts w:ascii="Arial" w:cs="Arial" w:eastAsia="Arial" w:hAnsi="Arial"/>
          <w:color w:val="2D3748"/>
          <w:sz w:val="22"/>
          <w:szCs w:val="22"/>
        </w:rPr>
        <w:t xml:space="preserve">Expérimenter avec DenseNet121 ou EfficientNet, architectures ayant montré d'excellentes performances sur CheXNet</w:t>
      </w:r>
    </w:p>
    <w:p>
      <w:pPr>
        <w:pStyle w:val="ListParagraph"/>
        <w:numPr>
          <w:ilvl w:val="0"/>
          <w:numId w:val="2"/>
        </w:numPr>
        <w:spacing w:before="40" w:after="40"/>
      </w:pPr>
      <w:r>
        <w:rPr>
          <w:rFonts w:ascii="Arial" w:cs="Arial" w:eastAsia="Arial" w:hAnsi="Arial"/>
          <w:color w:val="2D3748"/>
          <w:sz w:val="22"/>
          <w:szCs w:val="22"/>
        </w:rPr>
        <w:t xml:space="preserve">Calibrer les probabilités via Temperature Scaling pour une interprétation clinique plus fiable</w:t>
      </w:r>
    </w:p>
    <w:p>
      <w:pPr>
        <w:pStyle w:val="ListParagraph"/>
        <w:numPr>
          <w:ilvl w:val="0"/>
          <w:numId w:val="2"/>
        </w:numPr>
        <w:spacing w:before="40" w:after="40"/>
      </w:pPr>
      <w:r>
        <w:rPr>
          <w:rFonts w:ascii="Arial" w:cs="Arial" w:eastAsia="Arial" w:hAnsi="Arial"/>
          <w:color w:val="2D3748"/>
          <w:sz w:val="22"/>
          <w:szCs w:val="22"/>
        </w:rPr>
        <w:t xml:space="preserve">Implémenter Grad-CAM pour ResNet50 et ViT pour une meilleure explicabilité</w:t>
      </w:r>
    </w:p>
    <w:p>
      <w:pPr>
        <w:pStyle w:val="ListParagraph"/>
        <w:numPr>
          <w:ilvl w:val="0"/>
          <w:numId w:val="2"/>
        </w:numPr>
        <w:spacing w:before="40" w:after="40"/>
      </w:pPr>
      <w:r>
        <w:rPr>
          <w:rFonts w:ascii="Arial" w:cs="Arial" w:eastAsia="Arial" w:hAnsi="Arial"/>
          <w:color w:val="2D3748"/>
          <w:sz w:val="22"/>
          <w:szCs w:val="22"/>
        </w:rPr>
        <w:t xml:space="preserve">Déployer le démonstrateur sur un serveur distant (Hugging Face Spaces, AWS) pour un accès public</w:t>
      </w:r>
    </w:p>
    <w:p>
      <w:pPr>
        <w:spacing w:before="120" w:after="120"/>
      </w:pPr>
      <w:r>
        <w:t xml:space="preserve"/>
      </w:r>
    </w:p>
    <w:p>
      <w:pPr>
        <w:pBdr>
          <w:top w:val="single" w:color="00A8CC" w:sz="4" w:space="1"/>
        </w:pBdr>
        <w:spacing w:before="480" w:after="240"/>
      </w:pPr>
      <w:r>
        <w:t xml:space="preserve"/>
      </w:r>
    </w:p>
    <w:p>
      <w:pPr>
        <w:pStyle w:val="Heading2"/>
        <w:spacing w:before="360" w:after="180"/>
      </w:pPr>
      <w:r>
        <w:rPr>
          <w:rFonts w:ascii="Arial" w:cs="Arial" w:eastAsia="Arial" w:hAnsi="Arial"/>
          <w:b/>
          <w:bCs/>
          <w:color w:val="2E6DA4"/>
          <w:sz w:val="28"/>
          <w:szCs w:val="28"/>
        </w:rPr>
        <w:t xml:space="preserve">Références</w:t>
      </w:r>
    </w:p>
    <w:p>
      <w:pPr>
        <w:spacing w:before="60" w:after="120"/>
        <w:jc w:val="both"/>
      </w:pPr>
      <w:r>
        <w:rPr>
          <w:rFonts w:ascii="Arial" w:cs="Arial" w:eastAsia="Arial" w:hAnsi="Arial"/>
          <w:color w:val="2D3748"/>
          <w:sz w:val="22"/>
          <w:szCs w:val="22"/>
        </w:rPr>
        <w:t xml:space="preserve">Yang, J. et al. (2023). MedMNIST v2: A Large-Scale Lightweight Benchmark for 2D and 3D Biomedical Image Classification. Scientific Data.</w:t>
      </w:r>
    </w:p>
    <w:p>
      <w:pPr>
        <w:spacing w:before="60" w:after="120"/>
        <w:jc w:val="both"/>
      </w:pPr>
      <w:r>
        <w:rPr>
          <w:rFonts w:ascii="Arial" w:cs="Arial" w:eastAsia="Arial" w:hAnsi="Arial"/>
          <w:color w:val="2D3748"/>
          <w:sz w:val="22"/>
          <w:szCs w:val="22"/>
        </w:rPr>
        <w:t xml:space="preserve">Wang, X. et al. (2017). ChestX-ray8: Hospital-scale Chest X-ray Database and Benchmarks. CVPR 2017.</w:t>
      </w:r>
    </w:p>
    <w:p>
      <w:pPr>
        <w:spacing w:before="60" w:after="120"/>
        <w:jc w:val="both"/>
      </w:pPr>
      <w:r>
        <w:rPr>
          <w:rFonts w:ascii="Arial" w:cs="Arial" w:eastAsia="Arial" w:hAnsi="Arial"/>
          <w:color w:val="2D3748"/>
          <w:sz w:val="22"/>
          <w:szCs w:val="22"/>
        </w:rPr>
        <w:t xml:space="preserve">Dosovitskiy, A. et al. (2021). An Image is Worth 16x16 Words: Transformers for Image Recognition at Scale. ICLR 2021.</w:t>
      </w:r>
    </w:p>
    <w:p>
      <w:pPr>
        <w:spacing w:before="60" w:after="120"/>
        <w:jc w:val="both"/>
      </w:pPr>
      <w:r>
        <w:rPr>
          <w:rFonts w:ascii="Arial" w:cs="Arial" w:eastAsia="Arial" w:hAnsi="Arial"/>
          <w:color w:val="2D3748"/>
          <w:sz w:val="22"/>
          <w:szCs w:val="22"/>
        </w:rPr>
        <w:t xml:space="preserve">He, K. et al. (2016). Deep Residual Learning for Image Recognition. CVPR 2016.</w:t>
      </w:r>
    </w:p>
    <w:p>
      <w:pPr>
        <w:spacing w:before="60" w:after="120"/>
        <w:jc w:val="both"/>
      </w:pPr>
      <w:r>
        <w:rPr>
          <w:rFonts w:ascii="Arial" w:cs="Arial" w:eastAsia="Arial" w:hAnsi="Arial"/>
          <w:color w:val="2D3748"/>
          <w:sz w:val="22"/>
          <w:szCs w:val="22"/>
        </w:rPr>
        <w:t xml:space="preserve">Irvin, J. et al. (2019). CheXpert: A Large Chest Radiograph Dataset with Uncertainty Labels and Expert Comparison. AAAI 2019.</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8" w:sz="4" w:space="1"/>
      </w:pBdr>
      <w:spacing w:before="120"/>
      <w:jc w:val="right"/>
    </w:pPr>
    <w:r>
      <w:rPr>
        <w:rFonts w:ascii="Arial" w:cs="Arial" w:eastAsia="Arial" w:hAnsi="Arial"/>
        <w:color w:val="4A5568"/>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CC" w:sz="4" w:space="1"/>
      </w:pBdr>
      <w:spacing w:after="120"/>
    </w:pPr>
    <w:r>
      <w:rPr>
        <w:rFonts w:ascii="Arial" w:cs="Arial" w:eastAsia="Arial" w:hAnsi="Arial"/>
        <w:color w:val="4A5568"/>
        <w:sz w:val="18"/>
        <w:szCs w:val="18"/>
      </w:rPr>
      <w:t xml:space="preserve">RadIA-DL — Système d'aide au tri radiologique</w:t>
    </w:r>
    <w:r>
      <w:rPr>
        <w:rFonts w:ascii="Arial" w:cs="Arial" w:eastAsia="Arial" w:hAnsi="Arial"/>
        <w:color w:val="9CA3AF"/>
        <w:sz w:val="18"/>
        <w:szCs w:val="18"/>
      </w:rPr>
      <w:t xml:space="preserve">     |     Rapport Final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E3A5F"/>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6DA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2026-03-28T19:19:31.334Z</dcterms:created>
  <dcterms:modified xsi:type="dcterms:W3CDTF">2026-03-28T19:19:31.335Z</dcterms:modified>
</cp:coreProperties>
</file>

<file path=docProps/custom.xml><?xml version="1.0" encoding="utf-8"?>
<Properties xmlns="http://schemas.openxmlformats.org/officeDocument/2006/custom-properties" xmlns:vt="http://schemas.openxmlformats.org/officeDocument/2006/docPropsVTypes"/>
</file>