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28" w:rsidRDefault="009F762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复刻中信证券编制的备兑/对冲/衣领</w:t>
      </w:r>
      <w:r w:rsidR="00DE7B94">
        <w:rPr>
          <w:rFonts w:asciiTheme="minorEastAsia" w:hAnsiTheme="minorEastAsia" w:cstheme="minorEastAsia" w:hint="eastAsia"/>
        </w:rPr>
        <w:t>三个期权策略指数：</w:t>
      </w:r>
    </w:p>
    <w:p w:rsidR="00DE7B94" w:rsidRDefault="00DE7B94">
      <w:pPr>
        <w:rPr>
          <w:rFonts w:asciiTheme="minorEastAsia" w:hAnsiTheme="minorEastAsia" w:cstheme="minorEastAsia" w:hint="eastAsia"/>
        </w:rPr>
      </w:pPr>
    </w:p>
    <w:p w:rsidR="00DE7B94" w:rsidRDefault="00DE7B94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47EC6293" wp14:editId="42A46404">
            <wp:extent cx="5274310" cy="5139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4" w:rsidRDefault="00DE7B94">
      <w:pPr>
        <w:rPr>
          <w:rFonts w:asciiTheme="minorEastAsia" w:hAnsiTheme="minorEastAsia" w:cstheme="minorEastAsia" w:hint="eastAsia"/>
        </w:rPr>
      </w:pPr>
      <w:bookmarkStart w:id="0" w:name="_GoBack"/>
      <w:bookmarkEnd w:id="0"/>
    </w:p>
    <w:p w:rsidR="005D0894" w:rsidRDefault="00261199">
      <w:pPr>
        <w:numPr>
          <w:ilvl w:val="0"/>
          <w:numId w:val="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期权策略指数（BXM/BXY/Collar）计算公式：</w:t>
      </w:r>
    </w:p>
    <w:p w:rsidR="005D0894" w:rsidRDefault="005D0894">
      <w:pPr>
        <w:rPr>
          <w:rFonts w:asciiTheme="minorEastAsia" w:hAnsiTheme="minorEastAsia" w:cstheme="minorEastAsia"/>
        </w:rPr>
      </w:pP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object w:dxaOrig="4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35.25pt" o:ole="">
            <v:imagedata r:id="rId7" o:title=""/>
          </v:shape>
          <o:OLEObject Type="Embed" ProgID="Equation.3" ShapeID="_x0000_i1025" DrawAspect="Content" ObjectID="_1647716743" r:id="rId8"/>
        </w:objec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其中，策略采取做多期权则为</w:t>
      </w:r>
      <w:r>
        <w:rPr>
          <w:rFonts w:asciiTheme="minorEastAsia" w:hAnsiTheme="minorEastAsia" w:cstheme="minorEastAsia" w:hint="eastAsia"/>
          <w:noProof/>
          <w:position w:val="-30"/>
        </w:rPr>
        <w:drawing>
          <wp:inline distT="0" distB="0" distL="114300" distR="114300">
            <wp:extent cx="133350" cy="13335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position w:val="-30"/>
        </w:rPr>
        <w:t>号，反之做空则为</w:t>
      </w:r>
      <w:r>
        <w:rPr>
          <w:rFonts w:asciiTheme="minorEastAsia" w:hAnsiTheme="minorEastAsia" w:cstheme="minorEastAsia" w:hint="eastAsia"/>
          <w:noProof/>
          <w:position w:val="-30"/>
        </w:rPr>
        <w:drawing>
          <wp:inline distT="0" distB="0" distL="114300" distR="114300">
            <wp:extent cx="123825" cy="66675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position w:val="-30"/>
        </w:rPr>
        <w:t>号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基期为2015年3月26日，基点为1000点</w:t>
      </w:r>
    </w:p>
    <w:p w:rsidR="005D0894" w:rsidRDefault="005D0894">
      <w:pPr>
        <w:rPr>
          <w:rFonts w:asciiTheme="minorEastAsia" w:hAnsiTheme="minorEastAsia" w:cstheme="minorEastAsia"/>
          <w:position w:val="-30"/>
        </w:rPr>
      </w:pPr>
    </w:p>
    <w:p w:rsidR="005D0894" w:rsidRDefault="00261199">
      <w:pPr>
        <w:numPr>
          <w:ilvl w:val="0"/>
          <w:numId w:val="1"/>
        </w:num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期权的选择：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仅交易当月期权，持有至到期日再换次月期权继续持有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lastRenderedPageBreak/>
        <w:t>每月期权到期日，按当天标的收盘价，确认次月期权档位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即在当天选出次月期权中，执行价与当天标的收盘价最接近的期权作为平值期权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14"/>
        </w:rPr>
        <w:object w:dxaOrig="4060" w:dyaOrig="400">
          <v:shape id="_x0000_i1026" type="#_x0000_t75" style="width:203.25pt;height:20.25pt" o:ole="">
            <v:imagedata r:id="rId11" o:title=""/>
          </v:shape>
          <o:OLEObject Type="Embed" ProgID="Equation.3" ShapeID="_x0000_i1026" DrawAspect="Content" ObjectID="_1647716744" r:id="rId12"/>
        </w:objec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以此为基准来确定虚二档期权</w:t>
      </w:r>
    </w:p>
    <w:p w:rsidR="005D0894" w:rsidRDefault="005D0894">
      <w:pPr>
        <w:rPr>
          <w:rFonts w:asciiTheme="minorEastAsia" w:hAnsiTheme="minorEastAsia" w:cstheme="minorEastAsia"/>
          <w:position w:val="-30"/>
        </w:rPr>
      </w:pPr>
    </w:p>
    <w:p w:rsidR="005D0894" w:rsidRDefault="00261199">
      <w:pPr>
        <w:numPr>
          <w:ilvl w:val="0"/>
          <w:numId w:val="1"/>
        </w:num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其他特殊情况处理：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本月期权到期后，次月期权还未交易时，仅交易标的，即指数的计算只考虑50ETF的收盘价：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object w:dxaOrig="3280" w:dyaOrig="700">
          <v:shape id="_x0000_i1027" type="#_x0000_t75" style="width:164.25pt;height:35.25pt" o:ole="">
            <v:imagedata r:id="rId13" o:title=""/>
          </v:shape>
          <o:OLEObject Type="Embed" ProgID="Equation.3" ShapeID="_x0000_i1027" DrawAspect="Content" ObjectID="_1647716745" r:id="rId14"/>
        </w:objec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上述公式也为本期权策略指数的基线——标的指数</w:t>
      </w:r>
    </w:p>
    <w:p w:rsidR="005D0894" w:rsidRDefault="00261199">
      <w:pPr>
        <w:rPr>
          <w:rFonts w:asciiTheme="minorEastAsia" w:hAnsiTheme="minorEastAsia" w:cstheme="minorEastAsia"/>
          <w:position w:val="-30"/>
        </w:rPr>
      </w:pPr>
      <w:r>
        <w:rPr>
          <w:rFonts w:asciiTheme="minorEastAsia" w:hAnsiTheme="minorEastAsia" w:cstheme="minorEastAsia" w:hint="eastAsia"/>
          <w:position w:val="-30"/>
        </w:rPr>
        <w:t>不考虑标的分红的情况</w:t>
      </w:r>
    </w:p>
    <w:p w:rsidR="005D0894" w:rsidRDefault="00EF2B99">
      <w:pPr>
        <w:rPr>
          <w:rFonts w:asciiTheme="minorEastAsia" w:hAnsiTheme="minorEastAsia" w:cstheme="minorEastAsia"/>
          <w:position w:val="-30"/>
        </w:rPr>
      </w:pPr>
      <w:r>
        <w:rPr>
          <w:noProof/>
        </w:rPr>
        <w:lastRenderedPageBreak/>
        <w:drawing>
          <wp:inline distT="0" distB="0" distL="0" distR="0" wp14:anchorId="67F66134" wp14:editId="667E763E">
            <wp:extent cx="5274310" cy="513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15BA"/>
    <w:multiLevelType w:val="singleLevel"/>
    <w:tmpl w:val="2C3A15B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A4DD2"/>
    <w:rsid w:val="00261199"/>
    <w:rsid w:val="005D0894"/>
    <w:rsid w:val="009F7628"/>
    <w:rsid w:val="00DE7B94"/>
    <w:rsid w:val="00EF2B99"/>
    <w:rsid w:val="0DC6587B"/>
    <w:rsid w:val="11020239"/>
    <w:rsid w:val="31894868"/>
    <w:rsid w:val="43146EA4"/>
    <w:rsid w:val="523914D8"/>
    <w:rsid w:val="63A43F80"/>
    <w:rsid w:val="653A5DF6"/>
    <w:rsid w:val="67B64D6D"/>
    <w:rsid w:val="68FA310F"/>
    <w:rsid w:val="6AEB1922"/>
    <w:rsid w:val="6BEB0B5F"/>
    <w:rsid w:val="70531BDB"/>
    <w:rsid w:val="70F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8FB6B7-06F9-414E-847E-054263A0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huaxi</dc:creator>
  <cp:lastModifiedBy>郑 宇浩</cp:lastModifiedBy>
  <cp:revision>4</cp:revision>
  <dcterms:created xsi:type="dcterms:W3CDTF">2019-11-25T01:40:00Z</dcterms:created>
  <dcterms:modified xsi:type="dcterms:W3CDTF">2020-04-06T14:19:00Z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