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4B609" w14:textId="31603A37" w:rsidR="001949FB" w:rsidRPr="00C50796" w:rsidRDefault="00E257B2">
      <w:pPr>
        <w:rPr>
          <w:b/>
          <w:sz w:val="32"/>
        </w:rPr>
      </w:pPr>
      <w:r w:rsidRPr="00C50796">
        <w:rPr>
          <w:b/>
          <w:sz w:val="32"/>
        </w:rPr>
        <w:t xml:space="preserve">CS7646 </w:t>
      </w:r>
      <w:r w:rsidR="00F871FD">
        <w:rPr>
          <w:b/>
          <w:sz w:val="32"/>
        </w:rPr>
        <w:t>Manual Strategy Project</w:t>
      </w:r>
      <w:r w:rsidR="00C50796" w:rsidRPr="00C50796">
        <w:rPr>
          <w:b/>
          <w:sz w:val="32"/>
        </w:rPr>
        <w:t xml:space="preserve"> Report</w:t>
      </w:r>
    </w:p>
    <w:p w14:paraId="4C905DD5" w14:textId="4847BE40" w:rsidR="00D21A1F" w:rsidRPr="00FA3797" w:rsidRDefault="00C50796">
      <w:pPr>
        <w:rPr>
          <w:sz w:val="22"/>
        </w:rPr>
      </w:pPr>
      <w:r w:rsidRPr="00FA3797">
        <w:rPr>
          <w:sz w:val="22"/>
        </w:rPr>
        <w:t xml:space="preserve">Author: </w:t>
      </w:r>
      <w:r w:rsidR="00D21A1F" w:rsidRPr="00FA3797">
        <w:rPr>
          <w:sz w:val="22"/>
        </w:rPr>
        <w:t>Yu Bai (GID ybai67)</w:t>
      </w:r>
    </w:p>
    <w:p w14:paraId="596CA3F2" w14:textId="611CC941" w:rsidR="00D21A1F" w:rsidRPr="00FA3797" w:rsidRDefault="00C50796">
      <w:pPr>
        <w:rPr>
          <w:sz w:val="22"/>
        </w:rPr>
      </w:pPr>
      <w:r w:rsidRPr="00FA3797">
        <w:rPr>
          <w:sz w:val="22"/>
        </w:rPr>
        <w:t>Date:</w:t>
      </w:r>
      <w:r w:rsidRPr="00FA3797">
        <w:rPr>
          <w:sz w:val="22"/>
        </w:rPr>
        <w:tab/>
      </w:r>
      <w:r w:rsidR="00F871FD">
        <w:rPr>
          <w:sz w:val="22"/>
        </w:rPr>
        <w:t>11/04</w:t>
      </w:r>
      <w:r w:rsidR="00D21A1F" w:rsidRPr="00FA3797">
        <w:rPr>
          <w:sz w:val="22"/>
        </w:rPr>
        <w:t>/2017</w:t>
      </w:r>
    </w:p>
    <w:p w14:paraId="509B8322" w14:textId="77777777" w:rsidR="00D21A1F" w:rsidRDefault="00D21A1F">
      <w:pPr>
        <w:rPr>
          <w:sz w:val="22"/>
        </w:rPr>
      </w:pPr>
    </w:p>
    <w:p w14:paraId="72A2D3E1" w14:textId="77777777" w:rsidR="00FA3797" w:rsidRPr="00FA3797" w:rsidRDefault="00FA3797">
      <w:pPr>
        <w:rPr>
          <w:sz w:val="22"/>
        </w:rPr>
      </w:pPr>
    </w:p>
    <w:p w14:paraId="7460EB6C" w14:textId="3902DC22" w:rsidR="00D21A1F" w:rsidRPr="00DB68DE" w:rsidRDefault="00F871FD">
      <w:pPr>
        <w:rPr>
          <w:b/>
          <w:sz w:val="22"/>
          <w:szCs w:val="22"/>
        </w:rPr>
      </w:pPr>
      <w:r>
        <w:rPr>
          <w:b/>
          <w:sz w:val="22"/>
          <w:szCs w:val="22"/>
        </w:rPr>
        <w:t xml:space="preserve">Part </w:t>
      </w:r>
      <w:r w:rsidR="00FA3797" w:rsidRPr="00DB68DE">
        <w:rPr>
          <w:b/>
          <w:sz w:val="22"/>
          <w:szCs w:val="22"/>
        </w:rPr>
        <w:t xml:space="preserve">1: </w:t>
      </w:r>
      <w:r>
        <w:rPr>
          <w:b/>
          <w:sz w:val="22"/>
          <w:szCs w:val="22"/>
        </w:rPr>
        <w:t>Technique Indicators</w:t>
      </w:r>
    </w:p>
    <w:p w14:paraId="645EDA66" w14:textId="08DDBAED" w:rsidR="00B5317C" w:rsidRDefault="00F871FD" w:rsidP="00B5317C">
      <w:pPr>
        <w:rPr>
          <w:sz w:val="22"/>
          <w:szCs w:val="22"/>
        </w:rPr>
      </w:pPr>
      <w:r>
        <w:rPr>
          <w:sz w:val="22"/>
          <w:szCs w:val="22"/>
        </w:rPr>
        <w:tab/>
        <w:t xml:space="preserve">Five technique indicators are considered in this project: </w:t>
      </w:r>
      <w:r w:rsidR="0003289C">
        <w:rPr>
          <w:sz w:val="22"/>
          <w:szCs w:val="22"/>
        </w:rPr>
        <w:t>s</w:t>
      </w:r>
      <w:r w:rsidR="00C227AA">
        <w:rPr>
          <w:sz w:val="22"/>
          <w:szCs w:val="22"/>
        </w:rPr>
        <w:t xml:space="preserve">imple </w:t>
      </w:r>
      <w:r w:rsidR="0003289C">
        <w:rPr>
          <w:sz w:val="22"/>
          <w:szCs w:val="22"/>
        </w:rPr>
        <w:t>moving a</w:t>
      </w:r>
      <w:r w:rsidR="00C227AA">
        <w:rPr>
          <w:sz w:val="22"/>
          <w:szCs w:val="22"/>
        </w:rPr>
        <w:t xml:space="preserve">verage (SMA), </w:t>
      </w:r>
      <w:r w:rsidR="00437752">
        <w:rPr>
          <w:sz w:val="22"/>
          <w:szCs w:val="22"/>
        </w:rPr>
        <w:t xml:space="preserve">percentage </w:t>
      </w:r>
      <w:r w:rsidR="0003289C">
        <w:rPr>
          <w:sz w:val="22"/>
          <w:szCs w:val="22"/>
        </w:rPr>
        <w:t>Bollinger</w:t>
      </w:r>
      <w:r w:rsidR="00EA08F6">
        <w:rPr>
          <w:sz w:val="22"/>
          <w:szCs w:val="22"/>
        </w:rPr>
        <w:t>®</w:t>
      </w:r>
      <w:r w:rsidR="0003289C">
        <w:rPr>
          <w:sz w:val="22"/>
          <w:szCs w:val="22"/>
        </w:rPr>
        <w:t xml:space="preserve"> band (%BB), rel</w:t>
      </w:r>
      <w:r w:rsidR="009E0AD0">
        <w:rPr>
          <w:sz w:val="22"/>
          <w:szCs w:val="22"/>
        </w:rPr>
        <w:t xml:space="preserve">ative strength index (RSI), momentum and </w:t>
      </w:r>
      <w:r w:rsidR="00864974">
        <w:rPr>
          <w:sz w:val="22"/>
          <w:szCs w:val="22"/>
        </w:rPr>
        <w:t>moving standard deviation</w:t>
      </w:r>
      <w:r w:rsidR="009E0AD0">
        <w:rPr>
          <w:sz w:val="22"/>
          <w:szCs w:val="22"/>
        </w:rPr>
        <w:t xml:space="preserve">. </w:t>
      </w:r>
      <w:r w:rsidR="00A05374">
        <w:rPr>
          <w:sz w:val="22"/>
          <w:szCs w:val="22"/>
        </w:rPr>
        <w:t>Each is</w:t>
      </w:r>
      <w:r w:rsidR="00230BE3">
        <w:rPr>
          <w:sz w:val="22"/>
          <w:szCs w:val="22"/>
        </w:rPr>
        <w:t xml:space="preserve"> descr</w:t>
      </w:r>
      <w:r w:rsidR="00A05374">
        <w:rPr>
          <w:sz w:val="22"/>
          <w:szCs w:val="22"/>
        </w:rPr>
        <w:t>ibed with a figure illustration below.</w:t>
      </w:r>
    </w:p>
    <w:p w14:paraId="372B2C86" w14:textId="77777777" w:rsidR="00A05374" w:rsidRDefault="00A05374" w:rsidP="00B5317C">
      <w:pPr>
        <w:rPr>
          <w:sz w:val="22"/>
          <w:szCs w:val="22"/>
        </w:rPr>
      </w:pPr>
    </w:p>
    <w:p w14:paraId="1520EC98" w14:textId="77777777" w:rsidR="00F1595C" w:rsidRPr="00612FBC" w:rsidRDefault="00A05374" w:rsidP="00B5317C">
      <w:pPr>
        <w:rPr>
          <w:b/>
          <w:sz w:val="22"/>
          <w:szCs w:val="22"/>
        </w:rPr>
      </w:pPr>
      <w:r w:rsidRPr="00612FBC">
        <w:rPr>
          <w:b/>
          <w:sz w:val="22"/>
          <w:szCs w:val="22"/>
        </w:rPr>
        <w:t>SMA</w:t>
      </w:r>
      <w:r w:rsidR="008247C7" w:rsidRPr="00612FBC">
        <w:rPr>
          <w:b/>
          <w:sz w:val="22"/>
          <w:szCs w:val="22"/>
        </w:rPr>
        <w:t xml:space="preserve">: </w:t>
      </w:r>
    </w:p>
    <w:p w14:paraId="7C996740" w14:textId="4D5A4E93" w:rsidR="007817A6" w:rsidRPr="007817A6" w:rsidRDefault="00656250" w:rsidP="007817A6">
      <w:pPr>
        <w:ind w:firstLine="720"/>
        <w:rPr>
          <w:rFonts w:ascii="Times New Roman" w:eastAsia="Times New Roman" w:hAnsi="Times New Roman" w:cs="Times New Roman"/>
        </w:rPr>
      </w:pPr>
      <w:r>
        <w:rPr>
          <w:sz w:val="22"/>
          <w:szCs w:val="22"/>
        </w:rPr>
        <w:t xml:space="preserve">The SMA at a given date </w:t>
      </w:r>
      <m:oMath>
        <m:r>
          <w:rPr>
            <w:rFonts w:ascii="Cambria Math" w:hAnsi="Cambria Math"/>
            <w:sz w:val="22"/>
            <w:szCs w:val="22"/>
          </w:rPr>
          <m:t>t</m:t>
        </m:r>
      </m:oMath>
      <w:r w:rsidR="00FD6FA7">
        <w:rPr>
          <w:rFonts w:eastAsiaTheme="minorEastAsia"/>
          <w:sz w:val="22"/>
          <w:szCs w:val="22"/>
        </w:rPr>
        <w:t xml:space="preserve"> </w:t>
      </w:r>
      <w:r>
        <w:rPr>
          <w:sz w:val="22"/>
          <w:szCs w:val="22"/>
        </w:rPr>
        <w:t>is calculated as the</w:t>
      </w:r>
      <w:r w:rsidR="000978EB">
        <w:rPr>
          <w:sz w:val="22"/>
          <w:szCs w:val="22"/>
        </w:rPr>
        <w:t xml:space="preserve"> mean of the price </w:t>
      </w:r>
      <w:r w:rsidR="00F1595C">
        <w:rPr>
          <w:sz w:val="22"/>
          <w:szCs w:val="22"/>
        </w:rPr>
        <w:t>over</w:t>
      </w:r>
      <w:r w:rsidR="000978EB">
        <w:rPr>
          <w:sz w:val="22"/>
          <w:szCs w:val="22"/>
        </w:rPr>
        <w:t xml:space="preserve"> a lookback </w:t>
      </w:r>
      <w:r w:rsidR="00FD6FA7">
        <w:rPr>
          <w:sz w:val="22"/>
          <w:szCs w:val="22"/>
        </w:rPr>
        <w:t xml:space="preserve">period </w:t>
      </w:r>
      <w:r w:rsidR="00055D03">
        <w:rPr>
          <w:sz w:val="22"/>
          <w:szCs w:val="22"/>
        </w:rPr>
        <w:t xml:space="preserve">from </w:t>
      </w:r>
      <m:oMath>
        <m:r>
          <w:rPr>
            <w:rFonts w:ascii="Cambria Math" w:hAnsi="Cambria Math"/>
            <w:sz w:val="22"/>
            <w:szCs w:val="22"/>
          </w:rPr>
          <m:t>t-n</m:t>
        </m:r>
      </m:oMath>
      <w:r w:rsidR="00055D03">
        <w:rPr>
          <w:rFonts w:eastAsiaTheme="minorEastAsia"/>
          <w:sz w:val="22"/>
          <w:szCs w:val="22"/>
        </w:rPr>
        <w:t xml:space="preserve"> to </w:t>
      </w:r>
      <m:oMath>
        <m:r>
          <w:rPr>
            <w:rFonts w:ascii="Cambria Math" w:hAnsi="Cambria Math"/>
            <w:sz w:val="22"/>
            <w:szCs w:val="22"/>
          </w:rPr>
          <m:t>t</m:t>
        </m:r>
      </m:oMath>
      <w:r w:rsidR="00FE64FB">
        <w:rPr>
          <w:sz w:val="22"/>
          <w:szCs w:val="22"/>
        </w:rPr>
        <w:t xml:space="preserve">. </w:t>
      </w:r>
      <w:r w:rsidR="00C93009">
        <w:rPr>
          <w:sz w:val="22"/>
          <w:szCs w:val="22"/>
        </w:rPr>
        <w:t xml:space="preserve">Figure 1 illustrates the SMA (red line) </w:t>
      </w:r>
      <w:r w:rsidR="00F02810">
        <w:rPr>
          <w:sz w:val="22"/>
          <w:szCs w:val="22"/>
        </w:rPr>
        <w:t xml:space="preserve">of JPM </w:t>
      </w:r>
      <w:r w:rsidR="00400FB1">
        <w:rPr>
          <w:sz w:val="22"/>
          <w:szCs w:val="22"/>
        </w:rPr>
        <w:t xml:space="preserve">from Jan 2008 to Dec 2009 </w:t>
      </w:r>
      <w:r w:rsidR="00C93009">
        <w:rPr>
          <w:sz w:val="22"/>
          <w:szCs w:val="22"/>
        </w:rPr>
        <w:t xml:space="preserve">with a </w:t>
      </w:r>
      <w:r w:rsidR="00400FB1">
        <w:rPr>
          <w:sz w:val="22"/>
          <w:szCs w:val="22"/>
        </w:rPr>
        <w:t>look</w:t>
      </w:r>
      <w:r w:rsidR="000978EB">
        <w:rPr>
          <w:sz w:val="22"/>
          <w:szCs w:val="22"/>
        </w:rPr>
        <w:t>back window</w:t>
      </w:r>
      <w:r w:rsidR="007E09BC">
        <w:rPr>
          <w:sz w:val="22"/>
          <w:szCs w:val="22"/>
        </w:rPr>
        <w:t xml:space="preserve"> </w:t>
      </w:r>
      <w:r w:rsidR="00C93009">
        <w:rPr>
          <w:sz w:val="22"/>
          <w:szCs w:val="22"/>
        </w:rPr>
        <w:t>of 20 days (</w:t>
      </w:r>
      <w:r w:rsidR="00F1595C">
        <w:rPr>
          <w:sz w:val="22"/>
          <w:szCs w:val="22"/>
        </w:rPr>
        <w:t>the number of trading days per month</w:t>
      </w:r>
      <w:r w:rsidR="00C93009">
        <w:rPr>
          <w:sz w:val="22"/>
          <w:szCs w:val="22"/>
        </w:rPr>
        <w:t>)</w:t>
      </w:r>
      <w:r w:rsidR="00F1595C">
        <w:rPr>
          <w:sz w:val="22"/>
          <w:szCs w:val="22"/>
        </w:rPr>
        <w:t xml:space="preserve">. </w:t>
      </w:r>
      <w:r w:rsidR="00C93009">
        <w:rPr>
          <w:sz w:val="22"/>
          <w:szCs w:val="22"/>
        </w:rPr>
        <w:t xml:space="preserve">As expected, the </w:t>
      </w:r>
      <w:r w:rsidR="00613E42">
        <w:rPr>
          <w:sz w:val="22"/>
          <w:szCs w:val="22"/>
        </w:rPr>
        <w:t>SMA f</w:t>
      </w:r>
      <w:r w:rsidR="00254A0B">
        <w:rPr>
          <w:sz w:val="22"/>
          <w:szCs w:val="22"/>
        </w:rPr>
        <w:t>ollows the price but much smoother</w:t>
      </w:r>
      <w:r w:rsidR="00FD759E">
        <w:rPr>
          <w:sz w:val="22"/>
          <w:szCs w:val="22"/>
        </w:rPr>
        <w:t>. It also</w:t>
      </w:r>
      <w:r w:rsidR="001F7DEB">
        <w:rPr>
          <w:sz w:val="22"/>
          <w:szCs w:val="22"/>
        </w:rPr>
        <w:t xml:space="preserve"> crosses the price when the </w:t>
      </w:r>
      <w:r w:rsidR="00FD759E">
        <w:rPr>
          <w:sz w:val="22"/>
          <w:szCs w:val="22"/>
        </w:rPr>
        <w:t>price</w:t>
      </w:r>
      <w:r w:rsidR="001F7DEB">
        <w:rPr>
          <w:sz w:val="22"/>
          <w:szCs w:val="22"/>
        </w:rPr>
        <w:t xml:space="preserve"> direction</w:t>
      </w:r>
      <w:r w:rsidR="00FD759E">
        <w:rPr>
          <w:sz w:val="22"/>
          <w:szCs w:val="22"/>
        </w:rPr>
        <w:t xml:space="preserve"> reverses</w:t>
      </w:r>
      <w:r w:rsidR="001F7DEB">
        <w:rPr>
          <w:sz w:val="22"/>
          <w:szCs w:val="22"/>
        </w:rPr>
        <w:t xml:space="preserve">. </w:t>
      </w:r>
      <w:r w:rsidR="00C93009">
        <w:rPr>
          <w:sz w:val="22"/>
          <w:szCs w:val="22"/>
        </w:rPr>
        <w:t xml:space="preserve">We choose the SMA </w:t>
      </w:r>
      <w:r w:rsidR="00F02810">
        <w:rPr>
          <w:sz w:val="22"/>
          <w:szCs w:val="22"/>
        </w:rPr>
        <w:t xml:space="preserve">because it typically, as the </w:t>
      </w:r>
      <w:r w:rsidR="002C5084">
        <w:rPr>
          <w:sz w:val="22"/>
          <w:szCs w:val="22"/>
        </w:rPr>
        <w:t xml:space="preserve">average </w:t>
      </w:r>
      <w:r w:rsidR="00F02810">
        <w:rPr>
          <w:sz w:val="22"/>
          <w:szCs w:val="22"/>
        </w:rPr>
        <w:t xml:space="preserve">price over many days, </w:t>
      </w:r>
      <w:r w:rsidR="00613E42">
        <w:rPr>
          <w:sz w:val="22"/>
          <w:szCs w:val="22"/>
        </w:rPr>
        <w:t>represent</w:t>
      </w:r>
      <w:r w:rsidR="00F02810">
        <w:rPr>
          <w:sz w:val="22"/>
          <w:szCs w:val="22"/>
        </w:rPr>
        <w:t>s</w:t>
      </w:r>
      <w:r w:rsidR="00613E42">
        <w:rPr>
          <w:sz w:val="22"/>
          <w:szCs w:val="22"/>
        </w:rPr>
        <w:t xml:space="preserve"> the true value of </w:t>
      </w:r>
      <w:r w:rsidR="00C93009">
        <w:rPr>
          <w:sz w:val="22"/>
          <w:szCs w:val="22"/>
        </w:rPr>
        <w:t>a</w:t>
      </w:r>
      <w:r w:rsidR="00613E42">
        <w:rPr>
          <w:sz w:val="22"/>
          <w:szCs w:val="22"/>
        </w:rPr>
        <w:t xml:space="preserve"> stock. </w:t>
      </w:r>
      <w:r w:rsidR="00EA08F6">
        <w:rPr>
          <w:sz w:val="22"/>
          <w:szCs w:val="22"/>
        </w:rPr>
        <w:t>Thus, c</w:t>
      </w:r>
      <w:r w:rsidR="00450478">
        <w:rPr>
          <w:sz w:val="22"/>
          <w:szCs w:val="22"/>
        </w:rPr>
        <w:t xml:space="preserve">omparing the price to the SMA can help </w:t>
      </w:r>
      <w:r w:rsidR="00C93009">
        <w:rPr>
          <w:sz w:val="22"/>
          <w:szCs w:val="22"/>
        </w:rPr>
        <w:t>decide</w:t>
      </w:r>
      <w:r w:rsidR="001F7DEB">
        <w:rPr>
          <w:sz w:val="22"/>
          <w:szCs w:val="22"/>
        </w:rPr>
        <w:t xml:space="preserve"> if the stock is over</w:t>
      </w:r>
      <w:r w:rsidR="007817A6">
        <w:rPr>
          <w:sz w:val="22"/>
          <w:szCs w:val="22"/>
        </w:rPr>
        <w:t>- or underpriced</w:t>
      </w:r>
      <w:r w:rsidR="00C93009">
        <w:rPr>
          <w:sz w:val="22"/>
          <w:szCs w:val="22"/>
        </w:rPr>
        <w:t xml:space="preserve">. </w:t>
      </w:r>
      <w:r w:rsidR="001F7DEB">
        <w:rPr>
          <w:sz w:val="22"/>
          <w:szCs w:val="22"/>
        </w:rPr>
        <w:t xml:space="preserve">In addition, </w:t>
      </w:r>
      <w:r w:rsidR="00B121FB">
        <w:rPr>
          <w:sz w:val="22"/>
          <w:szCs w:val="22"/>
        </w:rPr>
        <w:t xml:space="preserve">we use </w:t>
      </w:r>
      <w:r w:rsidR="001F7DEB">
        <w:rPr>
          <w:sz w:val="22"/>
          <w:szCs w:val="22"/>
        </w:rPr>
        <w:t xml:space="preserve">the </w:t>
      </w:r>
      <w:r w:rsidR="00450478">
        <w:rPr>
          <w:sz w:val="22"/>
          <w:szCs w:val="22"/>
        </w:rPr>
        <w:t xml:space="preserve">price-SMA crossovers </w:t>
      </w:r>
      <w:r w:rsidR="00B121FB">
        <w:rPr>
          <w:sz w:val="22"/>
          <w:szCs w:val="22"/>
        </w:rPr>
        <w:t>to</w:t>
      </w:r>
      <w:r w:rsidR="00450478">
        <w:rPr>
          <w:sz w:val="22"/>
          <w:szCs w:val="22"/>
        </w:rPr>
        <w:t xml:space="preserve"> help </w:t>
      </w:r>
      <w:r w:rsidR="007817A6">
        <w:rPr>
          <w:sz w:val="22"/>
          <w:szCs w:val="22"/>
        </w:rPr>
        <w:t>identify the potential reversal of the current trend.</w:t>
      </w:r>
    </w:p>
    <w:p w14:paraId="66FD81BA" w14:textId="7D2926A9" w:rsidR="008247C7" w:rsidRPr="008247C7" w:rsidRDefault="009B22AF" w:rsidP="00CD5BAE">
      <w:pPr>
        <w:ind w:firstLine="720"/>
        <w:rPr>
          <w:sz w:val="22"/>
          <w:szCs w:val="22"/>
        </w:rPr>
      </w:pPr>
      <w:r>
        <w:rPr>
          <w:sz w:val="22"/>
          <w:szCs w:val="22"/>
        </w:rPr>
        <w:t xml:space="preserve">  </w:t>
      </w:r>
      <w:r w:rsidR="00EA08F6">
        <w:rPr>
          <w:sz w:val="22"/>
          <w:szCs w:val="22"/>
        </w:rPr>
        <w:t xml:space="preserve"> </w:t>
      </w:r>
      <w:r w:rsidR="000978EB">
        <w:rPr>
          <w:noProof/>
          <w:sz w:val="22"/>
          <w:szCs w:val="22"/>
        </w:rPr>
        <w:drawing>
          <wp:inline distT="0" distB="0" distL="0" distR="0" wp14:anchorId="41825597" wp14:editId="4B3F1503">
            <wp:extent cx="4986042" cy="2493287"/>
            <wp:effectExtent l="0" t="0" r="0" b="0"/>
            <wp:docPr id="4" name="Picture 4" descr="../../ML4T_2017Fall/manual_strategy/plot_Indicator_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4T_2017Fall/manual_strategy/plot_Indicator_S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9600" cy="2505067"/>
                    </a:xfrm>
                    <a:prstGeom prst="rect">
                      <a:avLst/>
                    </a:prstGeom>
                    <a:noFill/>
                    <a:ln>
                      <a:noFill/>
                    </a:ln>
                  </pic:spPr>
                </pic:pic>
              </a:graphicData>
            </a:graphic>
          </wp:inline>
        </w:drawing>
      </w:r>
    </w:p>
    <w:p w14:paraId="7554A955" w14:textId="5F3FB9CA" w:rsidR="008247C7" w:rsidRDefault="008247C7" w:rsidP="00B5317C">
      <w:pPr>
        <w:rPr>
          <w:sz w:val="22"/>
          <w:szCs w:val="22"/>
        </w:rPr>
      </w:pPr>
    </w:p>
    <w:p w14:paraId="0CB0B2AE" w14:textId="71C37242" w:rsidR="00EA08F6" w:rsidRPr="00EA08F6" w:rsidRDefault="00EA08F6" w:rsidP="00B5317C">
      <w:pPr>
        <w:rPr>
          <w:b/>
          <w:sz w:val="22"/>
          <w:szCs w:val="22"/>
        </w:rPr>
      </w:pPr>
      <w:r w:rsidRPr="00EA08F6">
        <w:rPr>
          <w:b/>
          <w:sz w:val="22"/>
          <w:szCs w:val="22"/>
        </w:rPr>
        <w:t>%BB:</w:t>
      </w:r>
    </w:p>
    <w:p w14:paraId="1DA54810" w14:textId="515AB300" w:rsidR="00A05374" w:rsidRPr="00DB68DE" w:rsidRDefault="00EA08F6" w:rsidP="00B5317C">
      <w:pPr>
        <w:rPr>
          <w:sz w:val="22"/>
          <w:szCs w:val="22"/>
        </w:rPr>
      </w:pPr>
      <w:r>
        <w:rPr>
          <w:sz w:val="22"/>
          <w:szCs w:val="22"/>
        </w:rPr>
        <w:tab/>
        <w:t xml:space="preserve">The percentage of Bollinger® band </w:t>
      </w:r>
      <w:r w:rsidR="006B7F68">
        <w:rPr>
          <w:sz w:val="22"/>
          <w:szCs w:val="22"/>
        </w:rPr>
        <w:t xml:space="preserve">indicator </w:t>
      </w:r>
      <w:r>
        <w:rPr>
          <w:sz w:val="22"/>
          <w:szCs w:val="22"/>
        </w:rPr>
        <w:t xml:space="preserve">is </w:t>
      </w:r>
      <w:r w:rsidR="006B7F68">
        <w:rPr>
          <w:sz w:val="22"/>
          <w:szCs w:val="22"/>
        </w:rPr>
        <w:t>derived from</w:t>
      </w:r>
      <w:r w:rsidR="004609E0">
        <w:rPr>
          <w:sz w:val="22"/>
          <w:szCs w:val="22"/>
        </w:rPr>
        <w:t xml:space="preserve"> the Bollinger® band</w:t>
      </w:r>
      <w:r w:rsidR="00495D57">
        <w:rPr>
          <w:sz w:val="22"/>
          <w:szCs w:val="22"/>
        </w:rPr>
        <w:t xml:space="preserve"> (BB)</w:t>
      </w:r>
      <w:r w:rsidR="00B84036">
        <w:rPr>
          <w:sz w:val="22"/>
          <w:szCs w:val="22"/>
        </w:rPr>
        <w:t xml:space="preserve">. </w:t>
      </w:r>
      <w:r w:rsidR="004609E0">
        <w:rPr>
          <w:sz w:val="22"/>
          <w:szCs w:val="22"/>
        </w:rPr>
        <w:t xml:space="preserve">Given the simple moving average of the price </w:t>
      </w:r>
      <w:r w:rsidR="00C95B6B">
        <w:rPr>
          <w:sz w:val="22"/>
          <w:szCs w:val="22"/>
        </w:rPr>
        <w:t>over a look</w:t>
      </w:r>
      <w:r w:rsidR="004609E0">
        <w:rPr>
          <w:sz w:val="22"/>
          <w:szCs w:val="22"/>
        </w:rPr>
        <w:t xml:space="preserve">back period </w:t>
      </w:r>
      <w:r w:rsidR="007F1E69">
        <w:rPr>
          <w:sz w:val="22"/>
          <w:szCs w:val="22"/>
        </w:rPr>
        <w:t>(</w:t>
      </w:r>
      <w:r w:rsidR="00C151E1">
        <w:rPr>
          <w:sz w:val="22"/>
          <w:szCs w:val="22"/>
        </w:rPr>
        <w:t xml:space="preserve">aka </w:t>
      </w:r>
      <w:r w:rsidR="007F1E69">
        <w:rPr>
          <w:sz w:val="22"/>
          <w:szCs w:val="22"/>
        </w:rPr>
        <w:t xml:space="preserve">SMA above) </w:t>
      </w:r>
      <w:r w:rsidR="004609E0">
        <w:rPr>
          <w:sz w:val="22"/>
          <w:szCs w:val="22"/>
        </w:rPr>
        <w:t xml:space="preserve">and the standard deviation of the price over the same period </w:t>
      </w:r>
      <w:r w:rsidR="00C151E1">
        <w:rPr>
          <w:sz w:val="22"/>
          <w:szCs w:val="22"/>
        </w:rPr>
        <w:t xml:space="preserve">(SV), </w:t>
      </w:r>
      <w:r w:rsidR="00C95B6B">
        <w:rPr>
          <w:sz w:val="22"/>
          <w:szCs w:val="22"/>
        </w:rPr>
        <w:t>t</w:t>
      </w:r>
      <w:r>
        <w:rPr>
          <w:sz w:val="22"/>
          <w:szCs w:val="22"/>
        </w:rPr>
        <w:t xml:space="preserve">he </w:t>
      </w:r>
      <w:r w:rsidR="004609E0">
        <w:rPr>
          <w:sz w:val="22"/>
          <w:szCs w:val="22"/>
        </w:rPr>
        <w:t xml:space="preserve">top and bottom </w:t>
      </w:r>
      <w:r>
        <w:rPr>
          <w:sz w:val="22"/>
          <w:szCs w:val="22"/>
        </w:rPr>
        <w:t>Bollinger®</w:t>
      </w:r>
      <w:r w:rsidR="004609E0">
        <w:rPr>
          <w:sz w:val="22"/>
          <w:szCs w:val="22"/>
        </w:rPr>
        <w:t xml:space="preserve"> bands locate at </w:t>
      </w:r>
      <w:r w:rsidR="00A31366">
        <w:rPr>
          <w:sz w:val="22"/>
          <w:szCs w:val="22"/>
        </w:rPr>
        <w:t xml:space="preserve">2-fold </w:t>
      </w:r>
      <w:r w:rsidR="006B7F68">
        <w:rPr>
          <w:sz w:val="22"/>
          <w:szCs w:val="22"/>
        </w:rPr>
        <w:t>SV above or below the SMA, respectively</w:t>
      </w:r>
      <w:r w:rsidR="000F575E">
        <w:rPr>
          <w:sz w:val="22"/>
          <w:szCs w:val="22"/>
        </w:rPr>
        <w:t xml:space="preserve"> (Figure 2, blue lines)</w:t>
      </w:r>
      <w:r w:rsidR="006B7F68">
        <w:rPr>
          <w:sz w:val="22"/>
          <w:szCs w:val="22"/>
        </w:rPr>
        <w:t xml:space="preserve">. </w:t>
      </w:r>
      <w:r w:rsidR="00B84036">
        <w:rPr>
          <w:sz w:val="22"/>
          <w:szCs w:val="22"/>
        </w:rPr>
        <w:t xml:space="preserve">The spread between the top and bottom bands is considered as the </w:t>
      </w:r>
      <w:r w:rsidR="00495D57">
        <w:rPr>
          <w:sz w:val="22"/>
          <w:szCs w:val="22"/>
        </w:rPr>
        <w:t xml:space="preserve">bandwidth. </w:t>
      </w:r>
      <w:r w:rsidR="00A31366">
        <w:rPr>
          <w:sz w:val="22"/>
          <w:szCs w:val="22"/>
        </w:rPr>
        <w:t xml:space="preserve">The %BB </w:t>
      </w:r>
      <w:r w:rsidR="003F62EF">
        <w:rPr>
          <w:sz w:val="22"/>
          <w:szCs w:val="22"/>
        </w:rPr>
        <w:t>(Figure 2,</w:t>
      </w:r>
      <w:r w:rsidR="00E6324C">
        <w:rPr>
          <w:sz w:val="22"/>
          <w:szCs w:val="22"/>
        </w:rPr>
        <w:t xml:space="preserve"> red dotted line) </w:t>
      </w:r>
      <w:r w:rsidR="00A31366">
        <w:rPr>
          <w:sz w:val="22"/>
          <w:szCs w:val="22"/>
        </w:rPr>
        <w:t xml:space="preserve">is then </w:t>
      </w:r>
      <w:r>
        <w:rPr>
          <w:sz w:val="22"/>
          <w:szCs w:val="22"/>
        </w:rPr>
        <w:t xml:space="preserve">calculated as the </w:t>
      </w:r>
      <w:r w:rsidR="00495D57">
        <w:rPr>
          <w:sz w:val="22"/>
          <w:szCs w:val="22"/>
        </w:rPr>
        <w:t>difference</w:t>
      </w:r>
      <w:r w:rsidR="00B84036">
        <w:rPr>
          <w:sz w:val="22"/>
          <w:szCs w:val="22"/>
        </w:rPr>
        <w:t xml:space="preserve"> of the price relative to the bottom Bollinger® band, normalized to the </w:t>
      </w:r>
      <w:r w:rsidR="00495D57">
        <w:rPr>
          <w:sz w:val="22"/>
          <w:szCs w:val="22"/>
        </w:rPr>
        <w:t xml:space="preserve">bandwidth: (price – bottom BB)/(top BB – bottom BB). </w:t>
      </w:r>
      <w:r w:rsidR="0079716A">
        <w:rPr>
          <w:sz w:val="22"/>
          <w:szCs w:val="22"/>
        </w:rPr>
        <w:t xml:space="preserve">We use %BB to identify the events when </w:t>
      </w:r>
      <w:r>
        <w:rPr>
          <w:sz w:val="22"/>
          <w:szCs w:val="22"/>
        </w:rPr>
        <w:t xml:space="preserve">the price </w:t>
      </w:r>
      <w:r w:rsidR="0079716A">
        <w:rPr>
          <w:sz w:val="22"/>
          <w:szCs w:val="22"/>
        </w:rPr>
        <w:t>is significantly different from the SMA. Typically, when %BB &gt;1, the price is higher than the SMA by more than 2 standard deviation</w:t>
      </w:r>
      <w:r>
        <w:rPr>
          <w:sz w:val="22"/>
          <w:szCs w:val="22"/>
        </w:rPr>
        <w:t xml:space="preserve"> </w:t>
      </w:r>
      <w:r w:rsidR="0079716A">
        <w:rPr>
          <w:sz w:val="22"/>
          <w:szCs w:val="22"/>
        </w:rPr>
        <w:t>(</w:t>
      </w:r>
      <w:r w:rsidR="000019A2">
        <w:rPr>
          <w:sz w:val="22"/>
          <w:szCs w:val="22"/>
        </w:rPr>
        <w:t xml:space="preserve">exceeding </w:t>
      </w:r>
      <w:r>
        <w:rPr>
          <w:sz w:val="22"/>
          <w:szCs w:val="22"/>
        </w:rPr>
        <w:t xml:space="preserve">the top </w:t>
      </w:r>
      <w:r w:rsidR="0079716A">
        <w:rPr>
          <w:sz w:val="22"/>
          <w:szCs w:val="22"/>
        </w:rPr>
        <w:t xml:space="preserve">Bollinger® band) and thus </w:t>
      </w:r>
      <w:r w:rsidR="001D4716">
        <w:rPr>
          <w:sz w:val="22"/>
          <w:szCs w:val="22"/>
        </w:rPr>
        <w:t>may</w:t>
      </w:r>
      <w:r w:rsidR="0079716A">
        <w:rPr>
          <w:sz w:val="22"/>
          <w:szCs w:val="22"/>
        </w:rPr>
        <w:t xml:space="preserve"> be considered overbought. Conversely, when %BB&lt;0, the price is</w:t>
      </w:r>
      <w:r w:rsidR="00B121FB">
        <w:rPr>
          <w:sz w:val="22"/>
          <w:szCs w:val="22"/>
        </w:rPr>
        <w:t xml:space="preserve"> </w:t>
      </w:r>
      <w:r w:rsidR="0079716A">
        <w:rPr>
          <w:sz w:val="22"/>
          <w:szCs w:val="22"/>
        </w:rPr>
        <w:t xml:space="preserve">lower than the bottom Bollinger® band and </w:t>
      </w:r>
      <w:r w:rsidR="001D4716">
        <w:rPr>
          <w:sz w:val="22"/>
          <w:szCs w:val="22"/>
        </w:rPr>
        <w:t>may</w:t>
      </w:r>
      <w:r w:rsidR="0079716A">
        <w:rPr>
          <w:sz w:val="22"/>
          <w:szCs w:val="22"/>
        </w:rPr>
        <w:t xml:space="preserve"> be considered oversold. </w:t>
      </w:r>
    </w:p>
    <w:p w14:paraId="571EECFF" w14:textId="5E3894D0" w:rsidR="004914C4" w:rsidRDefault="00D803DD" w:rsidP="00CD5BAE">
      <w:pPr>
        <w:ind w:firstLine="720"/>
        <w:rPr>
          <w:sz w:val="22"/>
          <w:szCs w:val="22"/>
        </w:rPr>
      </w:pPr>
      <w:r>
        <w:rPr>
          <w:noProof/>
          <w:sz w:val="22"/>
          <w:szCs w:val="22"/>
        </w:rPr>
        <w:lastRenderedPageBreak/>
        <w:drawing>
          <wp:inline distT="0" distB="0" distL="0" distR="0" wp14:anchorId="26ABFBD0" wp14:editId="12B8618F">
            <wp:extent cx="4966335" cy="2483168"/>
            <wp:effectExtent l="0" t="0" r="0" b="6350"/>
            <wp:docPr id="1" name="Picture 1" descr="../../ML4T_2017Fall/manual_strategy/plot_Indicator_B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4T_2017Fall/manual_strategy/plot_Indicator_BB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035" cy="2492018"/>
                    </a:xfrm>
                    <a:prstGeom prst="rect">
                      <a:avLst/>
                    </a:prstGeom>
                    <a:noFill/>
                    <a:ln>
                      <a:noFill/>
                    </a:ln>
                  </pic:spPr>
                </pic:pic>
              </a:graphicData>
            </a:graphic>
          </wp:inline>
        </w:drawing>
      </w:r>
    </w:p>
    <w:p w14:paraId="5876D205" w14:textId="77777777" w:rsidR="004914C4" w:rsidRDefault="004914C4" w:rsidP="00F20412">
      <w:pPr>
        <w:rPr>
          <w:sz w:val="22"/>
          <w:szCs w:val="22"/>
        </w:rPr>
      </w:pPr>
    </w:p>
    <w:p w14:paraId="09DE2B20" w14:textId="2550BD22" w:rsidR="00612FBC" w:rsidRDefault="00612FBC" w:rsidP="00F20412">
      <w:pPr>
        <w:rPr>
          <w:sz w:val="22"/>
          <w:szCs w:val="22"/>
        </w:rPr>
      </w:pPr>
      <w:r w:rsidRPr="00612FBC">
        <w:rPr>
          <w:b/>
          <w:sz w:val="22"/>
          <w:szCs w:val="22"/>
        </w:rPr>
        <w:t>RSI</w:t>
      </w:r>
      <w:r>
        <w:rPr>
          <w:sz w:val="22"/>
          <w:szCs w:val="22"/>
        </w:rPr>
        <w:t>:</w:t>
      </w:r>
    </w:p>
    <w:p w14:paraId="6BAB3F0B" w14:textId="0044E4E5" w:rsidR="004F6D41" w:rsidRDefault="00612FBC" w:rsidP="00F20412">
      <w:pPr>
        <w:rPr>
          <w:sz w:val="22"/>
          <w:szCs w:val="22"/>
        </w:rPr>
      </w:pPr>
      <w:r>
        <w:rPr>
          <w:sz w:val="22"/>
          <w:szCs w:val="22"/>
        </w:rPr>
        <w:tab/>
      </w:r>
      <w:r w:rsidR="000A2052">
        <w:rPr>
          <w:sz w:val="22"/>
          <w:szCs w:val="22"/>
        </w:rPr>
        <w:t xml:space="preserve">The RSI is </w:t>
      </w:r>
      <w:r w:rsidR="00565DEB">
        <w:rPr>
          <w:sz w:val="22"/>
          <w:szCs w:val="22"/>
        </w:rPr>
        <w:t>related to</w:t>
      </w:r>
      <w:r w:rsidR="000A2052">
        <w:rPr>
          <w:sz w:val="22"/>
          <w:szCs w:val="22"/>
        </w:rPr>
        <w:t xml:space="preserve"> the relative strength (RS). </w:t>
      </w:r>
      <w:r w:rsidR="000E51E5">
        <w:rPr>
          <w:sz w:val="22"/>
          <w:szCs w:val="22"/>
        </w:rPr>
        <w:t>The</w:t>
      </w:r>
      <w:r>
        <w:rPr>
          <w:sz w:val="22"/>
          <w:szCs w:val="22"/>
        </w:rPr>
        <w:t xml:space="preserve"> </w:t>
      </w:r>
      <w:r w:rsidR="000A2052">
        <w:rPr>
          <w:sz w:val="22"/>
          <w:szCs w:val="22"/>
        </w:rPr>
        <w:t>RS</w:t>
      </w:r>
      <w:r w:rsidR="00CB24AD">
        <w:rPr>
          <w:sz w:val="22"/>
          <w:szCs w:val="22"/>
        </w:rPr>
        <w:t xml:space="preserve"> is</w:t>
      </w:r>
      <w:r>
        <w:rPr>
          <w:sz w:val="22"/>
          <w:szCs w:val="22"/>
        </w:rPr>
        <w:t xml:space="preserve"> the </w:t>
      </w:r>
      <w:r w:rsidR="000E51E5">
        <w:rPr>
          <w:sz w:val="22"/>
          <w:szCs w:val="22"/>
        </w:rPr>
        <w:t xml:space="preserve">ratio of the </w:t>
      </w:r>
      <w:r w:rsidR="00E06873">
        <w:rPr>
          <w:sz w:val="22"/>
          <w:szCs w:val="22"/>
        </w:rPr>
        <w:t>average</w:t>
      </w:r>
      <w:r>
        <w:rPr>
          <w:sz w:val="22"/>
          <w:szCs w:val="22"/>
        </w:rPr>
        <w:t xml:space="preserve"> </w:t>
      </w:r>
      <w:r w:rsidR="00CE59B0">
        <w:rPr>
          <w:sz w:val="22"/>
          <w:szCs w:val="22"/>
        </w:rPr>
        <w:t xml:space="preserve">upward </w:t>
      </w:r>
      <w:r w:rsidR="00333363">
        <w:rPr>
          <w:sz w:val="22"/>
          <w:szCs w:val="22"/>
        </w:rPr>
        <w:t xml:space="preserve">price </w:t>
      </w:r>
      <w:r w:rsidR="00CE59B0">
        <w:rPr>
          <w:sz w:val="22"/>
          <w:szCs w:val="22"/>
        </w:rPr>
        <w:t xml:space="preserve">change in the lookback period, </w:t>
      </w:r>
      <w:r w:rsidR="000E51E5">
        <w:rPr>
          <w:sz w:val="22"/>
          <w:szCs w:val="22"/>
        </w:rPr>
        <w:t xml:space="preserve">to the </w:t>
      </w:r>
      <w:r w:rsidR="00E06873">
        <w:rPr>
          <w:sz w:val="22"/>
          <w:szCs w:val="22"/>
        </w:rPr>
        <w:t>average</w:t>
      </w:r>
      <w:r w:rsidR="000E51E5">
        <w:rPr>
          <w:sz w:val="22"/>
          <w:szCs w:val="22"/>
        </w:rPr>
        <w:t xml:space="preserve"> </w:t>
      </w:r>
      <w:r w:rsidR="00CE59B0">
        <w:rPr>
          <w:sz w:val="22"/>
          <w:szCs w:val="22"/>
        </w:rPr>
        <w:t xml:space="preserve">downward </w:t>
      </w:r>
      <w:r w:rsidR="00333363">
        <w:rPr>
          <w:sz w:val="22"/>
          <w:szCs w:val="22"/>
        </w:rPr>
        <w:t xml:space="preserve">price </w:t>
      </w:r>
      <w:r w:rsidR="00CE59B0">
        <w:rPr>
          <w:sz w:val="22"/>
          <w:szCs w:val="22"/>
        </w:rPr>
        <w:t xml:space="preserve">change </w:t>
      </w:r>
      <w:r w:rsidR="00333363">
        <w:rPr>
          <w:sz w:val="22"/>
          <w:szCs w:val="22"/>
        </w:rPr>
        <w:t>in</w:t>
      </w:r>
      <w:r w:rsidR="000E51E5">
        <w:rPr>
          <w:sz w:val="22"/>
          <w:szCs w:val="22"/>
        </w:rPr>
        <w:t xml:space="preserve"> the lookback</w:t>
      </w:r>
      <w:r w:rsidR="00CE59B0">
        <w:rPr>
          <w:sz w:val="22"/>
          <w:szCs w:val="22"/>
        </w:rPr>
        <w:t>.</w:t>
      </w:r>
      <w:r w:rsidR="000E51E5">
        <w:rPr>
          <w:sz w:val="22"/>
          <w:szCs w:val="22"/>
        </w:rPr>
        <w:t xml:space="preserve"> </w:t>
      </w:r>
      <w:r w:rsidR="00CE59B0">
        <w:rPr>
          <w:sz w:val="22"/>
          <w:szCs w:val="22"/>
        </w:rPr>
        <w:t xml:space="preserve">Note the up- and downward changes refer to the magnitude </w:t>
      </w:r>
      <w:r w:rsidR="00313317">
        <w:rPr>
          <w:sz w:val="22"/>
          <w:szCs w:val="22"/>
        </w:rPr>
        <w:t>without</w:t>
      </w:r>
      <w:r w:rsidR="00CE59B0">
        <w:rPr>
          <w:sz w:val="22"/>
          <w:szCs w:val="22"/>
        </w:rPr>
        <w:t xml:space="preserve"> the sign so </w:t>
      </w:r>
      <w:r w:rsidR="008F5777">
        <w:rPr>
          <w:sz w:val="22"/>
          <w:szCs w:val="22"/>
        </w:rPr>
        <w:t xml:space="preserve">both </w:t>
      </w:r>
      <w:r w:rsidR="00CE59B0">
        <w:rPr>
          <w:sz w:val="22"/>
          <w:szCs w:val="22"/>
        </w:rPr>
        <w:t>are positive value</w:t>
      </w:r>
      <w:r w:rsidR="00F16BE1">
        <w:rPr>
          <w:sz w:val="22"/>
          <w:szCs w:val="22"/>
        </w:rPr>
        <w:t>s</w:t>
      </w:r>
      <w:r w:rsidR="00CE59B0">
        <w:rPr>
          <w:sz w:val="22"/>
          <w:szCs w:val="22"/>
        </w:rPr>
        <w:t xml:space="preserve">. </w:t>
      </w:r>
      <w:r w:rsidR="00CB24AD">
        <w:rPr>
          <w:sz w:val="22"/>
          <w:szCs w:val="22"/>
        </w:rPr>
        <w:t xml:space="preserve">The RSI is then calculated </w:t>
      </w:r>
      <w:r w:rsidR="00E06873">
        <w:rPr>
          <w:sz w:val="22"/>
          <w:szCs w:val="22"/>
        </w:rPr>
        <w:t>as 100 – 100/(1+RS), which</w:t>
      </w:r>
      <w:r w:rsidR="00CE59B0">
        <w:rPr>
          <w:sz w:val="22"/>
          <w:szCs w:val="22"/>
        </w:rPr>
        <w:t xml:space="preserve"> is</w:t>
      </w:r>
      <w:r w:rsidR="00E06873">
        <w:rPr>
          <w:sz w:val="22"/>
          <w:szCs w:val="22"/>
        </w:rPr>
        <w:t xml:space="preserve"> </w:t>
      </w:r>
      <w:r w:rsidR="00CE59B0">
        <w:rPr>
          <w:sz w:val="22"/>
          <w:szCs w:val="22"/>
        </w:rPr>
        <w:t xml:space="preserve">essentially the </w:t>
      </w:r>
      <w:r w:rsidR="006A6463">
        <w:rPr>
          <w:sz w:val="22"/>
          <w:szCs w:val="22"/>
        </w:rPr>
        <w:t>percentage</w:t>
      </w:r>
      <w:r w:rsidR="00CE59B0">
        <w:rPr>
          <w:sz w:val="22"/>
          <w:szCs w:val="22"/>
        </w:rPr>
        <w:t xml:space="preserve"> of the upward change </w:t>
      </w:r>
      <w:r w:rsidR="006A6463">
        <w:rPr>
          <w:sz w:val="22"/>
          <w:szCs w:val="22"/>
        </w:rPr>
        <w:t>with respect to</w:t>
      </w:r>
      <w:r w:rsidR="00CE59B0">
        <w:rPr>
          <w:sz w:val="22"/>
          <w:szCs w:val="22"/>
        </w:rPr>
        <w:t xml:space="preserve"> the </w:t>
      </w:r>
      <w:r w:rsidR="006A6463">
        <w:rPr>
          <w:sz w:val="22"/>
          <w:szCs w:val="22"/>
        </w:rPr>
        <w:t xml:space="preserve">total of </w:t>
      </w:r>
      <w:r w:rsidR="00B73A46">
        <w:rPr>
          <w:sz w:val="22"/>
          <w:szCs w:val="22"/>
        </w:rPr>
        <w:t>the up- and downward</w:t>
      </w:r>
      <w:r w:rsidR="00CE59B0">
        <w:rPr>
          <w:sz w:val="22"/>
          <w:szCs w:val="22"/>
        </w:rPr>
        <w:t xml:space="preserve"> </w:t>
      </w:r>
      <w:r w:rsidR="006A6463">
        <w:rPr>
          <w:sz w:val="22"/>
          <w:szCs w:val="22"/>
        </w:rPr>
        <w:t>changes.</w:t>
      </w:r>
      <w:r w:rsidR="004F6D41">
        <w:rPr>
          <w:sz w:val="22"/>
          <w:szCs w:val="22"/>
        </w:rPr>
        <w:t xml:space="preserve"> </w:t>
      </w:r>
      <w:r w:rsidR="00885FA6">
        <w:rPr>
          <w:sz w:val="22"/>
          <w:szCs w:val="22"/>
        </w:rPr>
        <w:t xml:space="preserve">RSI is a useful indicator of the price trend. </w:t>
      </w:r>
      <w:r w:rsidR="00A428B3">
        <w:rPr>
          <w:sz w:val="22"/>
          <w:szCs w:val="22"/>
        </w:rPr>
        <w:t xml:space="preserve">Figure 3 shows the RSI curve of the JPM stock from Jan 2008 to Dec 2009 with a look back window of 20 days. </w:t>
      </w:r>
      <w:r w:rsidR="004F6D41">
        <w:rPr>
          <w:sz w:val="22"/>
          <w:szCs w:val="22"/>
        </w:rPr>
        <w:t xml:space="preserve">We can see that </w:t>
      </w:r>
      <w:r w:rsidR="00A428B3">
        <w:rPr>
          <w:sz w:val="22"/>
          <w:szCs w:val="22"/>
        </w:rPr>
        <w:t>low and the RSI oscillates between low and high accompanying down and up trend of the price</w:t>
      </w:r>
      <w:r w:rsidR="00885FA6">
        <w:rPr>
          <w:sz w:val="22"/>
          <w:szCs w:val="22"/>
        </w:rPr>
        <w:t>, respectively.</w:t>
      </w:r>
    </w:p>
    <w:p w14:paraId="25749127" w14:textId="34F7282C" w:rsidR="00612FBC" w:rsidRDefault="006A6463" w:rsidP="00CD5BAE">
      <w:pPr>
        <w:ind w:firstLine="720"/>
        <w:rPr>
          <w:sz w:val="22"/>
          <w:szCs w:val="22"/>
        </w:rPr>
      </w:pPr>
      <w:r>
        <w:rPr>
          <w:sz w:val="22"/>
          <w:szCs w:val="22"/>
        </w:rPr>
        <w:t xml:space="preserve"> </w:t>
      </w:r>
      <w:r w:rsidR="004F6D41">
        <w:rPr>
          <w:noProof/>
          <w:sz w:val="22"/>
          <w:szCs w:val="22"/>
        </w:rPr>
        <w:drawing>
          <wp:inline distT="0" distB="0" distL="0" distR="0" wp14:anchorId="0DC80FA3" wp14:editId="557A34EC">
            <wp:extent cx="5163404" cy="2581702"/>
            <wp:effectExtent l="0" t="0" r="0" b="9525"/>
            <wp:docPr id="3" name="Picture 3" descr="../../ML4T_2017Fall/manual_strategy/plot_Indicator_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4T_2017Fall/manual_strategy/plot_Indicator_R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7722" cy="2588861"/>
                    </a:xfrm>
                    <a:prstGeom prst="rect">
                      <a:avLst/>
                    </a:prstGeom>
                    <a:noFill/>
                    <a:ln>
                      <a:noFill/>
                    </a:ln>
                  </pic:spPr>
                </pic:pic>
              </a:graphicData>
            </a:graphic>
          </wp:inline>
        </w:drawing>
      </w:r>
      <w:r w:rsidR="004F6D41">
        <w:rPr>
          <w:sz w:val="22"/>
          <w:szCs w:val="22"/>
        </w:rPr>
        <w:t xml:space="preserve"> </w:t>
      </w:r>
    </w:p>
    <w:p w14:paraId="0071C382" w14:textId="77777777" w:rsidR="00EB302E" w:rsidRDefault="00EB302E" w:rsidP="00F20412">
      <w:pPr>
        <w:rPr>
          <w:sz w:val="22"/>
          <w:szCs w:val="22"/>
        </w:rPr>
      </w:pPr>
    </w:p>
    <w:p w14:paraId="1A3A6076" w14:textId="49ACACE6" w:rsidR="00EB302E" w:rsidRPr="00EB302E" w:rsidRDefault="00EB302E" w:rsidP="00F20412">
      <w:pPr>
        <w:rPr>
          <w:b/>
          <w:sz w:val="22"/>
          <w:szCs w:val="22"/>
        </w:rPr>
      </w:pPr>
      <w:r w:rsidRPr="00EB302E">
        <w:rPr>
          <w:b/>
          <w:sz w:val="22"/>
          <w:szCs w:val="22"/>
        </w:rPr>
        <w:t>Momentum:</w:t>
      </w:r>
    </w:p>
    <w:p w14:paraId="4C934AE2" w14:textId="4618FD7E" w:rsidR="00EB302E" w:rsidRDefault="00EB302E" w:rsidP="00F20412">
      <w:pPr>
        <w:rPr>
          <w:rFonts w:eastAsiaTheme="minorEastAsia"/>
          <w:sz w:val="22"/>
          <w:szCs w:val="22"/>
        </w:rPr>
      </w:pPr>
      <w:r>
        <w:rPr>
          <w:sz w:val="22"/>
          <w:szCs w:val="22"/>
        </w:rPr>
        <w:tab/>
      </w:r>
      <w:r w:rsidR="00CA63B0">
        <w:rPr>
          <w:sz w:val="22"/>
          <w:szCs w:val="22"/>
        </w:rPr>
        <w:t xml:space="preserve">Momentum is computed as the percentage price change at the current date </w:t>
      </w:r>
      <m:oMath>
        <m:r>
          <w:rPr>
            <w:rFonts w:ascii="Cambria Math" w:hAnsi="Cambria Math"/>
            <w:sz w:val="22"/>
            <w:szCs w:val="22"/>
          </w:rPr>
          <m:t>t</m:t>
        </m:r>
      </m:oMath>
      <w:r w:rsidR="00CA63B0">
        <w:rPr>
          <w:sz w:val="22"/>
          <w:szCs w:val="22"/>
        </w:rPr>
        <w:t xml:space="preserve"> relative to the previous date </w:t>
      </w:r>
      <m:oMath>
        <m:r>
          <w:rPr>
            <w:rFonts w:ascii="Cambria Math" w:hAnsi="Cambria Math"/>
            <w:sz w:val="22"/>
            <w:szCs w:val="22"/>
          </w:rPr>
          <m:t>t-n</m:t>
        </m:r>
      </m:oMath>
      <w:r w:rsidR="00F066C9">
        <w:rPr>
          <w:rFonts w:eastAsiaTheme="minorEastAsia"/>
          <w:sz w:val="22"/>
          <w:szCs w:val="22"/>
        </w:rPr>
        <w:t xml:space="preserve">, i.e. </w:t>
      </w:r>
      <m:oMath>
        <m:f>
          <m:fPr>
            <m:ctrlPr>
              <w:rPr>
                <w:rFonts w:ascii="Cambria Math" w:eastAsiaTheme="minorEastAsia" w:hAnsi="Cambria Math"/>
                <w:i/>
                <w:sz w:val="22"/>
                <w:szCs w:val="22"/>
              </w:rPr>
            </m:ctrlPr>
          </m:fPr>
          <m:num>
            <m:r>
              <w:rPr>
                <w:rFonts w:ascii="Cambria Math" w:eastAsiaTheme="minorEastAsia" w:hAnsi="Cambria Math"/>
                <w:sz w:val="22"/>
                <w:szCs w:val="22"/>
              </w:rPr>
              <m:t>price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t</m:t>
                </m:r>
              </m:e>
            </m:d>
          </m:num>
          <m:den>
            <m:r>
              <w:rPr>
                <w:rFonts w:ascii="Cambria Math" w:eastAsiaTheme="minorEastAsia" w:hAnsi="Cambria Math"/>
                <w:sz w:val="22"/>
                <w:szCs w:val="22"/>
              </w:rPr>
              <m:t>price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t-n</m:t>
                </m:r>
              </m:e>
            </m:d>
          </m:den>
        </m:f>
        <m:r>
          <w:rPr>
            <w:rFonts w:ascii="Cambria Math" w:eastAsiaTheme="minorEastAsia" w:hAnsi="Cambria Math"/>
            <w:sz w:val="22"/>
            <w:szCs w:val="22"/>
          </w:rPr>
          <m:t>-1</m:t>
        </m:r>
      </m:oMath>
      <w:r w:rsidR="00F066C9">
        <w:rPr>
          <w:rFonts w:eastAsiaTheme="minorEastAsia"/>
          <w:sz w:val="22"/>
          <w:szCs w:val="22"/>
        </w:rPr>
        <w:t xml:space="preserve">, where </w:t>
      </w:r>
      <m:oMath>
        <m:r>
          <w:rPr>
            <w:rFonts w:ascii="Cambria Math" w:eastAsiaTheme="minorEastAsia" w:hAnsi="Cambria Math"/>
            <w:sz w:val="22"/>
            <w:szCs w:val="22"/>
          </w:rPr>
          <m:t>n</m:t>
        </m:r>
      </m:oMath>
      <w:r w:rsidR="00F066C9">
        <w:rPr>
          <w:rFonts w:eastAsiaTheme="minorEastAsia"/>
          <w:sz w:val="22"/>
          <w:szCs w:val="22"/>
        </w:rPr>
        <w:t xml:space="preserve"> is the lookback window size</w:t>
      </w:r>
      <w:r w:rsidR="00CA63B0">
        <w:rPr>
          <w:rFonts w:eastAsiaTheme="minorEastAsia"/>
          <w:sz w:val="22"/>
          <w:szCs w:val="22"/>
        </w:rPr>
        <w:t xml:space="preserve">. </w:t>
      </w:r>
      <w:r w:rsidR="009A08EA">
        <w:rPr>
          <w:rFonts w:eastAsiaTheme="minorEastAsia"/>
          <w:sz w:val="22"/>
          <w:szCs w:val="22"/>
        </w:rPr>
        <w:t xml:space="preserve">It is a measurement of how strong the price trend is. </w:t>
      </w:r>
      <w:r w:rsidR="008D6A7C">
        <w:rPr>
          <w:rFonts w:eastAsiaTheme="minorEastAsia"/>
          <w:sz w:val="22"/>
          <w:szCs w:val="22"/>
        </w:rPr>
        <w:t>In this project</w:t>
      </w:r>
      <w:r w:rsidR="00052D14">
        <w:rPr>
          <w:rFonts w:eastAsiaTheme="minorEastAsia"/>
          <w:sz w:val="22"/>
          <w:szCs w:val="22"/>
        </w:rPr>
        <w:t>,</w:t>
      </w:r>
      <w:r w:rsidR="008D6A7C">
        <w:rPr>
          <w:rFonts w:eastAsiaTheme="minorEastAsia"/>
          <w:sz w:val="22"/>
          <w:szCs w:val="22"/>
        </w:rPr>
        <w:t xml:space="preserve"> we combine the momentum with the SMA-</w:t>
      </w:r>
      <w:r w:rsidR="00052D14">
        <w:rPr>
          <w:rFonts w:eastAsiaTheme="minorEastAsia"/>
          <w:sz w:val="22"/>
          <w:szCs w:val="22"/>
        </w:rPr>
        <w:t>price cross</w:t>
      </w:r>
      <w:r w:rsidR="008D6A7C">
        <w:rPr>
          <w:rFonts w:eastAsiaTheme="minorEastAsia"/>
          <w:sz w:val="22"/>
          <w:szCs w:val="22"/>
        </w:rPr>
        <w:t xml:space="preserve">over to identify more robust changes in the price trend. </w:t>
      </w:r>
      <w:r w:rsidR="00F066C9">
        <w:rPr>
          <w:rFonts w:eastAsiaTheme="minorEastAsia"/>
          <w:sz w:val="22"/>
          <w:szCs w:val="22"/>
        </w:rPr>
        <w:t xml:space="preserve">The momentum </w:t>
      </w:r>
      <w:r w:rsidR="00B55D24">
        <w:rPr>
          <w:rFonts w:eastAsiaTheme="minorEastAsia"/>
          <w:sz w:val="22"/>
          <w:szCs w:val="22"/>
        </w:rPr>
        <w:t xml:space="preserve">of JPM with 40-day lookback period </w:t>
      </w:r>
      <w:r w:rsidR="00F066C9">
        <w:rPr>
          <w:rFonts w:eastAsiaTheme="minorEastAsia"/>
          <w:sz w:val="22"/>
          <w:szCs w:val="22"/>
        </w:rPr>
        <w:t>from January 2008 to December 2009 is shown in Figure 4</w:t>
      </w:r>
      <w:r w:rsidR="008D6A7C">
        <w:rPr>
          <w:rFonts w:eastAsiaTheme="minorEastAsia"/>
          <w:sz w:val="22"/>
          <w:szCs w:val="22"/>
        </w:rPr>
        <w:t xml:space="preserve">. Note that the momentum is near 0 when the price merely oscillates </w:t>
      </w:r>
      <w:r w:rsidR="00BF68E1">
        <w:rPr>
          <w:rFonts w:eastAsiaTheme="minorEastAsia"/>
          <w:sz w:val="22"/>
          <w:szCs w:val="22"/>
        </w:rPr>
        <w:t xml:space="preserve">but </w:t>
      </w:r>
      <w:r w:rsidR="008D6A7C">
        <w:rPr>
          <w:rFonts w:eastAsiaTheme="minorEastAsia"/>
          <w:sz w:val="22"/>
          <w:szCs w:val="22"/>
        </w:rPr>
        <w:t xml:space="preserve">without a significant </w:t>
      </w:r>
      <w:r w:rsidR="00E34766">
        <w:rPr>
          <w:rFonts w:eastAsiaTheme="minorEastAsia"/>
          <w:sz w:val="22"/>
          <w:szCs w:val="22"/>
        </w:rPr>
        <w:t xml:space="preserve">trend, for instance, </w:t>
      </w:r>
      <w:r w:rsidR="00B03273">
        <w:rPr>
          <w:rFonts w:eastAsiaTheme="minorEastAsia"/>
          <w:sz w:val="22"/>
          <w:szCs w:val="22"/>
        </w:rPr>
        <w:t xml:space="preserve">March to April and </w:t>
      </w:r>
      <w:r w:rsidR="00272319">
        <w:rPr>
          <w:rFonts w:eastAsiaTheme="minorEastAsia"/>
          <w:sz w:val="22"/>
          <w:szCs w:val="22"/>
        </w:rPr>
        <w:t>mid-</w:t>
      </w:r>
      <w:r w:rsidR="00B03273">
        <w:rPr>
          <w:rFonts w:eastAsiaTheme="minorEastAsia"/>
          <w:sz w:val="22"/>
          <w:szCs w:val="22"/>
        </w:rPr>
        <w:t xml:space="preserve">July to </w:t>
      </w:r>
      <w:r w:rsidR="00272319">
        <w:rPr>
          <w:rFonts w:eastAsiaTheme="minorEastAsia"/>
          <w:sz w:val="22"/>
          <w:szCs w:val="22"/>
        </w:rPr>
        <w:t>mid-</w:t>
      </w:r>
      <w:r w:rsidR="00B03273">
        <w:rPr>
          <w:rFonts w:eastAsiaTheme="minorEastAsia"/>
          <w:sz w:val="22"/>
          <w:szCs w:val="22"/>
        </w:rPr>
        <w:t>August</w:t>
      </w:r>
      <w:r w:rsidR="00052D14">
        <w:rPr>
          <w:rFonts w:eastAsiaTheme="minorEastAsia"/>
          <w:sz w:val="22"/>
          <w:szCs w:val="22"/>
        </w:rPr>
        <w:t xml:space="preserve"> in 2008</w:t>
      </w:r>
      <w:r w:rsidR="00BF68E1">
        <w:rPr>
          <w:rFonts w:eastAsiaTheme="minorEastAsia"/>
          <w:sz w:val="22"/>
          <w:szCs w:val="22"/>
        </w:rPr>
        <w:t xml:space="preserve">. </w:t>
      </w:r>
      <w:r w:rsidR="00E34766">
        <w:rPr>
          <w:rFonts w:eastAsiaTheme="minorEastAsia"/>
          <w:sz w:val="22"/>
          <w:szCs w:val="22"/>
        </w:rPr>
        <w:t xml:space="preserve">In contrast, </w:t>
      </w:r>
      <w:r w:rsidR="0084789F">
        <w:rPr>
          <w:rFonts w:eastAsiaTheme="minorEastAsia"/>
          <w:sz w:val="22"/>
          <w:szCs w:val="22"/>
        </w:rPr>
        <w:t>large</w:t>
      </w:r>
      <w:r w:rsidR="00E34766">
        <w:rPr>
          <w:rFonts w:eastAsiaTheme="minorEastAsia"/>
          <w:sz w:val="22"/>
          <w:szCs w:val="22"/>
        </w:rPr>
        <w:t xml:space="preserve"> momentums </w:t>
      </w:r>
      <w:r w:rsidR="00083E96">
        <w:rPr>
          <w:rFonts w:eastAsiaTheme="minorEastAsia"/>
          <w:sz w:val="22"/>
          <w:szCs w:val="22"/>
        </w:rPr>
        <w:t>tend to coincide with the transition of the</w:t>
      </w:r>
      <w:r w:rsidR="00B00AB1">
        <w:rPr>
          <w:rFonts w:eastAsiaTheme="minorEastAsia"/>
          <w:sz w:val="22"/>
          <w:szCs w:val="22"/>
        </w:rPr>
        <w:t xml:space="preserve"> significant price trend, like </w:t>
      </w:r>
      <w:r w:rsidR="00083E96">
        <w:rPr>
          <w:rFonts w:eastAsiaTheme="minorEastAsia"/>
          <w:sz w:val="22"/>
          <w:szCs w:val="22"/>
        </w:rPr>
        <w:t xml:space="preserve">the price reversal in </w:t>
      </w:r>
      <w:r w:rsidR="00B00AB1">
        <w:rPr>
          <w:rFonts w:eastAsiaTheme="minorEastAsia"/>
          <w:sz w:val="22"/>
          <w:szCs w:val="22"/>
        </w:rPr>
        <w:t>May,</w:t>
      </w:r>
      <w:r w:rsidR="00083E96">
        <w:rPr>
          <w:rFonts w:eastAsiaTheme="minorEastAsia"/>
          <w:sz w:val="22"/>
          <w:szCs w:val="22"/>
        </w:rPr>
        <w:t xml:space="preserve"> early July,</w:t>
      </w:r>
      <w:r w:rsidR="00B00AB1">
        <w:rPr>
          <w:rFonts w:eastAsiaTheme="minorEastAsia"/>
          <w:sz w:val="22"/>
          <w:szCs w:val="22"/>
        </w:rPr>
        <w:t xml:space="preserve"> September</w:t>
      </w:r>
      <w:r w:rsidR="00083E96">
        <w:rPr>
          <w:rFonts w:eastAsiaTheme="minorEastAsia"/>
          <w:sz w:val="22"/>
          <w:szCs w:val="22"/>
        </w:rPr>
        <w:t xml:space="preserve"> of</w:t>
      </w:r>
      <w:r w:rsidR="00B00AB1">
        <w:rPr>
          <w:rFonts w:eastAsiaTheme="minorEastAsia"/>
          <w:sz w:val="22"/>
          <w:szCs w:val="22"/>
        </w:rPr>
        <w:t xml:space="preserve"> 2008</w:t>
      </w:r>
      <w:r w:rsidR="00083E96">
        <w:rPr>
          <w:rFonts w:eastAsiaTheme="minorEastAsia"/>
          <w:sz w:val="22"/>
          <w:szCs w:val="22"/>
        </w:rPr>
        <w:t xml:space="preserve">, and in March, May, September of 2009. </w:t>
      </w:r>
      <w:r w:rsidR="00052D14">
        <w:rPr>
          <w:rFonts w:eastAsiaTheme="minorEastAsia"/>
          <w:sz w:val="22"/>
          <w:szCs w:val="22"/>
        </w:rPr>
        <w:t xml:space="preserve">Thus, the momentum can help </w:t>
      </w:r>
      <w:r w:rsidR="00A53653">
        <w:rPr>
          <w:rFonts w:eastAsiaTheme="minorEastAsia"/>
          <w:sz w:val="22"/>
          <w:szCs w:val="22"/>
        </w:rPr>
        <w:t xml:space="preserve">distinguish the random price oscillations from potentially real price reversal at the </w:t>
      </w:r>
      <w:r w:rsidR="00052D14">
        <w:rPr>
          <w:rFonts w:eastAsiaTheme="minorEastAsia"/>
          <w:sz w:val="22"/>
          <w:szCs w:val="22"/>
        </w:rPr>
        <w:t>SMA-price crossovers</w:t>
      </w:r>
      <w:r w:rsidR="00A53653">
        <w:rPr>
          <w:rFonts w:eastAsiaTheme="minorEastAsia"/>
          <w:sz w:val="22"/>
          <w:szCs w:val="22"/>
        </w:rPr>
        <w:t>.</w:t>
      </w:r>
      <w:r w:rsidR="00052D14">
        <w:rPr>
          <w:rFonts w:eastAsiaTheme="minorEastAsia"/>
          <w:sz w:val="22"/>
          <w:szCs w:val="22"/>
        </w:rPr>
        <w:t xml:space="preserve"> </w:t>
      </w:r>
    </w:p>
    <w:p w14:paraId="6D17A0B4" w14:textId="0451FDB3" w:rsidR="00F066C9" w:rsidRPr="00F066C9" w:rsidRDefault="00F066C9" w:rsidP="00CD5BAE">
      <w:pPr>
        <w:ind w:firstLine="720"/>
        <w:rPr>
          <w:rFonts w:eastAsiaTheme="minorEastAsia"/>
          <w:sz w:val="22"/>
          <w:szCs w:val="22"/>
        </w:rPr>
      </w:pPr>
      <w:r>
        <w:rPr>
          <w:rFonts w:eastAsiaTheme="minorEastAsia"/>
          <w:noProof/>
          <w:sz w:val="22"/>
          <w:szCs w:val="22"/>
        </w:rPr>
        <w:drawing>
          <wp:inline distT="0" distB="0" distL="0" distR="0" wp14:anchorId="5D6BCF12" wp14:editId="4B99E551">
            <wp:extent cx="5080635" cy="2540318"/>
            <wp:effectExtent l="0" t="0" r="0" b="0"/>
            <wp:docPr id="5" name="Picture 5" descr="../../ML4T_2017Fall/manual_strategy/plot_Indicator_Moment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4T_2017Fall/manual_strategy/plot_Indicator_Moment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397" cy="2542199"/>
                    </a:xfrm>
                    <a:prstGeom prst="rect">
                      <a:avLst/>
                    </a:prstGeom>
                    <a:noFill/>
                    <a:ln>
                      <a:noFill/>
                    </a:ln>
                  </pic:spPr>
                </pic:pic>
              </a:graphicData>
            </a:graphic>
          </wp:inline>
        </w:drawing>
      </w:r>
    </w:p>
    <w:p w14:paraId="1502BE71" w14:textId="1D5D6A2A" w:rsidR="00612FBC" w:rsidRDefault="00CD5BAE" w:rsidP="00F20412">
      <w:pPr>
        <w:rPr>
          <w:sz w:val="22"/>
          <w:szCs w:val="22"/>
        </w:rPr>
      </w:pPr>
      <w:r>
        <w:rPr>
          <w:sz w:val="22"/>
          <w:szCs w:val="22"/>
        </w:rPr>
        <w:tab/>
      </w:r>
    </w:p>
    <w:p w14:paraId="1144282F" w14:textId="11230A9F" w:rsidR="00F40770" w:rsidRPr="00F40770" w:rsidRDefault="002026B1" w:rsidP="00F20412">
      <w:pPr>
        <w:rPr>
          <w:b/>
          <w:sz w:val="22"/>
          <w:szCs w:val="22"/>
        </w:rPr>
      </w:pPr>
      <w:r>
        <w:rPr>
          <w:b/>
          <w:sz w:val="22"/>
          <w:szCs w:val="22"/>
        </w:rPr>
        <w:t xml:space="preserve">(relative) </w:t>
      </w:r>
      <w:r w:rsidR="00864974">
        <w:rPr>
          <w:b/>
          <w:sz w:val="22"/>
          <w:szCs w:val="22"/>
        </w:rPr>
        <w:t>Moving Standard Deviation</w:t>
      </w:r>
      <w:r w:rsidR="00F40770" w:rsidRPr="00F40770">
        <w:rPr>
          <w:b/>
          <w:sz w:val="22"/>
          <w:szCs w:val="22"/>
        </w:rPr>
        <w:t>:</w:t>
      </w:r>
    </w:p>
    <w:p w14:paraId="14A83756" w14:textId="77EEC08B" w:rsidR="00F11D5A" w:rsidRDefault="00F40770" w:rsidP="00F20412">
      <w:pPr>
        <w:rPr>
          <w:sz w:val="22"/>
          <w:szCs w:val="22"/>
        </w:rPr>
      </w:pPr>
      <w:r>
        <w:rPr>
          <w:sz w:val="22"/>
          <w:szCs w:val="22"/>
        </w:rPr>
        <w:tab/>
        <w:t xml:space="preserve">The </w:t>
      </w:r>
      <w:r w:rsidR="00864974">
        <w:rPr>
          <w:sz w:val="22"/>
          <w:szCs w:val="22"/>
        </w:rPr>
        <w:t>moving standard deviation</w:t>
      </w:r>
      <w:r>
        <w:rPr>
          <w:sz w:val="22"/>
          <w:szCs w:val="22"/>
        </w:rPr>
        <w:t xml:space="preserve"> is the </w:t>
      </w:r>
      <w:r w:rsidR="00864974">
        <w:rPr>
          <w:sz w:val="22"/>
          <w:szCs w:val="22"/>
        </w:rPr>
        <w:t xml:space="preserve">same </w:t>
      </w:r>
      <w:r>
        <w:rPr>
          <w:sz w:val="22"/>
          <w:szCs w:val="22"/>
        </w:rPr>
        <w:t xml:space="preserve">standard deviation of the price over the rolling lookback window (SV) used in the %BB calculation. </w:t>
      </w:r>
      <w:r w:rsidR="003F384E">
        <w:rPr>
          <w:sz w:val="22"/>
          <w:szCs w:val="22"/>
        </w:rPr>
        <w:t>Note that</w:t>
      </w:r>
      <w:r w:rsidR="00EE31E7">
        <w:rPr>
          <w:sz w:val="22"/>
          <w:szCs w:val="22"/>
        </w:rPr>
        <w:t>,</w:t>
      </w:r>
      <w:r w:rsidR="003F384E">
        <w:rPr>
          <w:sz w:val="22"/>
          <w:szCs w:val="22"/>
        </w:rPr>
        <w:t xml:space="preserve"> in general</w:t>
      </w:r>
      <w:r w:rsidR="00EE31E7">
        <w:rPr>
          <w:sz w:val="22"/>
          <w:szCs w:val="22"/>
        </w:rPr>
        <w:t>,</w:t>
      </w:r>
      <w:r w:rsidR="003F384E">
        <w:rPr>
          <w:sz w:val="22"/>
          <w:szCs w:val="22"/>
        </w:rPr>
        <w:t xml:space="preserve"> the </w:t>
      </w:r>
      <w:r w:rsidR="00EE31E7">
        <w:rPr>
          <w:sz w:val="22"/>
          <w:szCs w:val="22"/>
        </w:rPr>
        <w:t xml:space="preserve">magnitude of the </w:t>
      </w:r>
      <w:r w:rsidR="00864974">
        <w:rPr>
          <w:sz w:val="22"/>
          <w:szCs w:val="22"/>
        </w:rPr>
        <w:t xml:space="preserve">moving standard deviation </w:t>
      </w:r>
      <w:r w:rsidR="00EE31E7">
        <w:rPr>
          <w:sz w:val="22"/>
          <w:szCs w:val="22"/>
        </w:rPr>
        <w:t xml:space="preserve">is not independent of the price value but rather </w:t>
      </w:r>
      <w:r w:rsidR="003F384E">
        <w:rPr>
          <w:sz w:val="22"/>
          <w:szCs w:val="22"/>
        </w:rPr>
        <w:t xml:space="preserve">correlates positively with </w:t>
      </w:r>
      <w:r w:rsidR="00EE31E7">
        <w:rPr>
          <w:sz w:val="22"/>
          <w:szCs w:val="22"/>
        </w:rPr>
        <w:t>it</w:t>
      </w:r>
      <w:r w:rsidR="003F384E">
        <w:rPr>
          <w:sz w:val="22"/>
          <w:szCs w:val="22"/>
        </w:rPr>
        <w:t xml:space="preserve">. </w:t>
      </w:r>
      <w:r w:rsidR="00EE31E7">
        <w:rPr>
          <w:sz w:val="22"/>
          <w:szCs w:val="22"/>
        </w:rPr>
        <w:t xml:space="preserve">Thus, </w:t>
      </w:r>
      <w:r w:rsidR="002026B1">
        <w:rPr>
          <w:sz w:val="22"/>
          <w:szCs w:val="22"/>
        </w:rPr>
        <w:t xml:space="preserve">we </w:t>
      </w:r>
      <w:r w:rsidR="000B5E42">
        <w:rPr>
          <w:sz w:val="22"/>
          <w:szCs w:val="22"/>
        </w:rPr>
        <w:t>further divide</w:t>
      </w:r>
      <w:r w:rsidR="002026B1">
        <w:rPr>
          <w:sz w:val="22"/>
          <w:szCs w:val="22"/>
        </w:rPr>
        <w:t xml:space="preserve"> </w:t>
      </w:r>
      <w:r w:rsidR="00130934">
        <w:rPr>
          <w:sz w:val="22"/>
          <w:szCs w:val="22"/>
        </w:rPr>
        <w:t>it</w:t>
      </w:r>
      <w:r w:rsidR="002026B1">
        <w:rPr>
          <w:sz w:val="22"/>
          <w:szCs w:val="22"/>
        </w:rPr>
        <w:t xml:space="preserve"> by </w:t>
      </w:r>
      <w:r w:rsidR="00130934">
        <w:rPr>
          <w:sz w:val="22"/>
          <w:szCs w:val="22"/>
        </w:rPr>
        <w:t>the</w:t>
      </w:r>
      <w:r w:rsidR="002026B1">
        <w:rPr>
          <w:sz w:val="22"/>
          <w:szCs w:val="22"/>
        </w:rPr>
        <w:t xml:space="preserve"> corresponding SMA </w:t>
      </w:r>
      <w:r w:rsidR="000B5E42">
        <w:rPr>
          <w:sz w:val="22"/>
          <w:szCs w:val="22"/>
        </w:rPr>
        <w:t>to remove the impact of the price value itself.</w:t>
      </w:r>
      <w:r w:rsidR="002026B1">
        <w:rPr>
          <w:sz w:val="22"/>
          <w:szCs w:val="22"/>
        </w:rPr>
        <w:t xml:space="preserve"> </w:t>
      </w:r>
      <w:r w:rsidR="000B5E42">
        <w:rPr>
          <w:sz w:val="22"/>
          <w:szCs w:val="22"/>
        </w:rPr>
        <w:t xml:space="preserve">The </w:t>
      </w:r>
      <w:r w:rsidR="002026B1">
        <w:rPr>
          <w:sz w:val="22"/>
          <w:szCs w:val="22"/>
        </w:rPr>
        <w:t xml:space="preserve">resulting relative </w:t>
      </w:r>
      <w:r w:rsidR="00130934">
        <w:rPr>
          <w:sz w:val="22"/>
          <w:szCs w:val="22"/>
        </w:rPr>
        <w:t xml:space="preserve">moving standard deviation </w:t>
      </w:r>
      <w:r w:rsidR="002026B1">
        <w:rPr>
          <w:sz w:val="22"/>
          <w:szCs w:val="22"/>
        </w:rPr>
        <w:t xml:space="preserve">is a </w:t>
      </w:r>
      <w:r w:rsidR="00576393">
        <w:rPr>
          <w:sz w:val="22"/>
          <w:szCs w:val="22"/>
        </w:rPr>
        <w:t>fairer</w:t>
      </w:r>
      <w:r w:rsidR="002026B1">
        <w:rPr>
          <w:sz w:val="22"/>
          <w:szCs w:val="22"/>
        </w:rPr>
        <w:t xml:space="preserve"> assessment of the noise level</w:t>
      </w:r>
      <w:r w:rsidR="000B5E42">
        <w:rPr>
          <w:sz w:val="22"/>
          <w:szCs w:val="22"/>
        </w:rPr>
        <w:t xml:space="preserve"> across different price values</w:t>
      </w:r>
      <w:r w:rsidR="002026B1">
        <w:rPr>
          <w:sz w:val="22"/>
          <w:szCs w:val="22"/>
        </w:rPr>
        <w:t>.</w:t>
      </w:r>
      <w:r w:rsidR="003F384E">
        <w:rPr>
          <w:sz w:val="22"/>
          <w:szCs w:val="22"/>
        </w:rPr>
        <w:t xml:space="preserve"> </w:t>
      </w:r>
      <w:r w:rsidR="00F11D5A">
        <w:rPr>
          <w:sz w:val="22"/>
          <w:szCs w:val="22"/>
        </w:rPr>
        <w:t xml:space="preserve"> </w:t>
      </w:r>
    </w:p>
    <w:p w14:paraId="7EC644F9" w14:textId="10402D22" w:rsidR="00F40770" w:rsidRDefault="00F11D5A" w:rsidP="00F11D5A">
      <w:pPr>
        <w:ind w:firstLine="720"/>
        <w:rPr>
          <w:sz w:val="22"/>
          <w:szCs w:val="22"/>
        </w:rPr>
      </w:pPr>
      <w:r>
        <w:rPr>
          <w:sz w:val="22"/>
          <w:szCs w:val="22"/>
        </w:rPr>
        <w:t xml:space="preserve">As shown in Figure 5, the relative </w:t>
      </w:r>
      <w:r w:rsidR="004738FF">
        <w:rPr>
          <w:sz w:val="22"/>
          <w:szCs w:val="22"/>
        </w:rPr>
        <w:t xml:space="preserve">moving standard deviation </w:t>
      </w:r>
      <w:r>
        <w:rPr>
          <w:sz w:val="22"/>
          <w:szCs w:val="22"/>
        </w:rPr>
        <w:t xml:space="preserve">is high when the price is unstable, such as during the period of September 2008 to May 2009. It is much lower after September 2009. Similar as the momentum, we choose the </w:t>
      </w:r>
      <w:r w:rsidR="004738FF">
        <w:rPr>
          <w:sz w:val="22"/>
          <w:szCs w:val="22"/>
        </w:rPr>
        <w:t xml:space="preserve">moving standard deviation </w:t>
      </w:r>
      <w:r>
        <w:rPr>
          <w:sz w:val="22"/>
          <w:szCs w:val="22"/>
        </w:rPr>
        <w:t>to aid distinguish</w:t>
      </w:r>
      <w:r w:rsidR="00D93D8A">
        <w:rPr>
          <w:sz w:val="22"/>
          <w:szCs w:val="22"/>
        </w:rPr>
        <w:t>ing</w:t>
      </w:r>
      <w:r>
        <w:rPr>
          <w:sz w:val="22"/>
          <w:szCs w:val="22"/>
        </w:rPr>
        <w:t xml:space="preserve"> the </w:t>
      </w:r>
      <w:r w:rsidR="00D93D8A">
        <w:rPr>
          <w:sz w:val="22"/>
          <w:szCs w:val="22"/>
        </w:rPr>
        <w:t xml:space="preserve">real </w:t>
      </w:r>
      <w:r>
        <w:rPr>
          <w:sz w:val="22"/>
          <w:szCs w:val="22"/>
        </w:rPr>
        <w:t>pr</w:t>
      </w:r>
      <w:r w:rsidR="00576393">
        <w:rPr>
          <w:sz w:val="22"/>
          <w:szCs w:val="22"/>
        </w:rPr>
        <w:t xml:space="preserve">ice trend reversals from the instability of the price itself, since the latter comes with higher </w:t>
      </w:r>
      <w:r w:rsidR="00FA0243">
        <w:rPr>
          <w:sz w:val="22"/>
          <w:szCs w:val="22"/>
        </w:rPr>
        <w:t>variances</w:t>
      </w:r>
      <w:r w:rsidR="00576393">
        <w:rPr>
          <w:sz w:val="22"/>
          <w:szCs w:val="22"/>
        </w:rPr>
        <w:t xml:space="preserve">. </w:t>
      </w:r>
    </w:p>
    <w:p w14:paraId="4594C43D" w14:textId="22711A9E" w:rsidR="00F11D5A" w:rsidRDefault="00F11D5A" w:rsidP="00CD5BAE">
      <w:pPr>
        <w:ind w:firstLine="720"/>
        <w:rPr>
          <w:sz w:val="22"/>
          <w:szCs w:val="22"/>
        </w:rPr>
      </w:pPr>
    </w:p>
    <w:p w14:paraId="0EC263F6" w14:textId="0C478FF3" w:rsidR="00F40770" w:rsidRDefault="00AF5239" w:rsidP="00AF5239">
      <w:pPr>
        <w:ind w:firstLine="720"/>
        <w:rPr>
          <w:sz w:val="22"/>
          <w:szCs w:val="22"/>
        </w:rPr>
      </w:pPr>
      <w:bookmarkStart w:id="0" w:name="_GoBack"/>
      <w:bookmarkEnd w:id="0"/>
      <w:r>
        <w:rPr>
          <w:noProof/>
          <w:sz w:val="22"/>
          <w:szCs w:val="22"/>
        </w:rPr>
        <w:drawing>
          <wp:inline distT="0" distB="0" distL="0" distR="0" wp14:anchorId="51596DE1" wp14:editId="184C5387">
            <wp:extent cx="5080635" cy="2540318"/>
            <wp:effectExtent l="0" t="0" r="0" b="0"/>
            <wp:docPr id="2" name="Picture 2" descr="../../ML4T_2017Fall/manual_strategy/plot_Indicator_Moving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4T_2017Fall/manual_strategy/plot_Indicator_MovingST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787" cy="2541894"/>
                    </a:xfrm>
                    <a:prstGeom prst="rect">
                      <a:avLst/>
                    </a:prstGeom>
                    <a:noFill/>
                    <a:ln>
                      <a:noFill/>
                    </a:ln>
                  </pic:spPr>
                </pic:pic>
              </a:graphicData>
            </a:graphic>
          </wp:inline>
        </w:drawing>
      </w:r>
    </w:p>
    <w:p w14:paraId="1A045AF4" w14:textId="77777777" w:rsidR="00F40770" w:rsidRPr="00DB68DE" w:rsidRDefault="00F40770" w:rsidP="00F20412">
      <w:pPr>
        <w:rPr>
          <w:sz w:val="22"/>
          <w:szCs w:val="22"/>
        </w:rPr>
      </w:pPr>
    </w:p>
    <w:p w14:paraId="0B2A8878" w14:textId="0329258B" w:rsidR="00220EE8" w:rsidRPr="00DB68DE" w:rsidRDefault="00C227AA" w:rsidP="00F20412">
      <w:pPr>
        <w:rPr>
          <w:sz w:val="22"/>
          <w:szCs w:val="22"/>
        </w:rPr>
      </w:pPr>
      <w:r>
        <w:rPr>
          <w:b/>
          <w:sz w:val="22"/>
          <w:szCs w:val="22"/>
        </w:rPr>
        <w:t xml:space="preserve">Part </w:t>
      </w:r>
      <w:r w:rsidR="00220EE8" w:rsidRPr="00DB68DE">
        <w:rPr>
          <w:b/>
          <w:sz w:val="22"/>
          <w:szCs w:val="22"/>
        </w:rPr>
        <w:t>2:</w:t>
      </w:r>
      <w:r w:rsidR="006750CA" w:rsidRPr="00DB68DE">
        <w:rPr>
          <w:b/>
          <w:sz w:val="22"/>
          <w:szCs w:val="22"/>
        </w:rPr>
        <w:t xml:space="preserve"> </w:t>
      </w:r>
      <w:r w:rsidR="0034218A">
        <w:rPr>
          <w:b/>
          <w:sz w:val="22"/>
          <w:szCs w:val="22"/>
        </w:rPr>
        <w:t>Best Possible Strategy</w:t>
      </w:r>
    </w:p>
    <w:p w14:paraId="79C22275" w14:textId="744DA43E" w:rsidR="00220EE8" w:rsidRPr="000E3410" w:rsidRDefault="00704280" w:rsidP="00F20412">
      <w:pPr>
        <w:rPr>
          <w:rFonts w:ascii="Calibri" w:eastAsia="Times New Roman" w:hAnsi="Calibri" w:cs="Times New Roman"/>
          <w:color w:val="000000"/>
          <w:sz w:val="20"/>
          <w:szCs w:val="20"/>
        </w:rPr>
      </w:pPr>
      <w:r w:rsidRPr="00DB68DE">
        <w:rPr>
          <w:sz w:val="22"/>
          <w:szCs w:val="22"/>
        </w:rPr>
        <w:tab/>
      </w:r>
      <w:r w:rsidR="002218DF">
        <w:rPr>
          <w:sz w:val="22"/>
          <w:szCs w:val="22"/>
        </w:rPr>
        <w:t xml:space="preserve">Assuming we can peek into the future, </w:t>
      </w:r>
      <w:r w:rsidR="00414A59">
        <w:rPr>
          <w:sz w:val="22"/>
          <w:szCs w:val="22"/>
        </w:rPr>
        <w:t>and there is zero impact &amp; commission</w:t>
      </w:r>
      <w:r w:rsidR="00A740E2">
        <w:rPr>
          <w:sz w:val="22"/>
          <w:szCs w:val="22"/>
        </w:rPr>
        <w:t xml:space="preserve">, </w:t>
      </w:r>
      <w:r w:rsidR="002218DF">
        <w:rPr>
          <w:sz w:val="22"/>
          <w:szCs w:val="22"/>
        </w:rPr>
        <w:t xml:space="preserve">the best possible strategy is to </w:t>
      </w:r>
      <w:r w:rsidR="00A740E2">
        <w:rPr>
          <w:sz w:val="22"/>
          <w:szCs w:val="22"/>
        </w:rPr>
        <w:t xml:space="preserve">trade </w:t>
      </w:r>
      <w:r w:rsidR="00DE0B6F">
        <w:rPr>
          <w:sz w:val="22"/>
          <w:szCs w:val="22"/>
        </w:rPr>
        <w:t xml:space="preserve">maximum amount </w:t>
      </w:r>
      <w:r w:rsidR="00A740E2">
        <w:rPr>
          <w:sz w:val="22"/>
          <w:szCs w:val="22"/>
        </w:rPr>
        <w:t>everyday</w:t>
      </w:r>
      <w:r w:rsidR="002218DF">
        <w:rPr>
          <w:sz w:val="22"/>
          <w:szCs w:val="22"/>
        </w:rPr>
        <w:t xml:space="preserve"> according to </w:t>
      </w:r>
      <w:r w:rsidR="00A740E2">
        <w:rPr>
          <w:sz w:val="22"/>
          <w:szCs w:val="22"/>
        </w:rPr>
        <w:t xml:space="preserve">the </w:t>
      </w:r>
      <w:r w:rsidR="002218DF">
        <w:rPr>
          <w:sz w:val="22"/>
          <w:szCs w:val="22"/>
        </w:rPr>
        <w:t>price change</w:t>
      </w:r>
      <w:r w:rsidR="00A740E2">
        <w:rPr>
          <w:sz w:val="22"/>
          <w:szCs w:val="22"/>
        </w:rPr>
        <w:t>, if any,</w:t>
      </w:r>
      <w:r w:rsidR="002218DF">
        <w:rPr>
          <w:sz w:val="22"/>
          <w:szCs w:val="22"/>
        </w:rPr>
        <w:t xml:space="preserve"> in the next day. That is, go long or short to the maximum allowable holdings if the price increases or drops the next day, respectively. If there is no price change or the </w:t>
      </w:r>
      <w:r w:rsidR="00E208ED">
        <w:rPr>
          <w:sz w:val="22"/>
          <w:szCs w:val="22"/>
        </w:rPr>
        <w:t>perspective trade will violate the holding limit, then no trading is conducted. For example, if the price will drop the next day</w:t>
      </w:r>
      <w:r w:rsidR="008000B3">
        <w:rPr>
          <w:sz w:val="22"/>
          <w:szCs w:val="22"/>
        </w:rPr>
        <w:t xml:space="preserve"> and our current holding is +1000</w:t>
      </w:r>
      <w:r w:rsidR="00DD06A0">
        <w:rPr>
          <w:sz w:val="22"/>
          <w:szCs w:val="22"/>
        </w:rPr>
        <w:t>, we short 2000 shares</w:t>
      </w:r>
      <w:r w:rsidR="00E208ED">
        <w:rPr>
          <w:sz w:val="22"/>
          <w:szCs w:val="22"/>
        </w:rPr>
        <w:t xml:space="preserve">. At the next day, if the price shall drop again the day after, we will do nothing since we are already at the maximum allowed short position </w:t>
      </w:r>
      <w:r w:rsidR="00E208ED" w:rsidRPr="003B7A55">
        <w:rPr>
          <w:sz w:val="22"/>
          <w:szCs w:val="22"/>
        </w:rPr>
        <w:t>(</w:t>
      </w:r>
      <w:r w:rsidR="003B7A55" w:rsidRPr="003B7A55">
        <w:rPr>
          <w:sz w:val="22"/>
          <w:szCs w:val="22"/>
        </w:rPr>
        <w:t xml:space="preserve">aka </w:t>
      </w:r>
      <w:r w:rsidR="003B7A55">
        <w:rPr>
          <w:sz w:val="22"/>
          <w:szCs w:val="22"/>
        </w:rPr>
        <w:t xml:space="preserve"> </w:t>
      </w:r>
      <w:r w:rsidR="00E208ED" w:rsidRPr="003B7A55">
        <w:rPr>
          <w:sz w:val="22"/>
          <w:szCs w:val="22"/>
        </w:rPr>
        <w:t>-1000</w:t>
      </w:r>
      <w:r w:rsidR="003B7A55">
        <w:rPr>
          <w:sz w:val="22"/>
          <w:szCs w:val="22"/>
        </w:rPr>
        <w:t>)</w:t>
      </w:r>
      <w:r w:rsidR="00E208ED" w:rsidRPr="003B7A55">
        <w:rPr>
          <w:sz w:val="22"/>
          <w:szCs w:val="22"/>
        </w:rPr>
        <w:t>.</w:t>
      </w:r>
      <w:r w:rsidR="00E208ED">
        <w:rPr>
          <w:sz w:val="22"/>
          <w:szCs w:val="22"/>
        </w:rPr>
        <w:t xml:space="preserve"> </w:t>
      </w:r>
      <w:r w:rsidR="007F1B41">
        <w:rPr>
          <w:sz w:val="22"/>
          <w:szCs w:val="22"/>
        </w:rPr>
        <w:t>This strategy is the best possible because it captures every gain opportunity permitted by the holding limits</w:t>
      </w:r>
      <w:r w:rsidR="001D4DD8">
        <w:rPr>
          <w:sz w:val="22"/>
          <w:szCs w:val="22"/>
        </w:rPr>
        <w:t>.</w:t>
      </w:r>
      <w:r w:rsidR="007F1B41">
        <w:rPr>
          <w:sz w:val="22"/>
          <w:szCs w:val="22"/>
        </w:rPr>
        <w:t xml:space="preserve"> As shown in Figure 6, this strategy vastly outperforms the benchmark </w:t>
      </w:r>
      <w:r w:rsidR="002D3B27">
        <w:rPr>
          <w:sz w:val="22"/>
          <w:szCs w:val="22"/>
        </w:rPr>
        <w:t>over the In-Sampl</w:t>
      </w:r>
      <w:r w:rsidR="005F434D">
        <w:rPr>
          <w:sz w:val="22"/>
          <w:szCs w:val="22"/>
        </w:rPr>
        <w:t>e period (</w:t>
      </w:r>
      <w:r w:rsidR="002D3B27" w:rsidRPr="002D3B27">
        <w:rPr>
          <w:sz w:val="22"/>
          <w:szCs w:val="22"/>
        </w:rPr>
        <w:t>678610.0</w:t>
      </w:r>
      <w:r w:rsidR="002D3B27">
        <w:rPr>
          <w:sz w:val="22"/>
          <w:szCs w:val="22"/>
        </w:rPr>
        <w:t xml:space="preserve"> vs </w:t>
      </w:r>
      <w:r w:rsidR="002D3B27" w:rsidRPr="002D3B27">
        <w:rPr>
          <w:sz w:val="22"/>
          <w:szCs w:val="22"/>
        </w:rPr>
        <w:t>101230.0</w:t>
      </w:r>
      <w:r w:rsidR="002D3B27">
        <w:rPr>
          <w:sz w:val="22"/>
          <w:szCs w:val="22"/>
        </w:rPr>
        <w:t xml:space="preserve"> in final portfolio value</w:t>
      </w:r>
      <w:r w:rsidR="005F434D">
        <w:rPr>
          <w:sz w:val="22"/>
          <w:szCs w:val="22"/>
        </w:rPr>
        <w:t xml:space="preserve">). Table 1 also </w:t>
      </w:r>
      <w:r w:rsidR="00CD5BAE">
        <w:rPr>
          <w:sz w:val="22"/>
          <w:szCs w:val="22"/>
        </w:rPr>
        <w:t>summarizes the performance of the best poss</w:t>
      </w:r>
      <w:r w:rsidR="005F434D">
        <w:rPr>
          <w:sz w:val="22"/>
          <w:szCs w:val="22"/>
        </w:rPr>
        <w:t xml:space="preserve">ible strategy and its benchmark: 5.7861 vs. 0.0123 in cumulative return, </w:t>
      </w:r>
      <w:r w:rsidR="000E3410">
        <w:rPr>
          <w:sz w:val="22"/>
          <w:szCs w:val="22"/>
        </w:rPr>
        <w:t xml:space="preserve">0.00382 vs. 0.000168 in average daily return, 0.00454782 vs 0.017004 in daily return standard deviation, and 13.3227698 vs. </w:t>
      </w:r>
      <w:r w:rsidR="000E3410">
        <w:rPr>
          <w:rFonts w:ascii="Calibri" w:eastAsia="Times New Roman" w:hAnsi="Calibri" w:cs="Times New Roman"/>
          <w:color w:val="000000"/>
          <w:sz w:val="20"/>
          <w:szCs w:val="20"/>
        </w:rPr>
        <w:t>0.1569184 in Sharpe ratio.</w:t>
      </w:r>
    </w:p>
    <w:p w14:paraId="54B70127" w14:textId="29261DD4" w:rsidR="0034218A" w:rsidRDefault="00F722B7" w:rsidP="0034218A">
      <w:pPr>
        <w:rPr>
          <w:sz w:val="22"/>
          <w:szCs w:val="22"/>
        </w:rPr>
      </w:pPr>
      <w:r w:rsidRPr="00DB68DE">
        <w:rPr>
          <w:sz w:val="22"/>
          <w:szCs w:val="22"/>
        </w:rPr>
        <w:tab/>
      </w:r>
      <w:r w:rsidR="007F1B41">
        <w:rPr>
          <w:noProof/>
          <w:sz w:val="22"/>
          <w:szCs w:val="22"/>
        </w:rPr>
        <w:drawing>
          <wp:inline distT="0" distB="0" distL="0" distR="0" wp14:anchorId="4F29DDC4" wp14:editId="558A8E3D">
            <wp:extent cx="4734582" cy="2365015"/>
            <wp:effectExtent l="0" t="0" r="0" b="0"/>
            <wp:docPr id="7" name="Picture 7" descr="../../ML4T_2017Fall/manual_strategy/Portfolio_BestPossible_In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4T_2017Fall/manual_strategy/Portfolio_BestPossible_InS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82" cy="2369461"/>
                    </a:xfrm>
                    <a:prstGeom prst="rect">
                      <a:avLst/>
                    </a:prstGeom>
                    <a:noFill/>
                    <a:ln>
                      <a:noFill/>
                    </a:ln>
                  </pic:spPr>
                </pic:pic>
              </a:graphicData>
            </a:graphic>
          </wp:inline>
        </w:drawing>
      </w:r>
    </w:p>
    <w:p w14:paraId="3F7F9AAB" w14:textId="6C1B8784" w:rsidR="00CD5BAE" w:rsidRDefault="00AF210B" w:rsidP="009D0927">
      <w:pPr>
        <w:ind w:firstLine="720"/>
        <w:rPr>
          <w:sz w:val="22"/>
          <w:szCs w:val="22"/>
        </w:rPr>
      </w:pPr>
      <w:r>
        <w:rPr>
          <w:sz w:val="22"/>
          <w:szCs w:val="22"/>
        </w:rPr>
        <w:t>Table 1</w:t>
      </w:r>
    </w:p>
    <w:p w14:paraId="72DAE2EE" w14:textId="35C79D36" w:rsidR="00DB68DE" w:rsidRDefault="005E6288" w:rsidP="009D0927">
      <w:pPr>
        <w:ind w:firstLine="720"/>
        <w:rPr>
          <w:sz w:val="22"/>
          <w:szCs w:val="22"/>
        </w:rPr>
      </w:pPr>
      <w:r w:rsidRPr="00DB68DE">
        <w:rPr>
          <w:sz w:val="22"/>
          <w:szCs w:val="22"/>
        </w:rPr>
        <w:t xml:space="preserve"> </w:t>
      </w:r>
      <w:r w:rsidR="000E3410" w:rsidRPr="000E3410">
        <w:rPr>
          <w:noProof/>
          <w:sz w:val="22"/>
          <w:szCs w:val="22"/>
        </w:rPr>
        <w:drawing>
          <wp:inline distT="0" distB="0" distL="0" distR="0" wp14:anchorId="45E6F5BC" wp14:editId="7246E13D">
            <wp:extent cx="4251227" cy="9054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8427" cy="917639"/>
                    </a:xfrm>
                    <a:prstGeom prst="rect">
                      <a:avLst/>
                    </a:prstGeom>
                  </pic:spPr>
                </pic:pic>
              </a:graphicData>
            </a:graphic>
          </wp:inline>
        </w:drawing>
      </w:r>
    </w:p>
    <w:p w14:paraId="772AB51B" w14:textId="77777777" w:rsidR="00AF210B" w:rsidRDefault="00AF210B" w:rsidP="0034218A">
      <w:pPr>
        <w:rPr>
          <w:sz w:val="22"/>
          <w:szCs w:val="22"/>
        </w:rPr>
      </w:pPr>
    </w:p>
    <w:p w14:paraId="3AF8ADBA" w14:textId="77777777" w:rsidR="00AF210B" w:rsidRPr="004846AB" w:rsidRDefault="00AF210B" w:rsidP="0034218A">
      <w:pPr>
        <w:rPr>
          <w:sz w:val="22"/>
          <w:szCs w:val="22"/>
        </w:rPr>
      </w:pPr>
    </w:p>
    <w:p w14:paraId="65E1F2B9" w14:textId="01D95DA3" w:rsidR="00634B28" w:rsidRPr="00DB68DE" w:rsidRDefault="0034218A" w:rsidP="00F20412">
      <w:pPr>
        <w:rPr>
          <w:b/>
          <w:sz w:val="22"/>
          <w:szCs w:val="22"/>
        </w:rPr>
      </w:pPr>
      <w:r>
        <w:rPr>
          <w:b/>
          <w:sz w:val="22"/>
          <w:szCs w:val="22"/>
        </w:rPr>
        <w:t xml:space="preserve">Part </w:t>
      </w:r>
      <w:r w:rsidR="00634B28" w:rsidRPr="00DB68DE">
        <w:rPr>
          <w:b/>
          <w:sz w:val="22"/>
          <w:szCs w:val="22"/>
        </w:rPr>
        <w:t>3:</w:t>
      </w:r>
      <w:r w:rsidR="00F02471" w:rsidRPr="00DB68DE">
        <w:rPr>
          <w:b/>
          <w:sz w:val="22"/>
          <w:szCs w:val="22"/>
        </w:rPr>
        <w:t xml:space="preserve"> </w:t>
      </w:r>
      <w:r w:rsidR="00CF21D0">
        <w:rPr>
          <w:b/>
          <w:sz w:val="22"/>
          <w:szCs w:val="22"/>
        </w:rPr>
        <w:t>Manual Strategy</w:t>
      </w:r>
    </w:p>
    <w:p w14:paraId="3AEE9AC7" w14:textId="229880D3" w:rsidR="00F02471" w:rsidRDefault="0052509F" w:rsidP="00CF21D0">
      <w:pPr>
        <w:rPr>
          <w:sz w:val="22"/>
          <w:szCs w:val="22"/>
        </w:rPr>
      </w:pPr>
      <w:r w:rsidRPr="00DB68DE">
        <w:rPr>
          <w:sz w:val="22"/>
          <w:szCs w:val="22"/>
        </w:rPr>
        <w:tab/>
      </w:r>
      <w:r w:rsidR="00F94BA4">
        <w:rPr>
          <w:sz w:val="22"/>
          <w:szCs w:val="22"/>
        </w:rPr>
        <w:t xml:space="preserve"> </w:t>
      </w:r>
      <w:r w:rsidR="0096511F">
        <w:rPr>
          <w:sz w:val="22"/>
          <w:szCs w:val="22"/>
        </w:rPr>
        <w:t>As listed below, t</w:t>
      </w:r>
      <w:r w:rsidR="007E264F">
        <w:rPr>
          <w:sz w:val="22"/>
          <w:szCs w:val="22"/>
        </w:rPr>
        <w:t>he</w:t>
      </w:r>
      <w:r w:rsidR="00565DEB">
        <w:rPr>
          <w:sz w:val="22"/>
          <w:szCs w:val="22"/>
        </w:rPr>
        <w:t xml:space="preserve"> </w:t>
      </w:r>
      <w:r w:rsidR="0096511F">
        <w:rPr>
          <w:sz w:val="22"/>
          <w:szCs w:val="22"/>
        </w:rPr>
        <w:t xml:space="preserve">post-tweaking </w:t>
      </w:r>
      <w:r w:rsidR="008F096B">
        <w:rPr>
          <w:sz w:val="22"/>
          <w:szCs w:val="22"/>
        </w:rPr>
        <w:t>manual strategy</w:t>
      </w:r>
      <w:r w:rsidR="007E264F">
        <w:rPr>
          <w:sz w:val="22"/>
          <w:szCs w:val="22"/>
        </w:rPr>
        <w:t xml:space="preserve"> consists of rule based criteria </w:t>
      </w:r>
      <w:r w:rsidR="0096511F">
        <w:rPr>
          <w:sz w:val="22"/>
          <w:szCs w:val="22"/>
        </w:rPr>
        <w:t xml:space="preserve">for the </w:t>
      </w:r>
      <w:r w:rsidR="007E264F">
        <w:rPr>
          <w:sz w:val="22"/>
          <w:szCs w:val="22"/>
        </w:rPr>
        <w:t xml:space="preserve">entry and exit </w:t>
      </w:r>
      <w:r w:rsidR="0096511F">
        <w:rPr>
          <w:sz w:val="22"/>
          <w:szCs w:val="22"/>
        </w:rPr>
        <w:t xml:space="preserve">actions. The entry criteria contain separate rules for going long and short. </w:t>
      </w:r>
      <w:r w:rsidR="00E77B6B">
        <w:rPr>
          <w:sz w:val="22"/>
          <w:szCs w:val="22"/>
        </w:rPr>
        <w:t>We combine all five indicators to formulate the rules because a signal consistently identified by multiple indicators are more likely to be real.</w:t>
      </w:r>
    </w:p>
    <w:p w14:paraId="01758D42" w14:textId="77777777" w:rsidR="00FA0243" w:rsidRDefault="0096511F" w:rsidP="00FA0243">
      <w:pPr>
        <w:rPr>
          <w:sz w:val="18"/>
          <w:szCs w:val="22"/>
        </w:rPr>
      </w:pPr>
      <w:r w:rsidRPr="009D0927">
        <w:rPr>
          <w:sz w:val="18"/>
          <w:szCs w:val="22"/>
          <w:u w:val="single"/>
        </w:rPr>
        <w:t>Long entry</w:t>
      </w:r>
      <w:r w:rsidRPr="009D0927">
        <w:rPr>
          <w:sz w:val="18"/>
          <w:szCs w:val="22"/>
        </w:rPr>
        <w:t xml:space="preserve">: </w:t>
      </w:r>
      <w:r w:rsidR="00744717">
        <w:rPr>
          <w:sz w:val="18"/>
          <w:szCs w:val="22"/>
        </w:rPr>
        <w:t xml:space="preserve"> </w:t>
      </w:r>
      <w:r w:rsidR="008524C1">
        <w:rPr>
          <w:sz w:val="18"/>
          <w:szCs w:val="22"/>
        </w:rPr>
        <w:t xml:space="preserve">if </w:t>
      </w:r>
      <w:r w:rsidRPr="009D0927">
        <w:rPr>
          <w:sz w:val="18"/>
          <w:szCs w:val="22"/>
        </w:rPr>
        <w:t xml:space="preserve">Price/SMA&lt;0.95 </w:t>
      </w:r>
      <w:r w:rsidRPr="009D0927">
        <w:rPr>
          <w:b/>
          <w:sz w:val="18"/>
          <w:szCs w:val="22"/>
        </w:rPr>
        <w:t>AND</w:t>
      </w:r>
      <w:r w:rsidRPr="009D0927">
        <w:rPr>
          <w:sz w:val="18"/>
          <w:szCs w:val="22"/>
        </w:rPr>
        <w:t xml:space="preserve"> %BB&lt;0 </w:t>
      </w:r>
      <w:r w:rsidRPr="009D0927">
        <w:rPr>
          <w:b/>
          <w:sz w:val="18"/>
          <w:szCs w:val="22"/>
        </w:rPr>
        <w:t>AND</w:t>
      </w:r>
      <w:r w:rsidRPr="009D0927">
        <w:rPr>
          <w:sz w:val="18"/>
          <w:szCs w:val="22"/>
        </w:rPr>
        <w:t xml:space="preserve"> RSI&lt;35 </w:t>
      </w:r>
      <w:r w:rsidRPr="00FA0243">
        <w:rPr>
          <w:b/>
          <w:sz w:val="18"/>
          <w:szCs w:val="18"/>
        </w:rPr>
        <w:t>AND</w:t>
      </w:r>
      <w:r w:rsidRPr="00FA0243">
        <w:rPr>
          <w:sz w:val="18"/>
          <w:szCs w:val="18"/>
        </w:rPr>
        <w:t xml:space="preserve"> (rel.) </w:t>
      </w:r>
      <w:r w:rsidR="00FA0243" w:rsidRPr="00FA0243">
        <w:rPr>
          <w:sz w:val="18"/>
          <w:szCs w:val="18"/>
        </w:rPr>
        <w:t>moving standard deviation</w:t>
      </w:r>
      <w:r w:rsidR="00FA0243">
        <w:rPr>
          <w:sz w:val="22"/>
          <w:szCs w:val="22"/>
        </w:rPr>
        <w:t xml:space="preserve"> </w:t>
      </w:r>
      <w:r w:rsidRPr="009D0927">
        <w:rPr>
          <w:sz w:val="18"/>
          <w:szCs w:val="22"/>
        </w:rPr>
        <w:t xml:space="preserve">&lt;=0.07 </w:t>
      </w:r>
      <w:r w:rsidRPr="009D0927">
        <w:rPr>
          <w:b/>
          <w:sz w:val="18"/>
          <w:szCs w:val="22"/>
        </w:rPr>
        <w:t>AND</w:t>
      </w:r>
      <w:r w:rsidRPr="009D0927">
        <w:rPr>
          <w:sz w:val="18"/>
          <w:szCs w:val="22"/>
        </w:rPr>
        <w:t xml:space="preserve"> momentum&lt;-0.1</w:t>
      </w:r>
      <w:r w:rsidR="00744717">
        <w:rPr>
          <w:sz w:val="18"/>
          <w:szCs w:val="22"/>
        </w:rPr>
        <w:t>,</w:t>
      </w:r>
      <w:r w:rsidR="008524C1">
        <w:rPr>
          <w:sz w:val="18"/>
          <w:szCs w:val="22"/>
        </w:rPr>
        <w:t xml:space="preserve"> go </w:t>
      </w:r>
      <w:r w:rsidR="00FA0243">
        <w:rPr>
          <w:sz w:val="18"/>
          <w:szCs w:val="22"/>
        </w:rPr>
        <w:t xml:space="preserve"> </w:t>
      </w:r>
    </w:p>
    <w:p w14:paraId="770C42D4" w14:textId="6BA96043" w:rsidR="00DD06A0" w:rsidRDefault="008524C1" w:rsidP="00FA0243">
      <w:pPr>
        <w:ind w:firstLine="720"/>
        <w:rPr>
          <w:sz w:val="18"/>
          <w:szCs w:val="22"/>
        </w:rPr>
      </w:pPr>
      <w:r>
        <w:rPr>
          <w:sz w:val="18"/>
          <w:szCs w:val="22"/>
        </w:rPr>
        <w:t>to +1000 holding unless already at +1000,</w:t>
      </w:r>
    </w:p>
    <w:p w14:paraId="29101D0A" w14:textId="77777777" w:rsidR="00FA0243" w:rsidRDefault="0096511F" w:rsidP="00FA0243">
      <w:pPr>
        <w:rPr>
          <w:sz w:val="18"/>
          <w:szCs w:val="22"/>
        </w:rPr>
      </w:pPr>
      <w:r w:rsidRPr="009D0927">
        <w:rPr>
          <w:sz w:val="18"/>
          <w:szCs w:val="22"/>
          <w:u w:val="single"/>
        </w:rPr>
        <w:t>Short entry</w:t>
      </w:r>
      <w:r w:rsidRPr="009D0927">
        <w:rPr>
          <w:sz w:val="18"/>
          <w:szCs w:val="22"/>
        </w:rPr>
        <w:t xml:space="preserve">: </w:t>
      </w:r>
      <w:r w:rsidR="008524C1">
        <w:rPr>
          <w:sz w:val="18"/>
          <w:szCs w:val="22"/>
        </w:rPr>
        <w:t xml:space="preserve">if </w:t>
      </w:r>
      <w:r w:rsidRPr="009D0927">
        <w:rPr>
          <w:sz w:val="18"/>
          <w:szCs w:val="22"/>
        </w:rPr>
        <w:t xml:space="preserve">Price/SMA&gt;1.05 </w:t>
      </w:r>
      <w:r w:rsidRPr="009D0927">
        <w:rPr>
          <w:b/>
          <w:sz w:val="18"/>
          <w:szCs w:val="22"/>
        </w:rPr>
        <w:t>AND</w:t>
      </w:r>
      <w:r w:rsidRPr="009D0927">
        <w:rPr>
          <w:sz w:val="18"/>
          <w:szCs w:val="22"/>
        </w:rPr>
        <w:t xml:space="preserve"> %BB&gt;1 </w:t>
      </w:r>
      <w:r w:rsidRPr="009D0927">
        <w:rPr>
          <w:b/>
          <w:sz w:val="18"/>
          <w:szCs w:val="22"/>
        </w:rPr>
        <w:t>AND</w:t>
      </w:r>
      <w:r w:rsidRPr="009D0927">
        <w:rPr>
          <w:sz w:val="18"/>
          <w:szCs w:val="22"/>
        </w:rPr>
        <w:t xml:space="preserve"> RSI&gt;60 </w:t>
      </w:r>
      <w:r w:rsidRPr="009D0927">
        <w:rPr>
          <w:b/>
          <w:sz w:val="18"/>
          <w:szCs w:val="22"/>
        </w:rPr>
        <w:t>AND</w:t>
      </w:r>
      <w:r w:rsidRPr="009D0927">
        <w:rPr>
          <w:sz w:val="18"/>
          <w:szCs w:val="22"/>
        </w:rPr>
        <w:t xml:space="preserve"> (rel.) </w:t>
      </w:r>
      <w:r w:rsidR="00FA0243" w:rsidRPr="00FA0243">
        <w:rPr>
          <w:sz w:val="18"/>
          <w:szCs w:val="18"/>
        </w:rPr>
        <w:t>moving standard deviation</w:t>
      </w:r>
      <w:r w:rsidR="00FA0243">
        <w:rPr>
          <w:sz w:val="22"/>
          <w:szCs w:val="22"/>
        </w:rPr>
        <w:t xml:space="preserve"> </w:t>
      </w:r>
      <w:r w:rsidRPr="009D0927">
        <w:rPr>
          <w:sz w:val="18"/>
          <w:szCs w:val="22"/>
        </w:rPr>
        <w:t xml:space="preserve">&lt;=0.07 </w:t>
      </w:r>
      <w:r w:rsidRPr="009D0927">
        <w:rPr>
          <w:b/>
          <w:sz w:val="18"/>
          <w:szCs w:val="22"/>
        </w:rPr>
        <w:t>AND</w:t>
      </w:r>
      <w:r w:rsidRPr="009D0927">
        <w:rPr>
          <w:sz w:val="18"/>
          <w:szCs w:val="22"/>
        </w:rPr>
        <w:t xml:space="preserve"> momentum&gt;0.12</w:t>
      </w:r>
      <w:r w:rsidR="00530616">
        <w:rPr>
          <w:sz w:val="18"/>
          <w:szCs w:val="22"/>
        </w:rPr>
        <w:t>,</w:t>
      </w:r>
      <w:r w:rsidR="008524C1">
        <w:rPr>
          <w:sz w:val="18"/>
          <w:szCs w:val="22"/>
        </w:rPr>
        <w:t xml:space="preserve"> go </w:t>
      </w:r>
    </w:p>
    <w:p w14:paraId="39985DBF" w14:textId="55369DAA" w:rsidR="0096511F" w:rsidRPr="009D0927" w:rsidRDefault="008524C1" w:rsidP="00FA0243">
      <w:pPr>
        <w:ind w:firstLine="720"/>
        <w:rPr>
          <w:sz w:val="18"/>
          <w:szCs w:val="22"/>
        </w:rPr>
      </w:pPr>
      <w:r>
        <w:rPr>
          <w:sz w:val="18"/>
          <w:szCs w:val="22"/>
        </w:rPr>
        <w:t>to -1000 holding unless already at -1000,</w:t>
      </w:r>
    </w:p>
    <w:p w14:paraId="1B0DED2F" w14:textId="4C96BE3B" w:rsidR="0096511F" w:rsidRPr="009D0927" w:rsidRDefault="0096511F" w:rsidP="00FA0243">
      <w:pPr>
        <w:rPr>
          <w:sz w:val="18"/>
          <w:szCs w:val="22"/>
        </w:rPr>
      </w:pPr>
      <w:r w:rsidRPr="009D0927">
        <w:rPr>
          <w:sz w:val="18"/>
          <w:szCs w:val="22"/>
          <w:u w:val="single"/>
        </w:rPr>
        <w:t>Exit</w:t>
      </w:r>
      <w:r w:rsidRPr="009D0927">
        <w:rPr>
          <w:sz w:val="18"/>
          <w:szCs w:val="22"/>
        </w:rPr>
        <w:t xml:space="preserve">: </w:t>
      </w:r>
      <w:r w:rsidR="00744717">
        <w:rPr>
          <w:sz w:val="18"/>
          <w:szCs w:val="22"/>
        </w:rPr>
        <w:tab/>
      </w:r>
      <w:r w:rsidR="008524C1">
        <w:rPr>
          <w:sz w:val="18"/>
          <w:szCs w:val="22"/>
        </w:rPr>
        <w:t xml:space="preserve">if </w:t>
      </w:r>
      <w:r w:rsidRPr="009D0927">
        <w:rPr>
          <w:sz w:val="18"/>
          <w:szCs w:val="22"/>
        </w:rPr>
        <w:t xml:space="preserve">SMA-Price crossover </w:t>
      </w:r>
      <w:r w:rsidRPr="009D0927">
        <w:rPr>
          <w:b/>
          <w:sz w:val="18"/>
          <w:szCs w:val="22"/>
        </w:rPr>
        <w:t>AND</w:t>
      </w:r>
      <w:r w:rsidR="00D9450B">
        <w:rPr>
          <w:sz w:val="18"/>
          <w:szCs w:val="22"/>
        </w:rPr>
        <w:t xml:space="preserve"> (rel.) </w:t>
      </w:r>
      <w:r w:rsidR="00FA0243" w:rsidRPr="00FA0243">
        <w:rPr>
          <w:sz w:val="18"/>
          <w:szCs w:val="18"/>
        </w:rPr>
        <w:t>moving standard deviation</w:t>
      </w:r>
      <w:r w:rsidR="00FA0243">
        <w:rPr>
          <w:sz w:val="22"/>
          <w:szCs w:val="22"/>
        </w:rPr>
        <w:t xml:space="preserve"> </w:t>
      </w:r>
      <w:r w:rsidRPr="009D0927">
        <w:rPr>
          <w:sz w:val="18"/>
          <w:szCs w:val="22"/>
        </w:rPr>
        <w:t xml:space="preserve">&lt;=0.06 </w:t>
      </w:r>
      <w:r w:rsidRPr="009D0927">
        <w:rPr>
          <w:b/>
          <w:sz w:val="18"/>
          <w:szCs w:val="22"/>
        </w:rPr>
        <w:t>AND</w:t>
      </w:r>
      <w:r w:rsidRPr="009D0927">
        <w:rPr>
          <w:sz w:val="18"/>
          <w:szCs w:val="22"/>
        </w:rPr>
        <w:t xml:space="preserve"> </w:t>
      </w:r>
      <w:r w:rsidR="00E2160B" w:rsidRPr="009D0927">
        <w:rPr>
          <w:sz w:val="18"/>
          <w:szCs w:val="22"/>
        </w:rPr>
        <w:t>|momentum|</w:t>
      </w:r>
      <w:r w:rsidRPr="009D0927">
        <w:rPr>
          <w:sz w:val="18"/>
          <w:szCs w:val="22"/>
        </w:rPr>
        <w:t>&gt;0.2</w:t>
      </w:r>
      <w:r w:rsidR="00530616">
        <w:rPr>
          <w:sz w:val="18"/>
          <w:szCs w:val="22"/>
        </w:rPr>
        <w:t>,</w:t>
      </w:r>
      <w:r w:rsidR="008524C1">
        <w:rPr>
          <w:sz w:val="18"/>
          <w:szCs w:val="22"/>
        </w:rPr>
        <w:t xml:space="preserve"> go to 0 holding,</w:t>
      </w:r>
    </w:p>
    <w:p w14:paraId="6C76A9A9" w14:textId="77777777" w:rsidR="00DE1485" w:rsidRDefault="00580673" w:rsidP="00FA0243">
      <w:pPr>
        <w:rPr>
          <w:sz w:val="18"/>
          <w:szCs w:val="22"/>
        </w:rPr>
      </w:pPr>
      <w:r w:rsidRPr="00580673">
        <w:rPr>
          <w:sz w:val="18"/>
          <w:szCs w:val="22"/>
          <w:u w:val="single"/>
        </w:rPr>
        <w:t>Do nothing</w:t>
      </w:r>
      <w:r>
        <w:rPr>
          <w:sz w:val="18"/>
          <w:szCs w:val="22"/>
        </w:rPr>
        <w:t xml:space="preserve">: if none of above </w:t>
      </w:r>
      <w:r w:rsidR="00937DBB">
        <w:rPr>
          <w:sz w:val="18"/>
          <w:szCs w:val="22"/>
        </w:rPr>
        <w:t>is</w:t>
      </w:r>
      <w:r w:rsidR="008524C1">
        <w:rPr>
          <w:sz w:val="18"/>
          <w:szCs w:val="22"/>
        </w:rPr>
        <w:t xml:space="preserve"> met. (Note</w:t>
      </w:r>
      <w:r>
        <w:rPr>
          <w:sz w:val="18"/>
          <w:szCs w:val="22"/>
        </w:rPr>
        <w:t xml:space="preserve"> </w:t>
      </w:r>
      <w:r w:rsidR="008524C1">
        <w:rPr>
          <w:sz w:val="18"/>
          <w:szCs w:val="22"/>
        </w:rPr>
        <w:t xml:space="preserve">we essentially </w:t>
      </w:r>
      <w:r w:rsidR="008524C1" w:rsidRPr="008524C1">
        <w:rPr>
          <w:sz w:val="18"/>
          <w:szCs w:val="22"/>
          <w:u w:val="single"/>
        </w:rPr>
        <w:t>do nothing</w:t>
      </w:r>
      <w:r w:rsidR="008524C1">
        <w:rPr>
          <w:sz w:val="18"/>
          <w:szCs w:val="22"/>
        </w:rPr>
        <w:t xml:space="preserve"> if</w:t>
      </w:r>
      <w:r>
        <w:rPr>
          <w:sz w:val="18"/>
          <w:szCs w:val="22"/>
        </w:rPr>
        <w:t xml:space="preserve"> </w:t>
      </w:r>
      <w:r w:rsidR="008524C1">
        <w:rPr>
          <w:sz w:val="18"/>
          <w:szCs w:val="22"/>
        </w:rPr>
        <w:t xml:space="preserve">the </w:t>
      </w:r>
      <w:r w:rsidR="00530616">
        <w:rPr>
          <w:sz w:val="18"/>
          <w:szCs w:val="22"/>
        </w:rPr>
        <w:t xml:space="preserve">long entry is </w:t>
      </w:r>
      <w:r w:rsidR="00744717">
        <w:rPr>
          <w:sz w:val="18"/>
          <w:szCs w:val="22"/>
        </w:rPr>
        <w:t>met</w:t>
      </w:r>
      <w:r w:rsidR="00530616">
        <w:rPr>
          <w:sz w:val="18"/>
          <w:szCs w:val="22"/>
        </w:rPr>
        <w:t xml:space="preserve"> but</w:t>
      </w:r>
      <w:r w:rsidR="00937DBB">
        <w:rPr>
          <w:sz w:val="18"/>
          <w:szCs w:val="22"/>
        </w:rPr>
        <w:t xml:space="preserve"> </w:t>
      </w:r>
      <w:r w:rsidR="00530616">
        <w:rPr>
          <w:sz w:val="18"/>
          <w:szCs w:val="22"/>
        </w:rPr>
        <w:t>currently</w:t>
      </w:r>
      <w:r w:rsidR="00937DBB">
        <w:rPr>
          <w:sz w:val="18"/>
          <w:szCs w:val="22"/>
        </w:rPr>
        <w:t xml:space="preserve"> </w:t>
      </w:r>
      <w:r w:rsidR="00DE1485">
        <w:rPr>
          <w:sz w:val="18"/>
          <w:szCs w:val="22"/>
        </w:rPr>
        <w:t>with</w:t>
      </w:r>
      <w:r w:rsidR="00937DBB">
        <w:rPr>
          <w:sz w:val="18"/>
          <w:szCs w:val="22"/>
        </w:rPr>
        <w:t xml:space="preserve"> </w:t>
      </w:r>
      <w:r w:rsidR="008524C1">
        <w:rPr>
          <w:sz w:val="18"/>
          <w:szCs w:val="22"/>
        </w:rPr>
        <w:t>+1000</w:t>
      </w:r>
      <w:r>
        <w:rPr>
          <w:sz w:val="18"/>
          <w:szCs w:val="22"/>
        </w:rPr>
        <w:t xml:space="preserve"> </w:t>
      </w:r>
    </w:p>
    <w:p w14:paraId="325928C8" w14:textId="0254A2B7" w:rsidR="00E36F41" w:rsidRDefault="00DE1485" w:rsidP="00FA0243">
      <w:pPr>
        <w:ind w:firstLine="720"/>
        <w:rPr>
          <w:sz w:val="18"/>
          <w:szCs w:val="22"/>
        </w:rPr>
      </w:pPr>
      <w:r>
        <w:rPr>
          <w:sz w:val="18"/>
          <w:szCs w:val="22"/>
        </w:rPr>
        <w:t>holding</w:t>
      </w:r>
      <w:r w:rsidR="008524C1">
        <w:rPr>
          <w:sz w:val="18"/>
          <w:szCs w:val="22"/>
        </w:rPr>
        <w:t xml:space="preserve">, </w:t>
      </w:r>
      <w:r w:rsidR="00530616">
        <w:rPr>
          <w:sz w:val="18"/>
          <w:szCs w:val="22"/>
        </w:rPr>
        <w:t xml:space="preserve">or </w:t>
      </w:r>
      <w:r w:rsidR="008524C1">
        <w:rPr>
          <w:sz w:val="18"/>
          <w:szCs w:val="22"/>
        </w:rPr>
        <w:t xml:space="preserve">the </w:t>
      </w:r>
      <w:r w:rsidR="00530616">
        <w:rPr>
          <w:sz w:val="18"/>
          <w:szCs w:val="22"/>
        </w:rPr>
        <w:t>short entry</w:t>
      </w:r>
      <w:r w:rsidR="00580673">
        <w:rPr>
          <w:sz w:val="18"/>
          <w:szCs w:val="22"/>
        </w:rPr>
        <w:t xml:space="preserve"> </w:t>
      </w:r>
      <w:r w:rsidR="00530616">
        <w:rPr>
          <w:sz w:val="18"/>
          <w:szCs w:val="22"/>
        </w:rPr>
        <w:t xml:space="preserve">is satisfied but currently </w:t>
      </w:r>
      <w:r>
        <w:rPr>
          <w:sz w:val="18"/>
          <w:szCs w:val="22"/>
        </w:rPr>
        <w:t>with</w:t>
      </w:r>
      <w:r w:rsidR="008524C1">
        <w:rPr>
          <w:sz w:val="18"/>
          <w:szCs w:val="22"/>
        </w:rPr>
        <w:t xml:space="preserve"> -1000 </w:t>
      </w:r>
      <w:r>
        <w:rPr>
          <w:sz w:val="18"/>
          <w:szCs w:val="22"/>
        </w:rPr>
        <w:t>holding)</w:t>
      </w:r>
    </w:p>
    <w:p w14:paraId="08938FDD" w14:textId="2CFDE126" w:rsidR="00580673" w:rsidRDefault="00530616" w:rsidP="00FA0243">
      <w:pPr>
        <w:rPr>
          <w:sz w:val="20"/>
          <w:szCs w:val="22"/>
        </w:rPr>
      </w:pPr>
      <w:r>
        <w:rPr>
          <w:sz w:val="18"/>
          <w:szCs w:val="22"/>
        </w:rPr>
        <w:t>w</w:t>
      </w:r>
      <w:r w:rsidR="00BE1814" w:rsidRPr="009D0927">
        <w:rPr>
          <w:sz w:val="18"/>
          <w:szCs w:val="22"/>
        </w:rPr>
        <w:t>here</w:t>
      </w:r>
      <w:r>
        <w:rPr>
          <w:sz w:val="18"/>
          <w:szCs w:val="22"/>
        </w:rPr>
        <w:t xml:space="preserve">in SMA, %BB, RSI and </w:t>
      </w:r>
      <w:r w:rsidR="00FA0243" w:rsidRPr="00FA0243">
        <w:rPr>
          <w:sz w:val="18"/>
          <w:szCs w:val="18"/>
        </w:rPr>
        <w:t xml:space="preserve">moving </w:t>
      </w:r>
      <w:r w:rsidR="00FA0243">
        <w:rPr>
          <w:sz w:val="18"/>
          <w:szCs w:val="18"/>
        </w:rPr>
        <w:t>Stdev</w:t>
      </w:r>
      <w:r w:rsidR="00FA0243">
        <w:rPr>
          <w:sz w:val="22"/>
          <w:szCs w:val="22"/>
        </w:rPr>
        <w:t xml:space="preserve"> </w:t>
      </w:r>
      <w:r w:rsidR="00BE1814" w:rsidRPr="009D0927">
        <w:rPr>
          <w:sz w:val="18"/>
          <w:szCs w:val="22"/>
        </w:rPr>
        <w:t>use a lookback window of 20 days, and momentum uses a window of 40 days</w:t>
      </w:r>
      <w:r w:rsidR="009D0927" w:rsidRPr="009D0927">
        <w:rPr>
          <w:sz w:val="18"/>
          <w:szCs w:val="22"/>
        </w:rPr>
        <w:t>.</w:t>
      </w:r>
      <w:r w:rsidR="009D0927" w:rsidRPr="009D0927">
        <w:rPr>
          <w:sz w:val="20"/>
          <w:szCs w:val="22"/>
        </w:rPr>
        <w:t xml:space="preserve"> </w:t>
      </w:r>
    </w:p>
    <w:p w14:paraId="5152ABFA" w14:textId="77777777" w:rsidR="009D0927" w:rsidRPr="009D0927" w:rsidRDefault="009D0927" w:rsidP="009D0927">
      <w:pPr>
        <w:ind w:firstLine="720"/>
        <w:rPr>
          <w:sz w:val="20"/>
          <w:szCs w:val="22"/>
        </w:rPr>
      </w:pPr>
    </w:p>
    <w:p w14:paraId="4013764E" w14:textId="30D001EB" w:rsidR="00935263" w:rsidRDefault="003C18CB" w:rsidP="0096511F">
      <w:pPr>
        <w:rPr>
          <w:sz w:val="22"/>
          <w:szCs w:val="22"/>
        </w:rPr>
      </w:pPr>
      <w:r>
        <w:rPr>
          <w:sz w:val="22"/>
          <w:szCs w:val="22"/>
        </w:rPr>
        <w:tab/>
        <w:t xml:space="preserve">The SMA, %BB and RSI are </w:t>
      </w:r>
      <w:r w:rsidR="00CF3883">
        <w:rPr>
          <w:sz w:val="22"/>
          <w:szCs w:val="22"/>
        </w:rPr>
        <w:t xml:space="preserve">common </w:t>
      </w:r>
      <w:r>
        <w:rPr>
          <w:sz w:val="22"/>
          <w:szCs w:val="22"/>
        </w:rPr>
        <w:t xml:space="preserve">indicators for </w:t>
      </w:r>
      <w:r w:rsidR="00CF3883">
        <w:rPr>
          <w:sz w:val="22"/>
          <w:szCs w:val="22"/>
        </w:rPr>
        <w:t xml:space="preserve">identifying the divergence of the price from the true stock value. The price-value divergence provides entry opportunities. When the price is lower than the SMA by a certain amount, lower than the bottom Bollinger® band, and there </w:t>
      </w:r>
      <w:r w:rsidR="00F30603">
        <w:rPr>
          <w:sz w:val="22"/>
          <w:szCs w:val="22"/>
        </w:rPr>
        <w:t>exist</w:t>
      </w:r>
      <w:r w:rsidR="00CF3883">
        <w:rPr>
          <w:sz w:val="22"/>
          <w:szCs w:val="22"/>
        </w:rPr>
        <w:t xml:space="preserve"> more downward days than the upward days, it </w:t>
      </w:r>
      <w:r w:rsidR="00F30603">
        <w:rPr>
          <w:sz w:val="22"/>
          <w:szCs w:val="22"/>
        </w:rPr>
        <w:t xml:space="preserve">is logical to consider the </w:t>
      </w:r>
      <w:r w:rsidR="00ED5DF4">
        <w:rPr>
          <w:sz w:val="22"/>
          <w:szCs w:val="22"/>
        </w:rPr>
        <w:t>stock may be under</w:t>
      </w:r>
      <w:r w:rsidR="00F30603">
        <w:rPr>
          <w:sz w:val="22"/>
          <w:szCs w:val="22"/>
        </w:rPr>
        <w:t xml:space="preserve">priced. Hence </w:t>
      </w:r>
      <w:r w:rsidR="00EB5683">
        <w:rPr>
          <w:sz w:val="22"/>
          <w:szCs w:val="22"/>
        </w:rPr>
        <w:t>a</w:t>
      </w:r>
      <w:r w:rsidR="00F30603">
        <w:rPr>
          <w:sz w:val="22"/>
          <w:szCs w:val="22"/>
        </w:rPr>
        <w:t xml:space="preserve"> long entry may be initiated. Nevertheless, from </w:t>
      </w:r>
      <w:r w:rsidR="00EB5683">
        <w:rPr>
          <w:sz w:val="22"/>
          <w:szCs w:val="22"/>
        </w:rPr>
        <w:t xml:space="preserve">the </w:t>
      </w:r>
      <w:r w:rsidR="00F30603">
        <w:rPr>
          <w:sz w:val="22"/>
          <w:szCs w:val="22"/>
        </w:rPr>
        <w:t xml:space="preserve">above Figure1-6 we see that the in-sample price can be quite </w:t>
      </w:r>
      <w:r w:rsidR="00ED5DF4">
        <w:rPr>
          <w:sz w:val="22"/>
          <w:szCs w:val="22"/>
        </w:rPr>
        <w:t xml:space="preserve">unstable, </w:t>
      </w:r>
      <w:r w:rsidR="00F30603">
        <w:rPr>
          <w:sz w:val="22"/>
          <w:szCs w:val="22"/>
        </w:rPr>
        <w:t>resul</w:t>
      </w:r>
      <w:r w:rsidR="00ED5DF4">
        <w:rPr>
          <w:sz w:val="22"/>
          <w:szCs w:val="22"/>
        </w:rPr>
        <w:t>ting false long signal</w:t>
      </w:r>
      <w:r w:rsidR="00EB5683">
        <w:rPr>
          <w:sz w:val="22"/>
          <w:szCs w:val="22"/>
        </w:rPr>
        <w:t>s.</w:t>
      </w:r>
      <w:r w:rsidR="00935263">
        <w:rPr>
          <w:sz w:val="22"/>
          <w:szCs w:val="22"/>
        </w:rPr>
        <w:t xml:space="preserve"> We therefore add the low </w:t>
      </w:r>
      <w:r w:rsidR="00FA0243" w:rsidRPr="00FA0243">
        <w:rPr>
          <w:sz w:val="22"/>
          <w:szCs w:val="22"/>
        </w:rPr>
        <w:t xml:space="preserve">moving standard deviation </w:t>
      </w:r>
      <w:r w:rsidR="00935263">
        <w:rPr>
          <w:sz w:val="22"/>
          <w:szCs w:val="22"/>
        </w:rPr>
        <w:t>and high momentum requirements t</w:t>
      </w:r>
      <w:r w:rsidR="00EB5683">
        <w:rPr>
          <w:sz w:val="22"/>
          <w:szCs w:val="22"/>
        </w:rPr>
        <w:t xml:space="preserve">o </w:t>
      </w:r>
      <w:r w:rsidR="00935263">
        <w:rPr>
          <w:sz w:val="22"/>
          <w:szCs w:val="22"/>
        </w:rPr>
        <w:t>filter out</w:t>
      </w:r>
      <w:r w:rsidR="00EB5683">
        <w:rPr>
          <w:sz w:val="22"/>
          <w:szCs w:val="22"/>
        </w:rPr>
        <w:t xml:space="preserve"> the instability</w:t>
      </w:r>
      <w:r w:rsidR="00935263">
        <w:rPr>
          <w:sz w:val="22"/>
          <w:szCs w:val="22"/>
        </w:rPr>
        <w:t>-</w:t>
      </w:r>
      <w:r w:rsidR="00EB5683">
        <w:rPr>
          <w:sz w:val="22"/>
          <w:szCs w:val="22"/>
        </w:rPr>
        <w:t>induced false entry</w:t>
      </w:r>
      <w:r w:rsidR="00935263">
        <w:rPr>
          <w:sz w:val="22"/>
          <w:szCs w:val="22"/>
        </w:rPr>
        <w:t xml:space="preserve">. The short entry rule is constructed similarly but with the reciprocal thresholds of the indicators. </w:t>
      </w:r>
    </w:p>
    <w:p w14:paraId="1DACABC5" w14:textId="0017ECB5" w:rsidR="00BE1814" w:rsidRDefault="00935263" w:rsidP="0096511F">
      <w:pPr>
        <w:rPr>
          <w:sz w:val="22"/>
          <w:szCs w:val="22"/>
        </w:rPr>
      </w:pPr>
      <w:r>
        <w:rPr>
          <w:sz w:val="22"/>
          <w:szCs w:val="22"/>
        </w:rPr>
        <w:tab/>
        <w:t xml:space="preserve">We adopt the common practice of using SMA-price crossover to mark the exit signal. As shown in Figure 1, SMA-price crossovers occur when the current price trend will </w:t>
      </w:r>
      <w:r w:rsidR="001F3A39">
        <w:rPr>
          <w:sz w:val="22"/>
          <w:szCs w:val="22"/>
        </w:rPr>
        <w:t>terminate</w:t>
      </w:r>
      <w:r>
        <w:rPr>
          <w:sz w:val="22"/>
          <w:szCs w:val="22"/>
        </w:rPr>
        <w:t xml:space="preserve"> (presumably reverse). Therefore, it makes sense to exit the </w:t>
      </w:r>
      <w:r w:rsidR="003029BE">
        <w:rPr>
          <w:sz w:val="22"/>
          <w:szCs w:val="22"/>
        </w:rPr>
        <w:t>current position</w:t>
      </w:r>
      <w:r>
        <w:rPr>
          <w:sz w:val="22"/>
          <w:szCs w:val="22"/>
        </w:rPr>
        <w:t xml:space="preserve"> </w:t>
      </w:r>
      <w:r w:rsidR="003029BE">
        <w:rPr>
          <w:sz w:val="22"/>
          <w:szCs w:val="22"/>
        </w:rPr>
        <w:t>to which one presumably enters according to</w:t>
      </w:r>
      <w:r>
        <w:rPr>
          <w:sz w:val="22"/>
          <w:szCs w:val="22"/>
        </w:rPr>
        <w:t xml:space="preserve"> the current tr</w:t>
      </w:r>
      <w:r w:rsidR="003029BE">
        <w:rPr>
          <w:sz w:val="22"/>
          <w:szCs w:val="22"/>
        </w:rPr>
        <w:t xml:space="preserve">end. </w:t>
      </w:r>
      <w:r w:rsidR="00303A2E">
        <w:rPr>
          <w:sz w:val="22"/>
          <w:szCs w:val="22"/>
        </w:rPr>
        <w:t xml:space="preserve">Notably, the price instability also generates many crossovers that </w:t>
      </w:r>
      <w:r w:rsidR="00BE1814">
        <w:rPr>
          <w:sz w:val="22"/>
          <w:szCs w:val="22"/>
        </w:rPr>
        <w:t xml:space="preserve">don’t match the </w:t>
      </w:r>
      <w:r w:rsidR="005008D0">
        <w:rPr>
          <w:sz w:val="22"/>
          <w:szCs w:val="22"/>
        </w:rPr>
        <w:t>correct</w:t>
      </w:r>
      <w:r w:rsidR="00A7560A">
        <w:rPr>
          <w:sz w:val="22"/>
          <w:szCs w:val="22"/>
        </w:rPr>
        <w:t xml:space="preserve"> </w:t>
      </w:r>
      <w:r w:rsidR="00BE1814">
        <w:rPr>
          <w:sz w:val="22"/>
          <w:szCs w:val="22"/>
        </w:rPr>
        <w:t>boundaries</w:t>
      </w:r>
      <w:r w:rsidR="005008D0">
        <w:rPr>
          <w:sz w:val="22"/>
          <w:szCs w:val="22"/>
        </w:rPr>
        <w:t xml:space="preserve"> of the price trend</w:t>
      </w:r>
      <w:r w:rsidR="00BE1814">
        <w:rPr>
          <w:sz w:val="22"/>
          <w:szCs w:val="22"/>
        </w:rPr>
        <w:t xml:space="preserve">. Hence, we apply the low </w:t>
      </w:r>
      <w:r w:rsidR="00FA0243" w:rsidRPr="00FA0243">
        <w:rPr>
          <w:sz w:val="22"/>
          <w:szCs w:val="22"/>
        </w:rPr>
        <w:t xml:space="preserve">moving standard deviation </w:t>
      </w:r>
      <w:r w:rsidR="00BE1814">
        <w:rPr>
          <w:sz w:val="22"/>
          <w:szCs w:val="22"/>
        </w:rPr>
        <w:t>and high momentum constraints here as well.</w:t>
      </w:r>
    </w:p>
    <w:p w14:paraId="5D870133" w14:textId="01E50ACD" w:rsidR="0096511F" w:rsidRDefault="00BE1814" w:rsidP="0096511F">
      <w:pPr>
        <w:rPr>
          <w:sz w:val="22"/>
          <w:szCs w:val="22"/>
        </w:rPr>
      </w:pPr>
      <w:r>
        <w:rPr>
          <w:sz w:val="22"/>
          <w:szCs w:val="22"/>
        </w:rPr>
        <w:tab/>
        <w:t>The parameters to calculate the indicator</w:t>
      </w:r>
      <w:r w:rsidR="00C2630D">
        <w:rPr>
          <w:sz w:val="22"/>
          <w:szCs w:val="22"/>
        </w:rPr>
        <w:t>s</w:t>
      </w:r>
      <w:r>
        <w:rPr>
          <w:sz w:val="22"/>
          <w:szCs w:val="22"/>
        </w:rPr>
        <w:t xml:space="preserve"> and to define the rules are manually tweaked using the in-sample data. </w:t>
      </w:r>
      <w:r w:rsidR="00C2630D">
        <w:rPr>
          <w:sz w:val="22"/>
          <w:szCs w:val="22"/>
        </w:rPr>
        <w:t>The final portfolio reaches $</w:t>
      </w:r>
      <w:r w:rsidR="00C2630D" w:rsidRPr="00C2630D">
        <w:rPr>
          <w:sz w:val="22"/>
          <w:szCs w:val="22"/>
        </w:rPr>
        <w:t>137606.9</w:t>
      </w:r>
      <w:r w:rsidR="00C2630D">
        <w:rPr>
          <w:sz w:val="22"/>
          <w:szCs w:val="22"/>
        </w:rPr>
        <w:t>, outcompeting the benchmark of $</w:t>
      </w:r>
      <w:r w:rsidR="00C2630D" w:rsidRPr="00C2630D">
        <w:rPr>
          <w:sz w:val="22"/>
          <w:szCs w:val="22"/>
        </w:rPr>
        <w:t>101027.7</w:t>
      </w:r>
      <w:r w:rsidR="00C2630D">
        <w:rPr>
          <w:sz w:val="22"/>
          <w:szCs w:val="22"/>
        </w:rPr>
        <w:t xml:space="preserve"> (Figure 7). The long and short entries are marked with </w:t>
      </w:r>
      <w:r w:rsidR="00273ACC">
        <w:rPr>
          <w:sz w:val="22"/>
          <w:szCs w:val="22"/>
        </w:rPr>
        <w:t xml:space="preserve">the </w:t>
      </w:r>
      <w:r w:rsidR="00C2630D">
        <w:rPr>
          <w:sz w:val="22"/>
          <w:szCs w:val="22"/>
        </w:rPr>
        <w:t xml:space="preserve">green and red vertical lines in Figure 7, respectively. </w:t>
      </w:r>
      <w:r w:rsidR="008D71D7">
        <w:rPr>
          <w:sz w:val="22"/>
          <w:szCs w:val="22"/>
        </w:rPr>
        <w:t xml:space="preserve">We can see that a short position is properly entered before the major down market between 2008-09 and 2009-02, followed by a long entry to capture the subsequent major up market. The ~38% cumulative return and the proper </w:t>
      </w:r>
      <w:r w:rsidR="000C270E">
        <w:rPr>
          <w:sz w:val="22"/>
          <w:szCs w:val="22"/>
        </w:rPr>
        <w:t xml:space="preserve">trading </w:t>
      </w:r>
      <w:r w:rsidR="00684273">
        <w:rPr>
          <w:sz w:val="22"/>
          <w:szCs w:val="22"/>
        </w:rPr>
        <w:t>entries</w:t>
      </w:r>
      <w:r w:rsidR="008D71D7">
        <w:rPr>
          <w:sz w:val="22"/>
          <w:szCs w:val="22"/>
        </w:rPr>
        <w:t xml:space="preserve"> indicate </w:t>
      </w:r>
      <w:r w:rsidR="000C270E">
        <w:rPr>
          <w:sz w:val="22"/>
          <w:szCs w:val="22"/>
        </w:rPr>
        <w:t>the</w:t>
      </w:r>
      <w:r w:rsidR="008D71D7">
        <w:rPr>
          <w:sz w:val="22"/>
          <w:szCs w:val="22"/>
        </w:rPr>
        <w:t xml:space="preserve"> manual strategy is efficient.</w:t>
      </w:r>
    </w:p>
    <w:p w14:paraId="6307C83A" w14:textId="0EC0E6D1" w:rsidR="003C18CB" w:rsidRPr="00DB68DE" w:rsidRDefault="00C2630D" w:rsidP="00C2630D">
      <w:pPr>
        <w:ind w:firstLine="720"/>
        <w:rPr>
          <w:sz w:val="22"/>
          <w:szCs w:val="22"/>
        </w:rPr>
      </w:pPr>
      <w:r>
        <w:rPr>
          <w:noProof/>
          <w:sz w:val="22"/>
          <w:szCs w:val="22"/>
        </w:rPr>
        <w:drawing>
          <wp:inline distT="0" distB="0" distL="0" distR="0" wp14:anchorId="358E3134" wp14:editId="66540A39">
            <wp:extent cx="4509135" cy="2256495"/>
            <wp:effectExtent l="0" t="0" r="0" b="4445"/>
            <wp:docPr id="13" name="Picture 13" descr="../../ML4T_2017Fall/manual_strategy/Portfolio_Manual_In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4T_2017Fall/manual_strategy/Portfolio_Manual_In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8" cy="2264123"/>
                    </a:xfrm>
                    <a:prstGeom prst="rect">
                      <a:avLst/>
                    </a:prstGeom>
                    <a:noFill/>
                    <a:ln>
                      <a:noFill/>
                    </a:ln>
                  </pic:spPr>
                </pic:pic>
              </a:graphicData>
            </a:graphic>
          </wp:inline>
        </w:drawing>
      </w:r>
    </w:p>
    <w:p w14:paraId="42E8AA52" w14:textId="77777777" w:rsidR="00DB68DE" w:rsidRDefault="00DB68DE" w:rsidP="00F20412">
      <w:pPr>
        <w:rPr>
          <w:b/>
          <w:sz w:val="18"/>
        </w:rPr>
      </w:pPr>
    </w:p>
    <w:p w14:paraId="6DD1B7A4" w14:textId="1FDCF956" w:rsidR="00CF21D0" w:rsidRPr="00DB68DE" w:rsidRDefault="00CF21D0" w:rsidP="00CF21D0">
      <w:pPr>
        <w:rPr>
          <w:b/>
          <w:sz w:val="22"/>
          <w:szCs w:val="22"/>
        </w:rPr>
      </w:pPr>
      <w:r>
        <w:rPr>
          <w:b/>
          <w:sz w:val="22"/>
          <w:szCs w:val="22"/>
        </w:rPr>
        <w:t>Part 4</w:t>
      </w:r>
      <w:r w:rsidRPr="00DB68DE">
        <w:rPr>
          <w:b/>
          <w:sz w:val="22"/>
          <w:szCs w:val="22"/>
        </w:rPr>
        <w:t xml:space="preserve">: </w:t>
      </w:r>
      <w:r>
        <w:rPr>
          <w:b/>
          <w:sz w:val="22"/>
          <w:szCs w:val="22"/>
        </w:rPr>
        <w:t xml:space="preserve">Compare </w:t>
      </w:r>
      <w:r w:rsidR="009419AC">
        <w:rPr>
          <w:b/>
          <w:sz w:val="22"/>
          <w:szCs w:val="22"/>
        </w:rPr>
        <w:t xml:space="preserve">the In- and Out-Sample performance of the Manual Strategy </w:t>
      </w:r>
    </w:p>
    <w:p w14:paraId="0DDD62B4" w14:textId="7EA547F2" w:rsidR="008D71D7" w:rsidRDefault="008D71D7" w:rsidP="005143A3">
      <w:pPr>
        <w:ind w:firstLine="720"/>
        <w:rPr>
          <w:sz w:val="22"/>
          <w:szCs w:val="22"/>
        </w:rPr>
      </w:pPr>
      <w:r>
        <w:rPr>
          <w:sz w:val="22"/>
          <w:szCs w:val="22"/>
        </w:rPr>
        <w:t xml:space="preserve">The In-sample </w:t>
      </w:r>
      <w:r w:rsidR="005624EF">
        <w:rPr>
          <w:sz w:val="22"/>
          <w:szCs w:val="22"/>
        </w:rPr>
        <w:t xml:space="preserve">and out-sample performances of the manual strategy are </w:t>
      </w:r>
      <w:r w:rsidR="009D0927">
        <w:rPr>
          <w:sz w:val="22"/>
          <w:szCs w:val="22"/>
        </w:rPr>
        <w:t xml:space="preserve">compared in Figure 7 (above, In-sample) and Figure 8 (out-sample) and </w:t>
      </w:r>
      <w:r>
        <w:rPr>
          <w:sz w:val="22"/>
          <w:szCs w:val="22"/>
        </w:rPr>
        <w:t xml:space="preserve">in Table 2. </w:t>
      </w:r>
    </w:p>
    <w:p w14:paraId="26EB8A51" w14:textId="2EF562C7" w:rsidR="009D0927" w:rsidRDefault="009D0927" w:rsidP="005143A3">
      <w:pPr>
        <w:ind w:firstLine="720"/>
        <w:rPr>
          <w:sz w:val="22"/>
          <w:szCs w:val="22"/>
        </w:rPr>
      </w:pPr>
      <w:r>
        <w:rPr>
          <w:noProof/>
          <w:sz w:val="22"/>
          <w:szCs w:val="22"/>
        </w:rPr>
        <w:drawing>
          <wp:inline distT="0" distB="0" distL="0" distR="0" wp14:anchorId="12340942" wp14:editId="28708E92">
            <wp:extent cx="4579515" cy="2291715"/>
            <wp:effectExtent l="0" t="0" r="0" b="0"/>
            <wp:docPr id="14" name="Picture 14" descr="../../ML4T_2017Fall/manual_strategy/Portfolio_Manual_Out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4T_2017Fall/manual_strategy/Portfolio_Manual_OutS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263" cy="2310605"/>
                    </a:xfrm>
                    <a:prstGeom prst="rect">
                      <a:avLst/>
                    </a:prstGeom>
                    <a:noFill/>
                    <a:ln>
                      <a:noFill/>
                    </a:ln>
                  </pic:spPr>
                </pic:pic>
              </a:graphicData>
            </a:graphic>
          </wp:inline>
        </w:drawing>
      </w:r>
    </w:p>
    <w:p w14:paraId="257F09CB" w14:textId="77777777" w:rsidR="009D0927" w:rsidRDefault="009D0927" w:rsidP="008D71D7">
      <w:pPr>
        <w:rPr>
          <w:sz w:val="18"/>
        </w:rPr>
      </w:pPr>
    </w:p>
    <w:p w14:paraId="4E9C00B3" w14:textId="2D539DFC" w:rsidR="008D71D7" w:rsidRPr="008F096B" w:rsidRDefault="008D71D7" w:rsidP="008D71D7">
      <w:pPr>
        <w:rPr>
          <w:sz w:val="18"/>
        </w:rPr>
      </w:pPr>
      <w:r w:rsidRPr="008F096B">
        <w:rPr>
          <w:sz w:val="18"/>
        </w:rPr>
        <w:t xml:space="preserve">Table 2: </w:t>
      </w:r>
      <w:r w:rsidR="00B10E95" w:rsidRPr="00B10E95">
        <w:rPr>
          <w:noProof/>
          <w:sz w:val="18"/>
        </w:rPr>
        <w:drawing>
          <wp:inline distT="0" distB="0" distL="0" distR="0" wp14:anchorId="7BE09D04" wp14:editId="1D4E1B29">
            <wp:extent cx="5943600" cy="1136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6015"/>
                    </a:xfrm>
                    <a:prstGeom prst="rect">
                      <a:avLst/>
                    </a:prstGeom>
                  </pic:spPr>
                </pic:pic>
              </a:graphicData>
            </a:graphic>
          </wp:inline>
        </w:drawing>
      </w:r>
    </w:p>
    <w:p w14:paraId="012048F8" w14:textId="77777777" w:rsidR="008D71D7" w:rsidRDefault="008D71D7" w:rsidP="005143A3">
      <w:pPr>
        <w:ind w:firstLine="720"/>
        <w:rPr>
          <w:sz w:val="22"/>
          <w:szCs w:val="22"/>
        </w:rPr>
      </w:pPr>
    </w:p>
    <w:p w14:paraId="05E79EF6" w14:textId="6FF92272" w:rsidR="00F27481" w:rsidRDefault="00033D8C" w:rsidP="00F20412">
      <w:pPr>
        <w:rPr>
          <w:sz w:val="22"/>
          <w:szCs w:val="22"/>
        </w:rPr>
      </w:pPr>
      <w:r>
        <w:rPr>
          <w:sz w:val="22"/>
          <w:szCs w:val="22"/>
        </w:rPr>
        <w:tab/>
        <w:t>We can see that</w:t>
      </w:r>
      <w:r w:rsidR="002401E9">
        <w:rPr>
          <w:sz w:val="22"/>
          <w:szCs w:val="22"/>
        </w:rPr>
        <w:t xml:space="preserve"> the manual strategy is better </w:t>
      </w:r>
      <w:r w:rsidR="00CB5EDA">
        <w:rPr>
          <w:sz w:val="22"/>
          <w:szCs w:val="22"/>
        </w:rPr>
        <w:t xml:space="preserve">than the benchmark </w:t>
      </w:r>
      <w:r w:rsidR="002401E9">
        <w:rPr>
          <w:sz w:val="22"/>
          <w:szCs w:val="22"/>
        </w:rPr>
        <w:t xml:space="preserve">for both In- and Out-sample. However, the Out-sample performance of the manual strategy is not as good as </w:t>
      </w:r>
      <w:r w:rsidR="00B10E95">
        <w:rPr>
          <w:sz w:val="22"/>
          <w:szCs w:val="22"/>
        </w:rPr>
        <w:t>its</w:t>
      </w:r>
      <w:r w:rsidR="002401E9">
        <w:rPr>
          <w:sz w:val="22"/>
          <w:szCs w:val="22"/>
        </w:rPr>
        <w:t xml:space="preserve"> In-Sample</w:t>
      </w:r>
      <w:r w:rsidR="00B10E95">
        <w:rPr>
          <w:sz w:val="22"/>
          <w:szCs w:val="22"/>
        </w:rPr>
        <w:t xml:space="preserve"> performance</w:t>
      </w:r>
      <w:r w:rsidR="002401E9">
        <w:rPr>
          <w:sz w:val="22"/>
          <w:szCs w:val="22"/>
        </w:rPr>
        <w:t xml:space="preserve">. The cumulative return drops from ~0.376 to ~0.182. The daily return decreases from 0.000714 to 0.000353. The Sharpe ratio falls from 0.892 to 0.843. Further, </w:t>
      </w:r>
      <w:r w:rsidR="00F27481">
        <w:rPr>
          <w:sz w:val="22"/>
          <w:szCs w:val="22"/>
        </w:rPr>
        <w:t xml:space="preserve">as shown in Figure 8, </w:t>
      </w:r>
      <w:r w:rsidR="002401E9">
        <w:rPr>
          <w:sz w:val="22"/>
          <w:szCs w:val="22"/>
        </w:rPr>
        <w:t xml:space="preserve">the last long entry takes place in 2011-06 but the price </w:t>
      </w:r>
      <w:r w:rsidR="00F27481">
        <w:rPr>
          <w:sz w:val="22"/>
          <w:szCs w:val="22"/>
        </w:rPr>
        <w:t xml:space="preserve">declines </w:t>
      </w:r>
      <w:r w:rsidR="00EC38D9">
        <w:rPr>
          <w:sz w:val="22"/>
          <w:szCs w:val="22"/>
        </w:rPr>
        <w:t>after</w:t>
      </w:r>
      <w:r w:rsidR="00F27481">
        <w:rPr>
          <w:sz w:val="22"/>
          <w:szCs w:val="22"/>
        </w:rPr>
        <w:t xml:space="preserve">ward. The loss </w:t>
      </w:r>
      <w:r w:rsidR="00EC38D9">
        <w:rPr>
          <w:sz w:val="22"/>
          <w:szCs w:val="22"/>
        </w:rPr>
        <w:t>due to</w:t>
      </w:r>
      <w:r w:rsidR="00F27481">
        <w:rPr>
          <w:sz w:val="22"/>
          <w:szCs w:val="22"/>
        </w:rPr>
        <w:t xml:space="preserve"> this improper </w:t>
      </w:r>
      <w:r w:rsidR="00EC38D9">
        <w:rPr>
          <w:sz w:val="22"/>
          <w:szCs w:val="22"/>
        </w:rPr>
        <w:t>trading</w:t>
      </w:r>
      <w:r w:rsidR="00F27481">
        <w:rPr>
          <w:sz w:val="22"/>
          <w:szCs w:val="22"/>
        </w:rPr>
        <w:t xml:space="preserve"> offsets most of the previous gain and thus the end return is not impressive. </w:t>
      </w:r>
    </w:p>
    <w:p w14:paraId="5240A7D1" w14:textId="3DC902A8" w:rsidR="00DB68DE" w:rsidRPr="00DB68DE" w:rsidRDefault="00F27481" w:rsidP="00F27481">
      <w:pPr>
        <w:ind w:firstLine="720"/>
        <w:rPr>
          <w:sz w:val="22"/>
          <w:szCs w:val="22"/>
        </w:rPr>
      </w:pPr>
      <w:r>
        <w:rPr>
          <w:sz w:val="22"/>
          <w:szCs w:val="22"/>
        </w:rPr>
        <w:t xml:space="preserve">The sub-optimal performance of the strategy in the Out-samples, relative to the In-Sample performance, is understandable. The strategy is </w:t>
      </w:r>
      <w:r w:rsidR="00F0179E">
        <w:rPr>
          <w:sz w:val="22"/>
          <w:szCs w:val="22"/>
        </w:rPr>
        <w:t>optimized only</w:t>
      </w:r>
      <w:r>
        <w:rPr>
          <w:sz w:val="22"/>
          <w:szCs w:val="22"/>
        </w:rPr>
        <w:t xml:space="preserve"> using the In-Sample. It does not take generalizability into consideration at all and hence not take any precaution to reduce overfitting. </w:t>
      </w:r>
      <w:r w:rsidR="00DB3B9B">
        <w:rPr>
          <w:sz w:val="22"/>
          <w:szCs w:val="22"/>
        </w:rPr>
        <w:t>In addition, two-</w:t>
      </w:r>
      <w:r>
        <w:rPr>
          <w:sz w:val="22"/>
          <w:szCs w:val="22"/>
        </w:rPr>
        <w:t xml:space="preserve">year is a relative short time period, the In-Sample </w:t>
      </w:r>
      <w:r w:rsidR="00F0179E">
        <w:rPr>
          <w:sz w:val="22"/>
          <w:szCs w:val="22"/>
        </w:rPr>
        <w:t>data</w:t>
      </w:r>
      <w:r>
        <w:rPr>
          <w:sz w:val="22"/>
          <w:szCs w:val="22"/>
        </w:rPr>
        <w:t xml:space="preserve"> may not be sufficient to make the strategy general. These reasons likely render an overfitting strategy that works</w:t>
      </w:r>
      <w:r w:rsidR="006E3D27">
        <w:rPr>
          <w:sz w:val="22"/>
          <w:szCs w:val="22"/>
        </w:rPr>
        <w:t xml:space="preserve"> well for the In-Sample but </w:t>
      </w:r>
      <w:r w:rsidR="00331B18">
        <w:rPr>
          <w:sz w:val="22"/>
          <w:szCs w:val="22"/>
        </w:rPr>
        <w:t xml:space="preserve">not </w:t>
      </w:r>
      <w:r w:rsidR="006E3D27">
        <w:rPr>
          <w:sz w:val="22"/>
          <w:szCs w:val="22"/>
        </w:rPr>
        <w:t>for the unseen Out-sample.</w:t>
      </w:r>
    </w:p>
    <w:sectPr w:rsidR="00DB68DE" w:rsidRPr="00DB68DE" w:rsidSect="002C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6A"/>
    <w:rsid w:val="000019A2"/>
    <w:rsid w:val="000139DD"/>
    <w:rsid w:val="00032308"/>
    <w:rsid w:val="0003289C"/>
    <w:rsid w:val="00033D8C"/>
    <w:rsid w:val="000520CA"/>
    <w:rsid w:val="00052D14"/>
    <w:rsid w:val="00055D03"/>
    <w:rsid w:val="00083E96"/>
    <w:rsid w:val="00085678"/>
    <w:rsid w:val="000978EB"/>
    <w:rsid w:val="000A2052"/>
    <w:rsid w:val="000A4387"/>
    <w:rsid w:val="000A7B74"/>
    <w:rsid w:val="000B5E42"/>
    <w:rsid w:val="000C270E"/>
    <w:rsid w:val="000D11B5"/>
    <w:rsid w:val="000E3410"/>
    <w:rsid w:val="000E51E5"/>
    <w:rsid w:val="000F575E"/>
    <w:rsid w:val="0011591C"/>
    <w:rsid w:val="00117BFE"/>
    <w:rsid w:val="00130934"/>
    <w:rsid w:val="0013396D"/>
    <w:rsid w:val="00140518"/>
    <w:rsid w:val="001438B6"/>
    <w:rsid w:val="001664A6"/>
    <w:rsid w:val="0018142A"/>
    <w:rsid w:val="00193E2F"/>
    <w:rsid w:val="001A53BC"/>
    <w:rsid w:val="001B30DD"/>
    <w:rsid w:val="001B4FEB"/>
    <w:rsid w:val="001B76A5"/>
    <w:rsid w:val="001D3678"/>
    <w:rsid w:val="001D4716"/>
    <w:rsid w:val="001D4DD8"/>
    <w:rsid w:val="001E0914"/>
    <w:rsid w:val="001E0F3E"/>
    <w:rsid w:val="001F3A39"/>
    <w:rsid w:val="001F6AA5"/>
    <w:rsid w:val="001F7DEB"/>
    <w:rsid w:val="002026B1"/>
    <w:rsid w:val="00220EE8"/>
    <w:rsid w:val="002218DF"/>
    <w:rsid w:val="00230BE3"/>
    <w:rsid w:val="00237990"/>
    <w:rsid w:val="002401E9"/>
    <w:rsid w:val="00242226"/>
    <w:rsid w:val="0025086F"/>
    <w:rsid w:val="00254A0B"/>
    <w:rsid w:val="00265851"/>
    <w:rsid w:val="00272319"/>
    <w:rsid w:val="00272C5F"/>
    <w:rsid w:val="00273ACC"/>
    <w:rsid w:val="002777B6"/>
    <w:rsid w:val="002C1884"/>
    <w:rsid w:val="002C5084"/>
    <w:rsid w:val="002C622D"/>
    <w:rsid w:val="002D3B27"/>
    <w:rsid w:val="003029BE"/>
    <w:rsid w:val="00303A2E"/>
    <w:rsid w:val="00304336"/>
    <w:rsid w:val="00313317"/>
    <w:rsid w:val="00315DBA"/>
    <w:rsid w:val="00321EEE"/>
    <w:rsid w:val="00330359"/>
    <w:rsid w:val="00331B18"/>
    <w:rsid w:val="00333363"/>
    <w:rsid w:val="0034218A"/>
    <w:rsid w:val="00343739"/>
    <w:rsid w:val="0035158E"/>
    <w:rsid w:val="00380069"/>
    <w:rsid w:val="003A2BE8"/>
    <w:rsid w:val="003A5721"/>
    <w:rsid w:val="003B7A55"/>
    <w:rsid w:val="003C18CB"/>
    <w:rsid w:val="003E6C47"/>
    <w:rsid w:val="003F240D"/>
    <w:rsid w:val="003F384E"/>
    <w:rsid w:val="003F62EF"/>
    <w:rsid w:val="00400FB1"/>
    <w:rsid w:val="00413499"/>
    <w:rsid w:val="00414A59"/>
    <w:rsid w:val="00422331"/>
    <w:rsid w:val="00433CCE"/>
    <w:rsid w:val="00437752"/>
    <w:rsid w:val="00450478"/>
    <w:rsid w:val="00450C89"/>
    <w:rsid w:val="00455A61"/>
    <w:rsid w:val="004609E0"/>
    <w:rsid w:val="00465099"/>
    <w:rsid w:val="004738FF"/>
    <w:rsid w:val="004846AB"/>
    <w:rsid w:val="004914C4"/>
    <w:rsid w:val="00495D57"/>
    <w:rsid w:val="00497E6A"/>
    <w:rsid w:val="004A3F47"/>
    <w:rsid w:val="004B4325"/>
    <w:rsid w:val="004E730C"/>
    <w:rsid w:val="004F5012"/>
    <w:rsid w:val="004F6D41"/>
    <w:rsid w:val="0050006A"/>
    <w:rsid w:val="005008D0"/>
    <w:rsid w:val="005143A3"/>
    <w:rsid w:val="00521FE1"/>
    <w:rsid w:val="0052509F"/>
    <w:rsid w:val="00530616"/>
    <w:rsid w:val="0053180D"/>
    <w:rsid w:val="00535B97"/>
    <w:rsid w:val="00535EF5"/>
    <w:rsid w:val="005371A5"/>
    <w:rsid w:val="00545A63"/>
    <w:rsid w:val="0056084D"/>
    <w:rsid w:val="005624EF"/>
    <w:rsid w:val="00565DEB"/>
    <w:rsid w:val="00576393"/>
    <w:rsid w:val="00580673"/>
    <w:rsid w:val="00585681"/>
    <w:rsid w:val="005A0CE2"/>
    <w:rsid w:val="005E5A89"/>
    <w:rsid w:val="005E6288"/>
    <w:rsid w:val="005F434D"/>
    <w:rsid w:val="005F57E3"/>
    <w:rsid w:val="005F6141"/>
    <w:rsid w:val="00612FBC"/>
    <w:rsid w:val="00613E42"/>
    <w:rsid w:val="006155A9"/>
    <w:rsid w:val="006313E4"/>
    <w:rsid w:val="00634B28"/>
    <w:rsid w:val="00656250"/>
    <w:rsid w:val="00673D95"/>
    <w:rsid w:val="006750CA"/>
    <w:rsid w:val="00684273"/>
    <w:rsid w:val="00691FD6"/>
    <w:rsid w:val="00693B51"/>
    <w:rsid w:val="006A6463"/>
    <w:rsid w:val="006B7F68"/>
    <w:rsid w:val="006D0133"/>
    <w:rsid w:val="006D4801"/>
    <w:rsid w:val="006E3D27"/>
    <w:rsid w:val="006F1369"/>
    <w:rsid w:val="006F5EEC"/>
    <w:rsid w:val="00700061"/>
    <w:rsid w:val="00704280"/>
    <w:rsid w:val="00704CBF"/>
    <w:rsid w:val="0070549D"/>
    <w:rsid w:val="00711751"/>
    <w:rsid w:val="007324FB"/>
    <w:rsid w:val="00743F5C"/>
    <w:rsid w:val="00744717"/>
    <w:rsid w:val="00756192"/>
    <w:rsid w:val="0076244C"/>
    <w:rsid w:val="00770D83"/>
    <w:rsid w:val="007817A6"/>
    <w:rsid w:val="0078564B"/>
    <w:rsid w:val="0079716A"/>
    <w:rsid w:val="007A1017"/>
    <w:rsid w:val="007C066E"/>
    <w:rsid w:val="007C11BA"/>
    <w:rsid w:val="007E06C1"/>
    <w:rsid w:val="007E0775"/>
    <w:rsid w:val="007E09BC"/>
    <w:rsid w:val="007E264F"/>
    <w:rsid w:val="007F1ABE"/>
    <w:rsid w:val="007F1B41"/>
    <w:rsid w:val="007F1E69"/>
    <w:rsid w:val="008000B3"/>
    <w:rsid w:val="00814B8B"/>
    <w:rsid w:val="008247C7"/>
    <w:rsid w:val="008357E8"/>
    <w:rsid w:val="0084789F"/>
    <w:rsid w:val="008524C1"/>
    <w:rsid w:val="00860F13"/>
    <w:rsid w:val="00864974"/>
    <w:rsid w:val="008843E3"/>
    <w:rsid w:val="00885E72"/>
    <w:rsid w:val="00885FA6"/>
    <w:rsid w:val="00890C54"/>
    <w:rsid w:val="00894605"/>
    <w:rsid w:val="008A14F9"/>
    <w:rsid w:val="008B281A"/>
    <w:rsid w:val="008D6A7C"/>
    <w:rsid w:val="008D71D7"/>
    <w:rsid w:val="008E0E26"/>
    <w:rsid w:val="008E113A"/>
    <w:rsid w:val="008E2191"/>
    <w:rsid w:val="008E59CD"/>
    <w:rsid w:val="008F096B"/>
    <w:rsid w:val="008F5777"/>
    <w:rsid w:val="00901B5B"/>
    <w:rsid w:val="00907C8C"/>
    <w:rsid w:val="00935263"/>
    <w:rsid w:val="00937DBB"/>
    <w:rsid w:val="009419AC"/>
    <w:rsid w:val="00953A56"/>
    <w:rsid w:val="0095646F"/>
    <w:rsid w:val="00957DF7"/>
    <w:rsid w:val="0096511F"/>
    <w:rsid w:val="00967D7C"/>
    <w:rsid w:val="009A08EA"/>
    <w:rsid w:val="009A7D1B"/>
    <w:rsid w:val="009B1D5F"/>
    <w:rsid w:val="009B22AF"/>
    <w:rsid w:val="009D0927"/>
    <w:rsid w:val="009E0AD0"/>
    <w:rsid w:val="009F4C08"/>
    <w:rsid w:val="00A03212"/>
    <w:rsid w:val="00A05374"/>
    <w:rsid w:val="00A16C96"/>
    <w:rsid w:val="00A30A87"/>
    <w:rsid w:val="00A31366"/>
    <w:rsid w:val="00A428B3"/>
    <w:rsid w:val="00A45AAB"/>
    <w:rsid w:val="00A53653"/>
    <w:rsid w:val="00A55D3D"/>
    <w:rsid w:val="00A56021"/>
    <w:rsid w:val="00A57656"/>
    <w:rsid w:val="00A740E2"/>
    <w:rsid w:val="00A7560A"/>
    <w:rsid w:val="00A86584"/>
    <w:rsid w:val="00A943B9"/>
    <w:rsid w:val="00AB58DA"/>
    <w:rsid w:val="00AB5C73"/>
    <w:rsid w:val="00AC3E01"/>
    <w:rsid w:val="00AE2C84"/>
    <w:rsid w:val="00AF210B"/>
    <w:rsid w:val="00AF2226"/>
    <w:rsid w:val="00AF5239"/>
    <w:rsid w:val="00B00AB1"/>
    <w:rsid w:val="00B03273"/>
    <w:rsid w:val="00B048F5"/>
    <w:rsid w:val="00B10E95"/>
    <w:rsid w:val="00B121FB"/>
    <w:rsid w:val="00B13473"/>
    <w:rsid w:val="00B45AED"/>
    <w:rsid w:val="00B5317C"/>
    <w:rsid w:val="00B55D24"/>
    <w:rsid w:val="00B65E3D"/>
    <w:rsid w:val="00B73A46"/>
    <w:rsid w:val="00B76042"/>
    <w:rsid w:val="00B84036"/>
    <w:rsid w:val="00BB09E6"/>
    <w:rsid w:val="00BD2B10"/>
    <w:rsid w:val="00BD53AF"/>
    <w:rsid w:val="00BD6768"/>
    <w:rsid w:val="00BE0686"/>
    <w:rsid w:val="00BE1814"/>
    <w:rsid w:val="00BF68E1"/>
    <w:rsid w:val="00C00D95"/>
    <w:rsid w:val="00C151E1"/>
    <w:rsid w:val="00C227AA"/>
    <w:rsid w:val="00C2630D"/>
    <w:rsid w:val="00C50796"/>
    <w:rsid w:val="00C63D85"/>
    <w:rsid w:val="00C66602"/>
    <w:rsid w:val="00C67C87"/>
    <w:rsid w:val="00C93009"/>
    <w:rsid w:val="00C95B6B"/>
    <w:rsid w:val="00C96E13"/>
    <w:rsid w:val="00CA63B0"/>
    <w:rsid w:val="00CA706E"/>
    <w:rsid w:val="00CA7BC1"/>
    <w:rsid w:val="00CB13E0"/>
    <w:rsid w:val="00CB24AD"/>
    <w:rsid w:val="00CB5EDA"/>
    <w:rsid w:val="00CC4D34"/>
    <w:rsid w:val="00CD3EBC"/>
    <w:rsid w:val="00CD5BAE"/>
    <w:rsid w:val="00CE1182"/>
    <w:rsid w:val="00CE3504"/>
    <w:rsid w:val="00CE59B0"/>
    <w:rsid w:val="00CE5F70"/>
    <w:rsid w:val="00CF21D0"/>
    <w:rsid w:val="00CF3883"/>
    <w:rsid w:val="00CF53DE"/>
    <w:rsid w:val="00D14043"/>
    <w:rsid w:val="00D21923"/>
    <w:rsid w:val="00D21A1F"/>
    <w:rsid w:val="00D225F4"/>
    <w:rsid w:val="00D31C1E"/>
    <w:rsid w:val="00D54BCE"/>
    <w:rsid w:val="00D725C4"/>
    <w:rsid w:val="00D803DD"/>
    <w:rsid w:val="00D8249E"/>
    <w:rsid w:val="00D93D8A"/>
    <w:rsid w:val="00D9450B"/>
    <w:rsid w:val="00DB3B9B"/>
    <w:rsid w:val="00DB68DE"/>
    <w:rsid w:val="00DC6099"/>
    <w:rsid w:val="00DD06A0"/>
    <w:rsid w:val="00DD4CFC"/>
    <w:rsid w:val="00DE0B6F"/>
    <w:rsid w:val="00DE1485"/>
    <w:rsid w:val="00DF0029"/>
    <w:rsid w:val="00DF7558"/>
    <w:rsid w:val="00E06873"/>
    <w:rsid w:val="00E208ED"/>
    <w:rsid w:val="00E2160B"/>
    <w:rsid w:val="00E257B2"/>
    <w:rsid w:val="00E33D60"/>
    <w:rsid w:val="00E33E8B"/>
    <w:rsid w:val="00E34766"/>
    <w:rsid w:val="00E36F41"/>
    <w:rsid w:val="00E44018"/>
    <w:rsid w:val="00E53ABF"/>
    <w:rsid w:val="00E62511"/>
    <w:rsid w:val="00E6324C"/>
    <w:rsid w:val="00E66234"/>
    <w:rsid w:val="00E66D63"/>
    <w:rsid w:val="00E77B6B"/>
    <w:rsid w:val="00E80E85"/>
    <w:rsid w:val="00EA08F6"/>
    <w:rsid w:val="00EA296A"/>
    <w:rsid w:val="00EB302E"/>
    <w:rsid w:val="00EB360A"/>
    <w:rsid w:val="00EB5683"/>
    <w:rsid w:val="00EC38D9"/>
    <w:rsid w:val="00ED5DF4"/>
    <w:rsid w:val="00EE1655"/>
    <w:rsid w:val="00EE31E7"/>
    <w:rsid w:val="00EF7611"/>
    <w:rsid w:val="00F0176D"/>
    <w:rsid w:val="00F0179E"/>
    <w:rsid w:val="00F02471"/>
    <w:rsid w:val="00F02810"/>
    <w:rsid w:val="00F066C9"/>
    <w:rsid w:val="00F11D5A"/>
    <w:rsid w:val="00F1595C"/>
    <w:rsid w:val="00F159B7"/>
    <w:rsid w:val="00F16BE1"/>
    <w:rsid w:val="00F20412"/>
    <w:rsid w:val="00F26D57"/>
    <w:rsid w:val="00F27481"/>
    <w:rsid w:val="00F30603"/>
    <w:rsid w:val="00F40770"/>
    <w:rsid w:val="00F45641"/>
    <w:rsid w:val="00F60793"/>
    <w:rsid w:val="00F722B7"/>
    <w:rsid w:val="00F871FD"/>
    <w:rsid w:val="00F94BA4"/>
    <w:rsid w:val="00FA0243"/>
    <w:rsid w:val="00FA3797"/>
    <w:rsid w:val="00FA4196"/>
    <w:rsid w:val="00FD6526"/>
    <w:rsid w:val="00FD6FA7"/>
    <w:rsid w:val="00FD759E"/>
    <w:rsid w:val="00FE64FB"/>
    <w:rsid w:val="00FE7802"/>
    <w:rsid w:val="00FF0446"/>
    <w:rsid w:val="00FF76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1E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FA7"/>
    <w:rPr>
      <w:color w:val="808080"/>
    </w:rPr>
  </w:style>
  <w:style w:type="paragraph" w:styleId="HTMLPreformatted">
    <w:name w:val="HTML Preformatted"/>
    <w:basedOn w:val="Normal"/>
    <w:link w:val="HTMLPreformattedChar"/>
    <w:uiPriority w:val="99"/>
    <w:semiHidden/>
    <w:unhideWhenUsed/>
    <w:rsid w:val="0096511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6511F"/>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28116">
      <w:bodyDiv w:val="1"/>
      <w:marLeft w:val="0"/>
      <w:marRight w:val="0"/>
      <w:marTop w:val="0"/>
      <w:marBottom w:val="0"/>
      <w:divBdr>
        <w:top w:val="none" w:sz="0" w:space="0" w:color="auto"/>
        <w:left w:val="none" w:sz="0" w:space="0" w:color="auto"/>
        <w:bottom w:val="none" w:sz="0" w:space="0" w:color="auto"/>
        <w:right w:val="none" w:sz="0" w:space="0" w:color="auto"/>
      </w:divBdr>
    </w:div>
    <w:div w:id="518937091">
      <w:bodyDiv w:val="1"/>
      <w:marLeft w:val="0"/>
      <w:marRight w:val="0"/>
      <w:marTop w:val="0"/>
      <w:marBottom w:val="0"/>
      <w:divBdr>
        <w:top w:val="none" w:sz="0" w:space="0" w:color="auto"/>
        <w:left w:val="none" w:sz="0" w:space="0" w:color="auto"/>
        <w:bottom w:val="none" w:sz="0" w:space="0" w:color="auto"/>
        <w:right w:val="none" w:sz="0" w:space="0" w:color="auto"/>
      </w:divBdr>
    </w:div>
    <w:div w:id="623853990">
      <w:bodyDiv w:val="1"/>
      <w:marLeft w:val="0"/>
      <w:marRight w:val="0"/>
      <w:marTop w:val="0"/>
      <w:marBottom w:val="0"/>
      <w:divBdr>
        <w:top w:val="none" w:sz="0" w:space="0" w:color="auto"/>
        <w:left w:val="none" w:sz="0" w:space="0" w:color="auto"/>
        <w:bottom w:val="none" w:sz="0" w:space="0" w:color="auto"/>
        <w:right w:val="none" w:sz="0" w:space="0" w:color="auto"/>
      </w:divBdr>
    </w:div>
    <w:div w:id="747732204">
      <w:bodyDiv w:val="1"/>
      <w:marLeft w:val="0"/>
      <w:marRight w:val="0"/>
      <w:marTop w:val="0"/>
      <w:marBottom w:val="0"/>
      <w:divBdr>
        <w:top w:val="none" w:sz="0" w:space="0" w:color="auto"/>
        <w:left w:val="none" w:sz="0" w:space="0" w:color="auto"/>
        <w:bottom w:val="none" w:sz="0" w:space="0" w:color="auto"/>
        <w:right w:val="none" w:sz="0" w:space="0" w:color="auto"/>
      </w:divBdr>
    </w:div>
    <w:div w:id="826942902">
      <w:bodyDiv w:val="1"/>
      <w:marLeft w:val="0"/>
      <w:marRight w:val="0"/>
      <w:marTop w:val="0"/>
      <w:marBottom w:val="0"/>
      <w:divBdr>
        <w:top w:val="none" w:sz="0" w:space="0" w:color="auto"/>
        <w:left w:val="none" w:sz="0" w:space="0" w:color="auto"/>
        <w:bottom w:val="none" w:sz="0" w:space="0" w:color="auto"/>
        <w:right w:val="none" w:sz="0" w:space="0" w:color="auto"/>
      </w:divBdr>
    </w:div>
    <w:div w:id="837421678">
      <w:bodyDiv w:val="1"/>
      <w:marLeft w:val="0"/>
      <w:marRight w:val="0"/>
      <w:marTop w:val="0"/>
      <w:marBottom w:val="0"/>
      <w:divBdr>
        <w:top w:val="none" w:sz="0" w:space="0" w:color="auto"/>
        <w:left w:val="none" w:sz="0" w:space="0" w:color="auto"/>
        <w:bottom w:val="none" w:sz="0" w:space="0" w:color="auto"/>
        <w:right w:val="none" w:sz="0" w:space="0" w:color="auto"/>
      </w:divBdr>
    </w:div>
    <w:div w:id="1036349927">
      <w:bodyDiv w:val="1"/>
      <w:marLeft w:val="0"/>
      <w:marRight w:val="0"/>
      <w:marTop w:val="0"/>
      <w:marBottom w:val="0"/>
      <w:divBdr>
        <w:top w:val="none" w:sz="0" w:space="0" w:color="auto"/>
        <w:left w:val="none" w:sz="0" w:space="0" w:color="auto"/>
        <w:bottom w:val="none" w:sz="0" w:space="0" w:color="auto"/>
        <w:right w:val="none" w:sz="0" w:space="0" w:color="auto"/>
      </w:divBdr>
    </w:div>
    <w:div w:id="1913663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1713</Words>
  <Characters>8655</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2017-11-05T16:31:00Z</cp:lastPrinted>
  <dcterms:created xsi:type="dcterms:W3CDTF">2017-11-05T16:31:00Z</dcterms:created>
  <dcterms:modified xsi:type="dcterms:W3CDTF">2017-11-07T02:14:00Z</dcterms:modified>
</cp:coreProperties>
</file>