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4B609" w14:textId="788F4753" w:rsidR="001949FB" w:rsidRPr="00C50796" w:rsidRDefault="00E257B2">
      <w:pPr>
        <w:rPr>
          <w:b/>
          <w:sz w:val="32"/>
        </w:rPr>
      </w:pPr>
      <w:r w:rsidRPr="00C50796">
        <w:rPr>
          <w:b/>
          <w:sz w:val="32"/>
        </w:rPr>
        <w:t xml:space="preserve">CS7646 </w:t>
      </w:r>
      <w:r w:rsidR="00F871FD">
        <w:rPr>
          <w:b/>
          <w:sz w:val="32"/>
        </w:rPr>
        <w:t xml:space="preserve">Strategy </w:t>
      </w:r>
      <w:r w:rsidR="000A03D2">
        <w:rPr>
          <w:b/>
          <w:sz w:val="32"/>
        </w:rPr>
        <w:t xml:space="preserve">Learner </w:t>
      </w:r>
      <w:r w:rsidR="00F871FD">
        <w:rPr>
          <w:b/>
          <w:sz w:val="32"/>
        </w:rPr>
        <w:t>Project</w:t>
      </w:r>
      <w:r w:rsidR="00C50796" w:rsidRPr="00C50796">
        <w:rPr>
          <w:b/>
          <w:sz w:val="32"/>
        </w:rPr>
        <w:t xml:space="preserve"> Report</w:t>
      </w:r>
    </w:p>
    <w:p w14:paraId="4C905DD5" w14:textId="4847BE40" w:rsidR="00D21A1F" w:rsidRPr="00FA3797" w:rsidRDefault="00C50796">
      <w:pPr>
        <w:rPr>
          <w:sz w:val="22"/>
        </w:rPr>
      </w:pPr>
      <w:r w:rsidRPr="00FA3797">
        <w:rPr>
          <w:sz w:val="22"/>
        </w:rPr>
        <w:t xml:space="preserve">Author: </w:t>
      </w:r>
      <w:r w:rsidR="00D21A1F" w:rsidRPr="00FA3797">
        <w:rPr>
          <w:sz w:val="22"/>
        </w:rPr>
        <w:t>Yu Bai (GID ybai67)</w:t>
      </w:r>
    </w:p>
    <w:p w14:paraId="596CA3F2" w14:textId="2AECB106" w:rsidR="00D21A1F" w:rsidRPr="00FA3797" w:rsidRDefault="00C50796">
      <w:pPr>
        <w:rPr>
          <w:sz w:val="22"/>
        </w:rPr>
      </w:pPr>
      <w:r w:rsidRPr="00FA3797">
        <w:rPr>
          <w:sz w:val="22"/>
        </w:rPr>
        <w:t>Date:</w:t>
      </w:r>
      <w:r w:rsidRPr="00FA3797">
        <w:rPr>
          <w:sz w:val="22"/>
        </w:rPr>
        <w:tab/>
      </w:r>
      <w:r w:rsidR="000A03D2">
        <w:rPr>
          <w:sz w:val="22"/>
        </w:rPr>
        <w:t>12/03</w:t>
      </w:r>
      <w:r w:rsidR="00D21A1F" w:rsidRPr="00FA3797">
        <w:rPr>
          <w:sz w:val="22"/>
        </w:rPr>
        <w:t>/2017</w:t>
      </w:r>
    </w:p>
    <w:p w14:paraId="509B8322" w14:textId="77777777" w:rsidR="00D21A1F" w:rsidRDefault="00D21A1F">
      <w:pPr>
        <w:rPr>
          <w:sz w:val="22"/>
        </w:rPr>
      </w:pPr>
    </w:p>
    <w:p w14:paraId="72A2D3E1" w14:textId="77777777" w:rsidR="00FA3797" w:rsidRPr="00FA3797" w:rsidRDefault="00FA3797">
      <w:pPr>
        <w:rPr>
          <w:sz w:val="22"/>
        </w:rPr>
      </w:pPr>
    </w:p>
    <w:p w14:paraId="7460EB6C" w14:textId="19FC8578" w:rsidR="00D21A1F" w:rsidRPr="00DB68DE" w:rsidRDefault="00FA3797">
      <w:pPr>
        <w:rPr>
          <w:b/>
          <w:sz w:val="22"/>
          <w:szCs w:val="22"/>
        </w:rPr>
      </w:pPr>
      <w:r w:rsidRPr="00DB68DE">
        <w:rPr>
          <w:b/>
          <w:sz w:val="22"/>
          <w:szCs w:val="22"/>
        </w:rPr>
        <w:t xml:space="preserve">1: </w:t>
      </w:r>
      <w:r w:rsidR="00F50BE6">
        <w:rPr>
          <w:b/>
          <w:sz w:val="22"/>
          <w:szCs w:val="22"/>
        </w:rPr>
        <w:t>Strategy Learner construction &amp; training</w:t>
      </w:r>
    </w:p>
    <w:p w14:paraId="645EDA66" w14:textId="74D33E74" w:rsidR="00B5317C" w:rsidRDefault="00F871FD" w:rsidP="00B5317C">
      <w:pPr>
        <w:rPr>
          <w:sz w:val="22"/>
          <w:szCs w:val="22"/>
        </w:rPr>
      </w:pPr>
      <w:r>
        <w:rPr>
          <w:sz w:val="22"/>
          <w:szCs w:val="22"/>
        </w:rPr>
        <w:tab/>
      </w:r>
      <w:r w:rsidR="00F50BE6">
        <w:rPr>
          <w:sz w:val="22"/>
          <w:szCs w:val="22"/>
        </w:rPr>
        <w:t>The same 5</w:t>
      </w:r>
      <w:r>
        <w:rPr>
          <w:sz w:val="22"/>
          <w:szCs w:val="22"/>
        </w:rPr>
        <w:t xml:space="preserve"> technique indicators </w:t>
      </w:r>
      <w:r w:rsidR="00F50BE6">
        <w:rPr>
          <w:sz w:val="22"/>
          <w:szCs w:val="22"/>
        </w:rPr>
        <w:t xml:space="preserve">used in the Manual Strategy </w:t>
      </w:r>
      <w:r>
        <w:rPr>
          <w:sz w:val="22"/>
          <w:szCs w:val="22"/>
        </w:rPr>
        <w:t xml:space="preserve">are </w:t>
      </w:r>
      <w:r w:rsidR="00F50BE6">
        <w:rPr>
          <w:sz w:val="22"/>
          <w:szCs w:val="22"/>
        </w:rPr>
        <w:t xml:space="preserve">also </w:t>
      </w:r>
      <w:r>
        <w:rPr>
          <w:sz w:val="22"/>
          <w:szCs w:val="22"/>
        </w:rPr>
        <w:t xml:space="preserve">considered </w:t>
      </w:r>
      <w:r w:rsidR="00F50BE6">
        <w:rPr>
          <w:sz w:val="22"/>
          <w:szCs w:val="22"/>
        </w:rPr>
        <w:t>for the Strategy Learner:</w:t>
      </w:r>
      <w:r>
        <w:rPr>
          <w:sz w:val="22"/>
          <w:szCs w:val="22"/>
        </w:rPr>
        <w:t xml:space="preserve"> </w:t>
      </w:r>
      <w:r w:rsidR="00AD2220">
        <w:rPr>
          <w:sz w:val="22"/>
          <w:szCs w:val="22"/>
        </w:rPr>
        <w:t>price/</w:t>
      </w:r>
      <w:r w:rsidR="0003289C">
        <w:rPr>
          <w:sz w:val="22"/>
          <w:szCs w:val="22"/>
        </w:rPr>
        <w:t>s</w:t>
      </w:r>
      <w:r w:rsidR="00C227AA">
        <w:rPr>
          <w:sz w:val="22"/>
          <w:szCs w:val="22"/>
        </w:rPr>
        <w:t xml:space="preserve">imple </w:t>
      </w:r>
      <w:r w:rsidR="0003289C">
        <w:rPr>
          <w:sz w:val="22"/>
          <w:szCs w:val="22"/>
        </w:rPr>
        <w:t>moving a</w:t>
      </w:r>
      <w:r w:rsidR="00C227AA">
        <w:rPr>
          <w:sz w:val="22"/>
          <w:szCs w:val="22"/>
        </w:rPr>
        <w:t xml:space="preserve">verage </w:t>
      </w:r>
      <w:r w:rsidR="00AD2220">
        <w:rPr>
          <w:sz w:val="22"/>
          <w:szCs w:val="22"/>
        </w:rPr>
        <w:t xml:space="preserve">ratio </w:t>
      </w:r>
      <w:r w:rsidR="00C227AA">
        <w:rPr>
          <w:sz w:val="22"/>
          <w:szCs w:val="22"/>
        </w:rPr>
        <w:t>(</w:t>
      </w:r>
      <w:r w:rsidR="00AD2220">
        <w:rPr>
          <w:sz w:val="22"/>
          <w:szCs w:val="22"/>
        </w:rPr>
        <w:t>P2</w:t>
      </w:r>
      <w:r w:rsidR="00C227AA">
        <w:rPr>
          <w:sz w:val="22"/>
          <w:szCs w:val="22"/>
        </w:rPr>
        <w:t xml:space="preserve">SMA), </w:t>
      </w:r>
      <w:r w:rsidR="00437752">
        <w:rPr>
          <w:sz w:val="22"/>
          <w:szCs w:val="22"/>
        </w:rPr>
        <w:t xml:space="preserve">percentage </w:t>
      </w:r>
      <w:r w:rsidR="0003289C">
        <w:rPr>
          <w:sz w:val="22"/>
          <w:szCs w:val="22"/>
        </w:rPr>
        <w:t>Bollinger</w:t>
      </w:r>
      <w:r w:rsidR="00EA08F6">
        <w:rPr>
          <w:sz w:val="22"/>
          <w:szCs w:val="22"/>
        </w:rPr>
        <w:t>®</w:t>
      </w:r>
      <w:r w:rsidR="0003289C">
        <w:rPr>
          <w:sz w:val="22"/>
          <w:szCs w:val="22"/>
        </w:rPr>
        <w:t xml:space="preserve"> band (%BB), rel</w:t>
      </w:r>
      <w:r w:rsidR="009E0AD0">
        <w:rPr>
          <w:sz w:val="22"/>
          <w:szCs w:val="22"/>
        </w:rPr>
        <w:t>ative strength index (RSI), momentum</w:t>
      </w:r>
      <w:r w:rsidR="00F50BE6">
        <w:rPr>
          <w:sz w:val="22"/>
          <w:szCs w:val="22"/>
        </w:rPr>
        <w:t>,</w:t>
      </w:r>
      <w:r w:rsidR="009E0AD0">
        <w:rPr>
          <w:sz w:val="22"/>
          <w:szCs w:val="22"/>
        </w:rPr>
        <w:t xml:space="preserve"> and </w:t>
      </w:r>
      <w:r w:rsidR="00FF5322">
        <w:rPr>
          <w:sz w:val="22"/>
          <w:szCs w:val="22"/>
        </w:rPr>
        <w:t>relative</w:t>
      </w:r>
      <w:r w:rsidR="00F50BE6">
        <w:rPr>
          <w:sz w:val="22"/>
          <w:szCs w:val="22"/>
        </w:rPr>
        <w:t xml:space="preserve"> </w:t>
      </w:r>
      <w:r w:rsidR="00864974">
        <w:rPr>
          <w:sz w:val="22"/>
          <w:szCs w:val="22"/>
        </w:rPr>
        <w:t>standard deviation</w:t>
      </w:r>
      <w:r w:rsidR="00F50BE6">
        <w:rPr>
          <w:sz w:val="22"/>
          <w:szCs w:val="22"/>
        </w:rPr>
        <w:t xml:space="preserve"> of the moving average</w:t>
      </w:r>
      <w:r w:rsidR="00FF5322">
        <w:rPr>
          <w:sz w:val="22"/>
          <w:szCs w:val="22"/>
        </w:rPr>
        <w:t xml:space="preserve"> (i.e. normalized to the moving average)</w:t>
      </w:r>
      <w:r w:rsidR="009E0AD0">
        <w:rPr>
          <w:sz w:val="22"/>
          <w:szCs w:val="22"/>
        </w:rPr>
        <w:t xml:space="preserve">. </w:t>
      </w:r>
      <w:r w:rsidR="004274B7">
        <w:rPr>
          <w:sz w:val="22"/>
          <w:szCs w:val="22"/>
        </w:rPr>
        <w:t xml:space="preserve">Same as in the Manual Strategy the lookback window is 20 for SMA and 40 for momentum. </w:t>
      </w:r>
      <w:r w:rsidR="00F50BE6">
        <w:rPr>
          <w:sz w:val="22"/>
          <w:szCs w:val="22"/>
        </w:rPr>
        <w:t xml:space="preserve">The first 3 help judge if a stock is oversold or undersold, the latter 2 help filter out random fluctuation from true trading opportunities. </w:t>
      </w:r>
    </w:p>
    <w:p w14:paraId="372B2C86" w14:textId="77D27BF1" w:rsidR="00A05374" w:rsidRDefault="00F50BE6" w:rsidP="00B5317C">
      <w:pPr>
        <w:rPr>
          <w:sz w:val="22"/>
          <w:szCs w:val="22"/>
        </w:rPr>
      </w:pPr>
      <w:r>
        <w:rPr>
          <w:sz w:val="22"/>
          <w:szCs w:val="22"/>
        </w:rPr>
        <w:tab/>
        <w:t xml:space="preserve">The Strategy Learner is Q-learning based. </w:t>
      </w:r>
      <w:r w:rsidR="00075ABE">
        <w:rPr>
          <w:sz w:val="22"/>
          <w:szCs w:val="22"/>
        </w:rPr>
        <w:t xml:space="preserve">It </w:t>
      </w:r>
      <w:r w:rsidR="003A7836">
        <w:rPr>
          <w:sz w:val="22"/>
          <w:szCs w:val="22"/>
        </w:rPr>
        <w:t>models</w:t>
      </w:r>
      <w:r w:rsidR="00075ABE">
        <w:rPr>
          <w:sz w:val="22"/>
          <w:szCs w:val="22"/>
        </w:rPr>
        <w:t xml:space="preserve"> the </w:t>
      </w:r>
      <w:r w:rsidR="003A7836">
        <w:rPr>
          <w:sz w:val="22"/>
          <w:szCs w:val="22"/>
        </w:rPr>
        <w:t xml:space="preserve">stock </w:t>
      </w:r>
      <w:r w:rsidR="00075ABE">
        <w:rPr>
          <w:sz w:val="22"/>
          <w:szCs w:val="22"/>
        </w:rPr>
        <w:t xml:space="preserve">trading problem </w:t>
      </w:r>
      <w:r w:rsidR="003A7836">
        <w:rPr>
          <w:sz w:val="22"/>
          <w:szCs w:val="22"/>
        </w:rPr>
        <w:t>as</w:t>
      </w:r>
      <w:r w:rsidR="00075ABE">
        <w:rPr>
          <w:sz w:val="22"/>
          <w:szCs w:val="22"/>
        </w:rPr>
        <w:t xml:space="preserve"> a Markov Decision </w:t>
      </w:r>
      <w:r w:rsidR="007C10E7">
        <w:rPr>
          <w:sz w:val="22"/>
          <w:szCs w:val="22"/>
        </w:rPr>
        <w:t>Process as fol</w:t>
      </w:r>
      <w:r w:rsidR="00D90232">
        <w:rPr>
          <w:sz w:val="22"/>
          <w:szCs w:val="22"/>
        </w:rPr>
        <w:t>lows</w:t>
      </w:r>
      <w:r w:rsidR="007C10E7">
        <w:rPr>
          <w:sz w:val="22"/>
          <w:szCs w:val="22"/>
        </w:rPr>
        <w:t>:</w:t>
      </w:r>
      <w:r w:rsidR="00075ABE">
        <w:rPr>
          <w:sz w:val="22"/>
          <w:szCs w:val="22"/>
        </w:rPr>
        <w:t xml:space="preserve"> </w:t>
      </w:r>
    </w:p>
    <w:p w14:paraId="02C82751" w14:textId="77777777" w:rsidR="00B6429E" w:rsidRDefault="00B6429E" w:rsidP="00B5317C">
      <w:pPr>
        <w:rPr>
          <w:sz w:val="22"/>
          <w:szCs w:val="22"/>
        </w:rPr>
      </w:pPr>
    </w:p>
    <w:p w14:paraId="1A09E5D2" w14:textId="77777777" w:rsidR="00FF5322" w:rsidRDefault="007C10E7" w:rsidP="007C10E7">
      <w:pPr>
        <w:rPr>
          <w:sz w:val="22"/>
          <w:szCs w:val="22"/>
        </w:rPr>
      </w:pPr>
      <w:r w:rsidRPr="00AD2220">
        <w:rPr>
          <w:b/>
          <w:sz w:val="22"/>
          <w:szCs w:val="22"/>
        </w:rPr>
        <w:t>States</w:t>
      </w:r>
      <w:r w:rsidRPr="00AD2220">
        <w:rPr>
          <w:sz w:val="22"/>
          <w:szCs w:val="22"/>
        </w:rPr>
        <w:t>:</w:t>
      </w:r>
      <w:r w:rsidR="009E48DD" w:rsidRPr="00AD2220">
        <w:rPr>
          <w:sz w:val="22"/>
          <w:szCs w:val="22"/>
        </w:rPr>
        <w:t xml:space="preserve"> </w:t>
      </w:r>
      <w:r w:rsidR="00AD2220">
        <w:rPr>
          <w:sz w:val="22"/>
          <w:szCs w:val="22"/>
        </w:rPr>
        <w:t>a state is determined by the values of the 5 indicators and the holding status. Each indicator is discretized according to a set of thresholds</w:t>
      </w:r>
      <w:r w:rsidR="007E0BB4">
        <w:rPr>
          <w:sz w:val="22"/>
          <w:szCs w:val="22"/>
        </w:rPr>
        <w:t xml:space="preserve"> with right boundary exclusion</w:t>
      </w:r>
      <w:r w:rsidR="00AD2220">
        <w:rPr>
          <w:sz w:val="22"/>
          <w:szCs w:val="22"/>
        </w:rPr>
        <w:t xml:space="preserve">. </w:t>
      </w:r>
    </w:p>
    <w:p w14:paraId="098099F0" w14:textId="2EF75E9F" w:rsidR="00FF5322" w:rsidRPr="00FF5322" w:rsidRDefault="00FF5322" w:rsidP="00FF5322">
      <w:pPr>
        <w:rPr>
          <w:sz w:val="18"/>
          <w:szCs w:val="18"/>
        </w:rPr>
      </w:pPr>
      <m:oMath>
        <m:r>
          <w:rPr>
            <w:rFonts w:ascii="Cambria Math" w:hAnsi="Cambria Math"/>
            <w:sz w:val="18"/>
            <w:szCs w:val="18"/>
          </w:rPr>
          <m:t>P2SMA thresholds={0.9, 1.1}</m:t>
        </m:r>
      </m:oMath>
      <w:r w:rsidRPr="00FF5322">
        <w:rPr>
          <w:sz w:val="18"/>
          <w:szCs w:val="18"/>
        </w:rPr>
        <w:t>:</w:t>
      </w:r>
      <w:r>
        <w:rPr>
          <w:sz w:val="18"/>
          <w:szCs w:val="18"/>
        </w:rPr>
        <w:tab/>
      </w:r>
      <m:oMath>
        <m:r>
          <w:rPr>
            <w:rFonts w:ascii="Cambria Math" w:hAnsi="Cambria Math"/>
            <w:sz w:val="18"/>
            <w:szCs w:val="18"/>
          </w:rPr>
          <m:t>P2SMA&lt;0.9</m:t>
        </m:r>
      </m:oMath>
      <w:r w:rsidRPr="00FF5322">
        <w:rPr>
          <w:sz w:val="18"/>
          <w:szCs w:val="18"/>
        </w:rPr>
        <w:t xml:space="preserve">,  </w:t>
      </w:r>
      <m:oMath>
        <m:r>
          <w:rPr>
            <w:rFonts w:ascii="Cambria Math" w:hAnsi="Cambria Math"/>
            <w:sz w:val="18"/>
            <w:szCs w:val="18"/>
          </w:rPr>
          <m:t>0.9≤P2SMA&lt;1.1</m:t>
        </m:r>
      </m:oMath>
      <w:r w:rsidRPr="00FF5322">
        <w:rPr>
          <w:sz w:val="18"/>
          <w:szCs w:val="18"/>
        </w:rPr>
        <w:t xml:space="preserve">, and </w:t>
      </w:r>
      <m:oMath>
        <m:r>
          <w:rPr>
            <w:rFonts w:ascii="Cambria Math" w:hAnsi="Cambria Math"/>
            <w:sz w:val="18"/>
            <w:szCs w:val="18"/>
          </w:rPr>
          <m:t>P2SMA≥1.1</m:t>
        </m:r>
      </m:oMath>
      <w:r w:rsidRPr="00FF5322">
        <w:rPr>
          <w:sz w:val="18"/>
          <w:szCs w:val="18"/>
        </w:rPr>
        <w:t xml:space="preserve"> map to 0, 1, 2. </w:t>
      </w:r>
    </w:p>
    <w:p w14:paraId="1B4DC81F" w14:textId="0B6A70A1" w:rsidR="00FF5322" w:rsidRPr="00FF5322" w:rsidRDefault="00FF5322" w:rsidP="00FF5322">
      <w:pPr>
        <w:rPr>
          <w:sz w:val="18"/>
          <w:szCs w:val="18"/>
        </w:rPr>
      </w:pPr>
      <m:oMath>
        <m:r>
          <w:rPr>
            <w:rFonts w:ascii="Cambria Math" w:hAnsi="Cambria Math"/>
            <w:sz w:val="18"/>
            <w:szCs w:val="18"/>
          </w:rPr>
          <m:t>%BB thresholds={0, 1}</m:t>
        </m:r>
      </m:oMath>
      <w:r w:rsidRPr="00FF5322">
        <w:rPr>
          <w:sz w:val="18"/>
          <w:szCs w:val="18"/>
        </w:rPr>
        <w:t>:</w:t>
      </w:r>
      <w:r>
        <w:rPr>
          <w:sz w:val="18"/>
          <w:szCs w:val="18"/>
        </w:rPr>
        <w:tab/>
      </w:r>
      <w:r>
        <w:rPr>
          <w:sz w:val="18"/>
          <w:szCs w:val="18"/>
        </w:rPr>
        <w:tab/>
      </w:r>
      <m:oMath>
        <m:r>
          <w:rPr>
            <w:rFonts w:ascii="Cambria Math" w:hAnsi="Cambria Math"/>
            <w:sz w:val="18"/>
            <w:szCs w:val="18"/>
          </w:rPr>
          <m:t>%BB&lt;0</m:t>
        </m:r>
      </m:oMath>
      <w:r w:rsidRPr="00FF5322">
        <w:rPr>
          <w:sz w:val="18"/>
          <w:szCs w:val="18"/>
        </w:rPr>
        <w:t xml:space="preserve">,  </w:t>
      </w:r>
      <m:oMath>
        <m:r>
          <w:rPr>
            <w:rFonts w:ascii="Cambria Math" w:hAnsi="Cambria Math"/>
            <w:sz w:val="18"/>
            <w:szCs w:val="18"/>
          </w:rPr>
          <m:t>0≤%BB&lt;1</m:t>
        </m:r>
      </m:oMath>
      <w:r w:rsidRPr="00FF5322">
        <w:rPr>
          <w:sz w:val="18"/>
          <w:szCs w:val="18"/>
        </w:rPr>
        <w:t xml:space="preserve">, and </w:t>
      </w:r>
      <m:oMath>
        <m:r>
          <w:rPr>
            <w:rFonts w:ascii="Cambria Math" w:hAnsi="Cambria Math"/>
            <w:sz w:val="18"/>
            <w:szCs w:val="18"/>
          </w:rPr>
          <m:t>%BB≥1</m:t>
        </m:r>
      </m:oMath>
      <w:r w:rsidRPr="00FF5322">
        <w:rPr>
          <w:sz w:val="18"/>
          <w:szCs w:val="18"/>
        </w:rPr>
        <w:t xml:space="preserve"> map to 0, 1, 2. </w:t>
      </w:r>
    </w:p>
    <w:p w14:paraId="331BBAA2" w14:textId="7382D09B" w:rsidR="00FF5322" w:rsidRPr="00FF5322" w:rsidRDefault="00FF5322" w:rsidP="00FF5322">
      <w:pPr>
        <w:rPr>
          <w:sz w:val="18"/>
          <w:szCs w:val="18"/>
        </w:rPr>
      </w:pPr>
      <m:oMath>
        <m:r>
          <w:rPr>
            <w:rFonts w:ascii="Cambria Math" w:hAnsi="Cambria Math"/>
            <w:sz w:val="18"/>
            <w:szCs w:val="18"/>
          </w:rPr>
          <m:t>RSI thresholds={35, 60}</m:t>
        </m:r>
      </m:oMath>
      <w:r w:rsidRPr="00FF5322">
        <w:rPr>
          <w:sz w:val="18"/>
          <w:szCs w:val="18"/>
        </w:rPr>
        <w:t xml:space="preserve">: </w:t>
      </w:r>
      <w:r>
        <w:rPr>
          <w:rFonts w:eastAsiaTheme="minorEastAsia"/>
          <w:sz w:val="18"/>
          <w:szCs w:val="18"/>
        </w:rPr>
        <w:tab/>
      </w:r>
      <w:r>
        <w:rPr>
          <w:rFonts w:eastAsiaTheme="minorEastAsia"/>
          <w:sz w:val="18"/>
          <w:szCs w:val="18"/>
        </w:rPr>
        <w:tab/>
      </w:r>
      <m:oMath>
        <m:r>
          <w:rPr>
            <w:rFonts w:ascii="Cambria Math" w:hAnsi="Cambria Math"/>
            <w:sz w:val="18"/>
            <w:szCs w:val="18"/>
          </w:rPr>
          <m:t>RSI&lt;35</m:t>
        </m:r>
      </m:oMath>
      <w:r w:rsidRPr="00FF5322">
        <w:rPr>
          <w:sz w:val="18"/>
          <w:szCs w:val="18"/>
        </w:rPr>
        <w:t>,</w:t>
      </w:r>
      <w:r w:rsidR="00F51EF4">
        <w:rPr>
          <w:sz w:val="18"/>
          <w:szCs w:val="18"/>
        </w:rPr>
        <w:t xml:space="preserve"> </w:t>
      </w:r>
      <w:r w:rsidRPr="00FF5322">
        <w:rPr>
          <w:sz w:val="18"/>
          <w:szCs w:val="18"/>
        </w:rPr>
        <w:t xml:space="preserve">  </w:t>
      </w:r>
      <m:oMath>
        <m:r>
          <w:rPr>
            <w:rFonts w:ascii="Cambria Math" w:hAnsi="Cambria Math"/>
            <w:sz w:val="18"/>
            <w:szCs w:val="18"/>
          </w:rPr>
          <m:t>35≤RSI&lt;60</m:t>
        </m:r>
      </m:oMath>
      <w:r w:rsidRPr="00FF5322">
        <w:rPr>
          <w:sz w:val="18"/>
          <w:szCs w:val="18"/>
        </w:rPr>
        <w:t xml:space="preserve">, and </w:t>
      </w:r>
      <m:oMath>
        <m:r>
          <w:rPr>
            <w:rFonts w:ascii="Cambria Math" w:hAnsi="Cambria Math"/>
            <w:sz w:val="18"/>
            <w:szCs w:val="18"/>
          </w:rPr>
          <m:t>RSI≥60</m:t>
        </m:r>
      </m:oMath>
      <w:r w:rsidRPr="00FF5322">
        <w:rPr>
          <w:sz w:val="18"/>
          <w:szCs w:val="18"/>
        </w:rPr>
        <w:t xml:space="preserve"> map to 0, 1, 2. </w:t>
      </w:r>
    </w:p>
    <w:p w14:paraId="37DCA7A9" w14:textId="30A810DA" w:rsidR="00FF5322" w:rsidRPr="00FF5322" w:rsidRDefault="00FF5322" w:rsidP="00FF5322">
      <w:pPr>
        <w:rPr>
          <w:sz w:val="18"/>
          <w:szCs w:val="18"/>
        </w:rPr>
      </w:pPr>
      <m:oMath>
        <m:r>
          <w:rPr>
            <w:rFonts w:ascii="Cambria Math" w:hAnsi="Cambria Math"/>
            <w:sz w:val="18"/>
            <w:szCs w:val="18"/>
          </w:rPr>
          <m:t>momentum thresholds={0.2}</m:t>
        </m:r>
      </m:oMath>
      <w:r w:rsidRPr="00FF5322">
        <w:rPr>
          <w:sz w:val="18"/>
          <w:szCs w:val="18"/>
        </w:rPr>
        <w:t xml:space="preserve">: </w:t>
      </w:r>
      <w:r>
        <w:rPr>
          <w:rFonts w:eastAsiaTheme="minorEastAsia"/>
          <w:sz w:val="18"/>
          <w:szCs w:val="18"/>
        </w:rPr>
        <w:tab/>
      </w:r>
      <m:oMath>
        <m:r>
          <w:rPr>
            <w:rFonts w:ascii="Cambria Math" w:hAnsi="Cambria Math"/>
            <w:sz w:val="18"/>
            <w:szCs w:val="18"/>
          </w:rPr>
          <m:t>|momentum|&lt;0.2</m:t>
        </m:r>
      </m:oMath>
      <w:r w:rsidRPr="00FF5322">
        <w:rPr>
          <w:sz w:val="18"/>
          <w:szCs w:val="18"/>
        </w:rPr>
        <w:t xml:space="preserve">,  </w:t>
      </w:r>
      <m:oMath>
        <m:d>
          <m:dPr>
            <m:begChr m:val="|"/>
            <m:endChr m:val="|"/>
            <m:ctrlPr>
              <w:rPr>
                <w:rFonts w:ascii="Cambria Math" w:hAnsi="Cambria Math"/>
                <w:i/>
                <w:sz w:val="18"/>
                <w:szCs w:val="18"/>
              </w:rPr>
            </m:ctrlPr>
          </m:dPr>
          <m:e>
            <m:r>
              <w:rPr>
                <w:rFonts w:ascii="Cambria Math" w:hAnsi="Cambria Math"/>
                <w:sz w:val="18"/>
                <w:szCs w:val="18"/>
              </w:rPr>
              <m:t>momentum</m:t>
            </m:r>
          </m:e>
        </m:d>
        <m:r>
          <w:rPr>
            <w:rFonts w:ascii="Cambria Math" w:hAnsi="Cambria Math"/>
            <w:sz w:val="18"/>
            <w:szCs w:val="18"/>
          </w:rPr>
          <m:t>≥0.2</m:t>
        </m:r>
      </m:oMath>
      <w:r w:rsidRPr="00FF5322">
        <w:rPr>
          <w:sz w:val="18"/>
          <w:szCs w:val="18"/>
        </w:rPr>
        <w:t xml:space="preserve">, map to </w:t>
      </w:r>
      <w:r>
        <w:rPr>
          <w:sz w:val="18"/>
          <w:szCs w:val="18"/>
        </w:rPr>
        <w:t>0, 1</w:t>
      </w:r>
      <w:r w:rsidRPr="00FF5322">
        <w:rPr>
          <w:sz w:val="18"/>
          <w:szCs w:val="18"/>
        </w:rPr>
        <w:t xml:space="preserve">. </w:t>
      </w:r>
    </w:p>
    <w:p w14:paraId="733F95C4" w14:textId="61F6B96D" w:rsidR="00FF5322" w:rsidRPr="00FF5322" w:rsidRDefault="00ED7FB0" w:rsidP="00FF5322">
      <w:pPr>
        <w:rPr>
          <w:sz w:val="18"/>
          <w:szCs w:val="18"/>
        </w:rPr>
      </w:pPr>
      <m:oMath>
        <m:r>
          <w:rPr>
            <w:rFonts w:ascii="Cambria Math" w:hAnsi="Cambria Math"/>
            <w:sz w:val="18"/>
            <w:szCs w:val="18"/>
          </w:rPr>
          <m:t>rel. stdev of SMA ={0.07}</m:t>
        </m:r>
      </m:oMath>
      <w:r w:rsidR="00FF5322" w:rsidRPr="00FF5322">
        <w:rPr>
          <w:sz w:val="18"/>
          <w:szCs w:val="18"/>
        </w:rPr>
        <w:t xml:space="preserve">: </w:t>
      </w:r>
      <w:r w:rsidR="00FF5322">
        <w:rPr>
          <w:rFonts w:eastAsiaTheme="minorEastAsia"/>
          <w:sz w:val="18"/>
          <w:szCs w:val="18"/>
        </w:rPr>
        <w:tab/>
      </w:r>
      <m:oMath>
        <m:r>
          <w:rPr>
            <w:rFonts w:ascii="Cambria Math" w:hAnsi="Cambria Math"/>
            <w:sz w:val="18"/>
            <w:szCs w:val="18"/>
          </w:rPr>
          <m:t>&lt;0.07</m:t>
        </m:r>
      </m:oMath>
      <w:r w:rsidR="00FF5322" w:rsidRPr="00FF5322">
        <w:rPr>
          <w:sz w:val="18"/>
          <w:szCs w:val="18"/>
        </w:rPr>
        <w:t xml:space="preserve">,  </w:t>
      </w:r>
      <m:oMath>
        <m:r>
          <w:rPr>
            <w:rFonts w:ascii="Cambria Math" w:hAnsi="Cambria Math"/>
            <w:sz w:val="18"/>
            <w:szCs w:val="18"/>
          </w:rPr>
          <m:t>≥0.07</m:t>
        </m:r>
      </m:oMath>
      <w:r w:rsidR="00FF5322" w:rsidRPr="00FF5322">
        <w:rPr>
          <w:sz w:val="18"/>
          <w:szCs w:val="18"/>
        </w:rPr>
        <w:t xml:space="preserve">, map to </w:t>
      </w:r>
      <w:r w:rsidR="00FF5322">
        <w:rPr>
          <w:sz w:val="18"/>
          <w:szCs w:val="18"/>
        </w:rPr>
        <w:t>0, 1</w:t>
      </w:r>
      <w:r w:rsidR="00FF5322" w:rsidRPr="00FF5322">
        <w:rPr>
          <w:sz w:val="18"/>
          <w:szCs w:val="18"/>
        </w:rPr>
        <w:t xml:space="preserve">. </w:t>
      </w:r>
    </w:p>
    <w:p w14:paraId="4A5169E1" w14:textId="25E96670" w:rsidR="00DA60A0" w:rsidRPr="00FF5322" w:rsidRDefault="00DA60A0" w:rsidP="00DA60A0">
      <w:pPr>
        <w:rPr>
          <w:sz w:val="18"/>
          <w:szCs w:val="18"/>
        </w:rPr>
      </w:pPr>
      <m:oMath>
        <m:r>
          <w:rPr>
            <w:rFonts w:ascii="Cambria Math" w:hAnsi="Cambria Math"/>
            <w:sz w:val="18"/>
            <w:szCs w:val="18"/>
          </w:rPr>
          <m:t>holding status</m:t>
        </m:r>
      </m:oMath>
      <w:r w:rsidRPr="00FF5322">
        <w:rPr>
          <w:sz w:val="18"/>
          <w:szCs w:val="18"/>
        </w:rPr>
        <w:t xml:space="preserve">: </w:t>
      </w:r>
      <w:r>
        <w:rPr>
          <w:rFonts w:eastAsiaTheme="minorEastAsia"/>
          <w:sz w:val="18"/>
          <w:szCs w:val="18"/>
        </w:rPr>
        <w:tab/>
      </w:r>
      <w:r>
        <w:rPr>
          <w:rFonts w:eastAsiaTheme="minorEastAsia"/>
          <w:sz w:val="18"/>
          <w:szCs w:val="18"/>
        </w:rPr>
        <w:tab/>
      </w:r>
      <w:r>
        <w:rPr>
          <w:rFonts w:eastAsiaTheme="minorEastAsia"/>
          <w:sz w:val="18"/>
          <w:szCs w:val="18"/>
        </w:rPr>
        <w:tab/>
      </w:r>
      <m:oMath>
        <m:r>
          <w:rPr>
            <w:rFonts w:ascii="Cambria Math" w:eastAsiaTheme="minorEastAsia" w:hAnsi="Cambria Math"/>
            <w:sz w:val="18"/>
            <w:szCs w:val="18"/>
          </w:rPr>
          <m:t>LONG</m:t>
        </m:r>
      </m:oMath>
      <w:r>
        <w:rPr>
          <w:rFonts w:eastAsiaTheme="minorEastAsia"/>
          <w:sz w:val="18"/>
          <w:szCs w:val="18"/>
        </w:rPr>
        <w:t xml:space="preserve">, </w:t>
      </w:r>
      <m:oMath>
        <m:r>
          <w:rPr>
            <w:rFonts w:ascii="Cambria Math" w:hAnsi="Cambria Math"/>
            <w:sz w:val="18"/>
            <w:szCs w:val="18"/>
          </w:rPr>
          <m:t>SHORT</m:t>
        </m:r>
      </m:oMath>
      <w:r w:rsidRPr="00FF5322">
        <w:rPr>
          <w:sz w:val="18"/>
          <w:szCs w:val="18"/>
        </w:rPr>
        <w:t xml:space="preserve">, </w:t>
      </w:r>
      <m:oMath>
        <m:r>
          <w:rPr>
            <w:rFonts w:ascii="Cambria Math" w:hAnsi="Cambria Math"/>
            <w:sz w:val="18"/>
            <w:szCs w:val="18"/>
          </w:rPr>
          <m:t>CASH</m:t>
        </m:r>
      </m:oMath>
      <w:r w:rsidR="009E35B5">
        <w:rPr>
          <w:rFonts w:eastAsiaTheme="minorEastAsia"/>
          <w:sz w:val="18"/>
          <w:szCs w:val="18"/>
        </w:rPr>
        <w:t xml:space="preserve"> map to 0, 1, 2</w:t>
      </w:r>
    </w:p>
    <w:p w14:paraId="276A7FDD" w14:textId="60B7B5D9" w:rsidR="009E35B5" w:rsidRDefault="009E35B5" w:rsidP="007C10E7">
      <w:pPr>
        <w:rPr>
          <w:sz w:val="22"/>
          <w:szCs w:val="22"/>
        </w:rPr>
      </w:pPr>
      <w:r>
        <w:rPr>
          <w:sz w:val="22"/>
          <w:szCs w:val="22"/>
        </w:rPr>
        <w:t>The concatenation of the 6 discretized parameters (one digit per parameter) encode</w:t>
      </w:r>
      <w:r w:rsidR="004F76C1">
        <w:rPr>
          <w:sz w:val="22"/>
          <w:szCs w:val="22"/>
        </w:rPr>
        <w:t>s</w:t>
      </w:r>
      <w:r>
        <w:rPr>
          <w:sz w:val="22"/>
          <w:szCs w:val="22"/>
        </w:rPr>
        <w:t xml:space="preserve"> a state</w:t>
      </w:r>
      <w:r w:rsidR="00ED7FB0">
        <w:rPr>
          <w:sz w:val="22"/>
          <w:szCs w:val="22"/>
        </w:rPr>
        <w:t xml:space="preserve">. E.g. 010101 represents a state with </w:t>
      </w:r>
      <m:oMath>
        <m:r>
          <w:rPr>
            <w:rFonts w:ascii="Cambria Math" w:hAnsi="Cambria Math"/>
            <w:sz w:val="18"/>
            <w:szCs w:val="18"/>
          </w:rPr>
          <m:t>P2SMA&lt;0.9</m:t>
        </m:r>
      </m:oMath>
      <w:r w:rsidR="00ED7FB0">
        <w:rPr>
          <w:sz w:val="22"/>
          <w:szCs w:val="22"/>
        </w:rPr>
        <w:t xml:space="preserve">, </w:t>
      </w:r>
      <m:oMath>
        <m:r>
          <w:rPr>
            <w:rFonts w:ascii="Cambria Math" w:hAnsi="Cambria Math"/>
            <w:sz w:val="18"/>
            <w:szCs w:val="18"/>
          </w:rPr>
          <m:t>0≤%BB&lt;1</m:t>
        </m:r>
      </m:oMath>
      <w:r w:rsidR="00ED7FB0">
        <w:rPr>
          <w:sz w:val="22"/>
          <w:szCs w:val="22"/>
        </w:rPr>
        <w:t xml:space="preserve">, </w:t>
      </w:r>
      <m:oMath>
        <m:d>
          <m:dPr>
            <m:begChr m:val="|"/>
            <m:endChr m:val="|"/>
            <m:ctrlPr>
              <w:rPr>
                <w:rFonts w:ascii="Cambria Math" w:hAnsi="Cambria Math"/>
                <w:i/>
                <w:sz w:val="18"/>
                <w:szCs w:val="18"/>
              </w:rPr>
            </m:ctrlPr>
          </m:dPr>
          <m:e>
            <m:r>
              <w:rPr>
                <w:rFonts w:ascii="Cambria Math" w:hAnsi="Cambria Math"/>
                <w:sz w:val="18"/>
                <w:szCs w:val="18"/>
              </w:rPr>
              <m:t>momentum</m:t>
            </m:r>
          </m:e>
        </m:d>
        <m:r>
          <w:rPr>
            <w:rFonts w:ascii="Cambria Math" w:hAnsi="Cambria Math"/>
            <w:sz w:val="18"/>
            <w:szCs w:val="18"/>
          </w:rPr>
          <m:t>≥0.2</m:t>
        </m:r>
      </m:oMath>
      <w:r w:rsidR="00ED7FB0">
        <w:rPr>
          <w:sz w:val="22"/>
          <w:szCs w:val="22"/>
        </w:rPr>
        <w:t>,</w:t>
      </w:r>
      <m:oMath>
        <m:r>
          <w:rPr>
            <w:rFonts w:ascii="Cambria Math" w:hAnsi="Cambria Math"/>
            <w:sz w:val="18"/>
            <w:szCs w:val="18"/>
          </w:rPr>
          <m:t xml:space="preserve"> rel. stdev of SMA&lt;0.07</m:t>
        </m:r>
      </m:oMath>
      <w:r w:rsidR="00ED7FB0">
        <w:rPr>
          <w:sz w:val="22"/>
          <w:szCs w:val="22"/>
        </w:rPr>
        <w:t xml:space="preserve"> and holding LONG.</w:t>
      </w:r>
      <w:r>
        <w:rPr>
          <w:sz w:val="22"/>
          <w:szCs w:val="22"/>
        </w:rPr>
        <w:t xml:space="preserve"> In total, there are 3 x 3 x 3 x 2 x 2 x 3 = 324 states. Note that the indicators are not standardized because </w:t>
      </w:r>
      <w:r w:rsidR="00ED7FB0">
        <w:rPr>
          <w:sz w:val="22"/>
          <w:szCs w:val="22"/>
        </w:rPr>
        <w:t>each</w:t>
      </w:r>
      <w:r>
        <w:rPr>
          <w:sz w:val="22"/>
          <w:szCs w:val="22"/>
        </w:rPr>
        <w:t xml:space="preserve"> is already after a certain normalization and unit-less. </w:t>
      </w:r>
      <w:r w:rsidR="00F51EF4">
        <w:rPr>
          <w:sz w:val="22"/>
          <w:szCs w:val="22"/>
        </w:rPr>
        <w:t>In</w:t>
      </w:r>
      <w:r>
        <w:rPr>
          <w:sz w:val="22"/>
          <w:szCs w:val="22"/>
        </w:rPr>
        <w:t xml:space="preserve"> addition, </w:t>
      </w:r>
      <w:r w:rsidR="00F51EF4">
        <w:rPr>
          <w:sz w:val="22"/>
          <w:szCs w:val="22"/>
        </w:rPr>
        <w:t xml:space="preserve">we do not perform any comparisons across indicators </w:t>
      </w:r>
      <w:r w:rsidR="005844C3">
        <w:rPr>
          <w:sz w:val="22"/>
          <w:szCs w:val="22"/>
        </w:rPr>
        <w:t xml:space="preserve">so there is no bias induced by the different scale of the indicators. Moreover, the thresholds based on the current indicator values are meaningful and can be applied to different trading periods. </w:t>
      </w:r>
      <w:r w:rsidR="004F76C1">
        <w:rPr>
          <w:sz w:val="22"/>
          <w:szCs w:val="22"/>
        </w:rPr>
        <w:t>Rescaling/standardization</w:t>
      </w:r>
      <w:r w:rsidR="005844C3">
        <w:rPr>
          <w:sz w:val="22"/>
          <w:szCs w:val="22"/>
        </w:rPr>
        <w:t xml:space="preserve"> may instead </w:t>
      </w:r>
      <w:r w:rsidR="004F76C1">
        <w:rPr>
          <w:sz w:val="22"/>
          <w:szCs w:val="22"/>
        </w:rPr>
        <w:t>harm</w:t>
      </w:r>
      <w:r w:rsidR="005844C3">
        <w:rPr>
          <w:sz w:val="22"/>
          <w:szCs w:val="22"/>
        </w:rPr>
        <w:t xml:space="preserve"> the</w:t>
      </w:r>
      <w:r w:rsidR="004F76C1">
        <w:rPr>
          <w:sz w:val="22"/>
          <w:szCs w:val="22"/>
        </w:rPr>
        <w:t xml:space="preserve"> model</w:t>
      </w:r>
      <w:r w:rsidR="005844C3">
        <w:rPr>
          <w:sz w:val="22"/>
          <w:szCs w:val="22"/>
        </w:rPr>
        <w:t xml:space="preserve"> </w:t>
      </w:r>
      <w:r w:rsidR="004F76C1">
        <w:rPr>
          <w:sz w:val="22"/>
          <w:szCs w:val="22"/>
        </w:rPr>
        <w:t>generalizability.</w:t>
      </w:r>
    </w:p>
    <w:p w14:paraId="53990DF7" w14:textId="77777777" w:rsidR="00B6429E" w:rsidRDefault="00B6429E" w:rsidP="007C10E7">
      <w:pPr>
        <w:rPr>
          <w:b/>
          <w:sz w:val="22"/>
          <w:szCs w:val="22"/>
        </w:rPr>
      </w:pPr>
    </w:p>
    <w:p w14:paraId="23A226F7" w14:textId="435EED64" w:rsidR="002D467B" w:rsidRPr="00AD2220" w:rsidRDefault="007C10E7" w:rsidP="007C10E7">
      <w:pPr>
        <w:rPr>
          <w:sz w:val="22"/>
          <w:szCs w:val="22"/>
        </w:rPr>
      </w:pPr>
      <w:r w:rsidRPr="00630335">
        <w:rPr>
          <w:b/>
          <w:sz w:val="22"/>
          <w:szCs w:val="22"/>
        </w:rPr>
        <w:t>Actions</w:t>
      </w:r>
      <w:r w:rsidRPr="00AD2220">
        <w:rPr>
          <w:sz w:val="22"/>
          <w:szCs w:val="22"/>
        </w:rPr>
        <w:t>:</w:t>
      </w:r>
      <w:r w:rsidR="00630335">
        <w:rPr>
          <w:sz w:val="22"/>
          <w:szCs w:val="22"/>
        </w:rPr>
        <w:t xml:space="preserve"> </w:t>
      </w:r>
      <w:r w:rsidR="00B6429E">
        <w:rPr>
          <w:sz w:val="22"/>
          <w:szCs w:val="22"/>
        </w:rPr>
        <w:t>LONG, SHORT and CASH. It means the corresponding actions to achieve the 3 holding positions.</w:t>
      </w:r>
    </w:p>
    <w:p w14:paraId="31B997C6" w14:textId="77777777" w:rsidR="00B6429E" w:rsidRDefault="00B6429E" w:rsidP="007C10E7">
      <w:pPr>
        <w:rPr>
          <w:b/>
          <w:sz w:val="22"/>
          <w:szCs w:val="22"/>
        </w:rPr>
      </w:pPr>
    </w:p>
    <w:p w14:paraId="151F48D7" w14:textId="4A542F94" w:rsidR="00C7018A" w:rsidRDefault="002D467B" w:rsidP="007C10E7">
      <w:pPr>
        <w:rPr>
          <w:sz w:val="22"/>
          <w:szCs w:val="22"/>
        </w:rPr>
      </w:pPr>
      <w:r w:rsidRPr="00B6429E">
        <w:rPr>
          <w:b/>
          <w:sz w:val="22"/>
          <w:szCs w:val="22"/>
        </w:rPr>
        <w:t>Rewards</w:t>
      </w:r>
      <w:r w:rsidR="007C10E7" w:rsidRPr="00AD2220">
        <w:rPr>
          <w:sz w:val="22"/>
          <w:szCs w:val="22"/>
        </w:rPr>
        <w:t>:</w:t>
      </w:r>
      <w:r w:rsidRPr="00AD2220">
        <w:rPr>
          <w:sz w:val="22"/>
          <w:szCs w:val="22"/>
        </w:rPr>
        <w:t xml:space="preserve"> </w:t>
      </w:r>
      <w:r w:rsidR="00B6429E">
        <w:rPr>
          <w:sz w:val="22"/>
          <w:szCs w:val="22"/>
        </w:rPr>
        <w:t xml:space="preserve">for Q-learning, we only need explicitly consider the </w:t>
      </w:r>
      <w:r w:rsidR="00DA141D" w:rsidRPr="00AD2220">
        <w:rPr>
          <w:sz w:val="22"/>
          <w:szCs w:val="22"/>
        </w:rPr>
        <w:t xml:space="preserve">immediate reward </w:t>
      </w:r>
      <m:oMath>
        <m:r>
          <w:rPr>
            <w:rFonts w:ascii="Cambria Math" w:hAnsi="Cambria Math"/>
            <w:sz w:val="18"/>
            <w:szCs w:val="18"/>
          </w:rPr>
          <m:t>r</m:t>
        </m:r>
      </m:oMath>
      <w:r w:rsidR="00BA5179">
        <w:rPr>
          <w:sz w:val="22"/>
          <w:szCs w:val="22"/>
        </w:rPr>
        <w:t xml:space="preserve">, which </w:t>
      </w:r>
      <w:r w:rsidR="00EF7CC8">
        <w:rPr>
          <w:sz w:val="22"/>
          <w:szCs w:val="22"/>
        </w:rPr>
        <w:t>can be defined as</w:t>
      </w:r>
      <w:r w:rsidR="00BA5179">
        <w:rPr>
          <w:sz w:val="22"/>
          <w:szCs w:val="22"/>
        </w:rPr>
        <w:t xml:space="preserve"> the portfolio change </w:t>
      </w:r>
      <w:r w:rsidR="00C7018A">
        <w:rPr>
          <w:sz w:val="22"/>
          <w:szCs w:val="22"/>
        </w:rPr>
        <w:t xml:space="preserve">from time </w:t>
      </w:r>
      <m:oMath>
        <m:r>
          <w:rPr>
            <w:rFonts w:ascii="Cambria Math" w:hAnsi="Cambria Math"/>
            <w:sz w:val="18"/>
            <w:szCs w:val="18"/>
          </w:rPr>
          <m:t>t-1</m:t>
        </m:r>
      </m:oMath>
      <w:r w:rsidR="00C7018A">
        <w:rPr>
          <w:sz w:val="22"/>
          <w:szCs w:val="22"/>
        </w:rPr>
        <w:t xml:space="preserve"> to </w:t>
      </w:r>
      <m:oMath>
        <m:r>
          <w:rPr>
            <w:rFonts w:ascii="Cambria Math" w:hAnsi="Cambria Math"/>
            <w:sz w:val="18"/>
            <w:szCs w:val="18"/>
          </w:rPr>
          <m:t>t</m:t>
        </m:r>
      </m:oMath>
      <w:r w:rsidR="00E1213C">
        <w:rPr>
          <w:sz w:val="22"/>
          <w:szCs w:val="22"/>
        </w:rPr>
        <w:t xml:space="preserve"> </w:t>
      </w:r>
      <w:r w:rsidR="00C34C9B">
        <w:rPr>
          <w:sz w:val="22"/>
          <w:szCs w:val="22"/>
        </w:rPr>
        <w:t>with</w:t>
      </w:r>
      <w:r w:rsidR="00C7018A">
        <w:rPr>
          <w:sz w:val="22"/>
          <w:szCs w:val="22"/>
        </w:rPr>
        <w:t xml:space="preserve"> </w:t>
      </w:r>
      <w:r w:rsidR="00E1213C">
        <w:rPr>
          <w:sz w:val="22"/>
          <w:szCs w:val="22"/>
        </w:rPr>
        <w:t xml:space="preserve">action in </w:t>
      </w:r>
      <m:oMath>
        <m:r>
          <w:rPr>
            <w:rFonts w:ascii="Cambria Math" w:hAnsi="Cambria Math"/>
            <w:sz w:val="18"/>
            <w:szCs w:val="18"/>
          </w:rPr>
          <m:t>t-1</m:t>
        </m:r>
      </m:oMath>
      <w:r w:rsidR="00C34C9B">
        <w:rPr>
          <w:sz w:val="22"/>
          <w:szCs w:val="22"/>
        </w:rPr>
        <w:t xml:space="preserve"> executed.</w:t>
      </w:r>
      <w:r w:rsidR="00B6429E">
        <w:rPr>
          <w:sz w:val="22"/>
          <w:szCs w:val="22"/>
        </w:rPr>
        <w:t xml:space="preserve"> It’s calculated as</w:t>
      </w:r>
      <w:r w:rsidR="00C7018A">
        <w:rPr>
          <w:sz w:val="22"/>
          <w:szCs w:val="22"/>
        </w:rPr>
        <w:t xml:space="preserve"> </w:t>
      </w:r>
      <w:r w:rsidR="00B6429E">
        <w:rPr>
          <w:sz w:val="22"/>
          <w:szCs w:val="22"/>
        </w:rPr>
        <w:t xml:space="preserve"> </w:t>
      </w:r>
    </w:p>
    <w:p w14:paraId="3FEC3622" w14:textId="6C3A2FE7" w:rsidR="00B6429E" w:rsidRPr="00AD2220" w:rsidRDefault="00C7018A" w:rsidP="00C7018A">
      <w:pPr>
        <w:ind w:left="1440" w:firstLine="720"/>
        <w:rPr>
          <w:sz w:val="22"/>
          <w:szCs w:val="22"/>
        </w:rPr>
      </w:pPr>
      <w:r>
        <w:rPr>
          <w:sz w:val="22"/>
          <w:szCs w:val="22"/>
        </w:rPr>
        <w:t xml:space="preserve"> </w:t>
      </w:r>
      <m:oMath>
        <m:r>
          <w:rPr>
            <w:rFonts w:ascii="Cambria Math" w:hAnsi="Cambria Math"/>
            <w:sz w:val="20"/>
            <w:szCs w:val="18"/>
          </w:rPr>
          <m:t>r=</m:t>
        </m:r>
        <m:f>
          <m:fPr>
            <m:ctrlPr>
              <w:rPr>
                <w:rFonts w:ascii="Cambria Math" w:eastAsiaTheme="minorEastAsia" w:hAnsi="Cambria Math"/>
                <w:i/>
                <w:sz w:val="20"/>
                <w:szCs w:val="18"/>
              </w:rPr>
            </m:ctrlPr>
          </m:fPr>
          <m:num>
            <m:r>
              <w:rPr>
                <w:rFonts w:ascii="Cambria Math" w:eastAsiaTheme="minorEastAsia" w:hAnsi="Cambria Math"/>
                <w:sz w:val="20"/>
                <w:szCs w:val="18"/>
              </w:rPr>
              <m:t>price</m:t>
            </m:r>
            <m:d>
              <m:dPr>
                <m:begChr m:val="["/>
                <m:endChr m:val="]"/>
                <m:ctrlPr>
                  <w:rPr>
                    <w:rFonts w:ascii="Cambria Math" w:eastAsiaTheme="minorEastAsia" w:hAnsi="Cambria Math"/>
                    <w:i/>
                    <w:sz w:val="20"/>
                    <w:szCs w:val="18"/>
                  </w:rPr>
                </m:ctrlPr>
              </m:dPr>
              <m:e>
                <m:r>
                  <w:rPr>
                    <w:rFonts w:ascii="Cambria Math" w:eastAsiaTheme="minorEastAsia" w:hAnsi="Cambria Math"/>
                    <w:sz w:val="20"/>
                    <w:szCs w:val="18"/>
                  </w:rPr>
                  <m:t>t</m:t>
                </m:r>
              </m:e>
            </m:d>
            <m:r>
              <w:rPr>
                <w:rFonts w:ascii="Cambria Math" w:eastAsiaTheme="minorEastAsia" w:hAnsi="Cambria Math"/>
                <w:sz w:val="20"/>
                <w:szCs w:val="18"/>
              </w:rPr>
              <m:t>*holding</m:t>
            </m:r>
            <m:d>
              <m:dPr>
                <m:begChr m:val="["/>
                <m:endChr m:val="]"/>
                <m:ctrlPr>
                  <w:rPr>
                    <w:rFonts w:ascii="Cambria Math" w:eastAsiaTheme="minorEastAsia" w:hAnsi="Cambria Math"/>
                    <w:i/>
                    <w:sz w:val="20"/>
                    <w:szCs w:val="18"/>
                  </w:rPr>
                </m:ctrlPr>
              </m:dPr>
              <m:e>
                <m:r>
                  <w:rPr>
                    <w:rFonts w:ascii="Cambria Math" w:eastAsiaTheme="minorEastAsia" w:hAnsi="Cambria Math"/>
                    <w:sz w:val="20"/>
                    <w:szCs w:val="18"/>
                  </w:rPr>
                  <m:t>t-1</m:t>
                </m:r>
              </m:e>
            </m:d>
            <m:r>
              <w:rPr>
                <w:rFonts w:ascii="Cambria Math" w:eastAsiaTheme="minorEastAsia" w:hAnsi="Cambria Math"/>
                <w:sz w:val="20"/>
                <w:szCs w:val="18"/>
              </w:rPr>
              <m:t>+cash</m:t>
            </m:r>
            <m:d>
              <m:dPr>
                <m:begChr m:val="["/>
                <m:endChr m:val="]"/>
                <m:ctrlPr>
                  <w:rPr>
                    <w:rFonts w:ascii="Cambria Math" w:eastAsiaTheme="minorEastAsia" w:hAnsi="Cambria Math"/>
                    <w:i/>
                    <w:sz w:val="20"/>
                    <w:szCs w:val="18"/>
                  </w:rPr>
                </m:ctrlPr>
              </m:dPr>
              <m:e>
                <m:r>
                  <w:rPr>
                    <w:rFonts w:ascii="Cambria Math" w:eastAsiaTheme="minorEastAsia" w:hAnsi="Cambria Math"/>
                    <w:sz w:val="20"/>
                    <w:szCs w:val="18"/>
                  </w:rPr>
                  <m:t>t-1</m:t>
                </m:r>
              </m:e>
            </m:d>
          </m:num>
          <m:den>
            <m:r>
              <w:rPr>
                <w:rFonts w:ascii="Cambria Math" w:eastAsiaTheme="minorEastAsia" w:hAnsi="Cambria Math"/>
                <w:sz w:val="20"/>
                <w:szCs w:val="18"/>
              </w:rPr>
              <m:t>price</m:t>
            </m:r>
            <m:d>
              <m:dPr>
                <m:begChr m:val="["/>
                <m:endChr m:val="]"/>
                <m:ctrlPr>
                  <w:rPr>
                    <w:rFonts w:ascii="Cambria Math" w:eastAsiaTheme="minorEastAsia" w:hAnsi="Cambria Math"/>
                    <w:i/>
                    <w:sz w:val="20"/>
                    <w:szCs w:val="18"/>
                  </w:rPr>
                </m:ctrlPr>
              </m:dPr>
              <m:e>
                <m:r>
                  <w:rPr>
                    <w:rFonts w:ascii="Cambria Math" w:eastAsiaTheme="minorEastAsia" w:hAnsi="Cambria Math"/>
                    <w:sz w:val="20"/>
                    <w:szCs w:val="18"/>
                  </w:rPr>
                  <m:t>t-1</m:t>
                </m:r>
              </m:e>
            </m:d>
            <m:r>
              <w:rPr>
                <w:rFonts w:ascii="Cambria Math" w:eastAsiaTheme="minorEastAsia" w:hAnsi="Cambria Math"/>
                <w:sz w:val="20"/>
                <w:szCs w:val="18"/>
              </w:rPr>
              <m:t>*holding</m:t>
            </m:r>
            <m:d>
              <m:dPr>
                <m:begChr m:val="["/>
                <m:endChr m:val="]"/>
                <m:ctrlPr>
                  <w:rPr>
                    <w:rFonts w:ascii="Cambria Math" w:eastAsiaTheme="minorEastAsia" w:hAnsi="Cambria Math"/>
                    <w:i/>
                    <w:sz w:val="20"/>
                    <w:szCs w:val="18"/>
                  </w:rPr>
                </m:ctrlPr>
              </m:dPr>
              <m:e>
                <m:r>
                  <w:rPr>
                    <w:rFonts w:ascii="Cambria Math" w:eastAsiaTheme="minorEastAsia" w:hAnsi="Cambria Math"/>
                    <w:sz w:val="20"/>
                    <w:szCs w:val="18"/>
                  </w:rPr>
                  <m:t>t-2</m:t>
                </m:r>
              </m:e>
            </m:d>
            <m:r>
              <w:rPr>
                <w:rFonts w:ascii="Cambria Math" w:eastAsiaTheme="minorEastAsia" w:hAnsi="Cambria Math"/>
                <w:sz w:val="20"/>
                <w:szCs w:val="18"/>
              </w:rPr>
              <m:t>+cash[t-2]</m:t>
            </m:r>
          </m:den>
        </m:f>
        <m:r>
          <w:rPr>
            <w:rFonts w:ascii="Cambria Math" w:eastAsiaTheme="minorEastAsia" w:hAnsi="Cambria Math"/>
            <w:sz w:val="20"/>
            <w:szCs w:val="18"/>
          </w:rPr>
          <m:t>-1</m:t>
        </m:r>
      </m:oMath>
    </w:p>
    <w:p w14:paraId="380045A5" w14:textId="694171B7" w:rsidR="00B6429E" w:rsidRDefault="00C7018A" w:rsidP="007C10E7">
      <w:pPr>
        <w:rPr>
          <w:sz w:val="22"/>
          <w:szCs w:val="22"/>
        </w:rPr>
      </w:pPr>
      <w:r>
        <w:rPr>
          <w:sz w:val="22"/>
          <w:szCs w:val="22"/>
        </w:rPr>
        <w:t>In the above equation</w:t>
      </w:r>
      <w:r w:rsidR="00C34C9B">
        <w:rPr>
          <w:sz w:val="22"/>
          <w:szCs w:val="22"/>
        </w:rPr>
        <w:t xml:space="preserve">, the nominator is the portfolio at </w:t>
      </w:r>
      <w:r w:rsidR="008B1906">
        <w:rPr>
          <w:sz w:val="22"/>
          <w:szCs w:val="22"/>
        </w:rPr>
        <w:t>day</w:t>
      </w:r>
      <w:r w:rsidR="00C34C9B">
        <w:rPr>
          <w:sz w:val="22"/>
          <w:szCs w:val="22"/>
        </w:rPr>
        <w:t xml:space="preserve"> </w:t>
      </w:r>
      <m:oMath>
        <m:r>
          <w:rPr>
            <w:rFonts w:ascii="Cambria Math" w:hAnsi="Cambria Math"/>
            <w:sz w:val="18"/>
            <w:szCs w:val="18"/>
          </w:rPr>
          <m:t>t</m:t>
        </m:r>
      </m:oMath>
      <w:r w:rsidR="00C34C9B">
        <w:rPr>
          <w:rFonts w:eastAsiaTheme="minorEastAsia"/>
          <w:sz w:val="18"/>
          <w:szCs w:val="18"/>
        </w:rPr>
        <w:t xml:space="preserve"> </w:t>
      </w:r>
      <w:r w:rsidR="008B1906" w:rsidRPr="008B1906">
        <w:rPr>
          <w:rFonts w:eastAsiaTheme="minorEastAsia"/>
          <w:sz w:val="22"/>
          <w:szCs w:val="18"/>
        </w:rPr>
        <w:t xml:space="preserve">after executing </w:t>
      </w:r>
      <w:r w:rsidR="008B1906">
        <w:rPr>
          <w:rFonts w:eastAsiaTheme="minorEastAsia"/>
          <w:sz w:val="22"/>
          <w:szCs w:val="18"/>
        </w:rPr>
        <w:t xml:space="preserve">the </w:t>
      </w:r>
      <w:r w:rsidR="008B1906">
        <w:rPr>
          <w:rFonts w:eastAsiaTheme="minorEastAsia"/>
          <w:sz w:val="21"/>
          <w:szCs w:val="18"/>
        </w:rPr>
        <w:t xml:space="preserve">action in </w:t>
      </w:r>
      <m:oMath>
        <m:r>
          <w:rPr>
            <w:rFonts w:ascii="Cambria Math" w:hAnsi="Cambria Math"/>
            <w:sz w:val="18"/>
            <w:szCs w:val="18"/>
          </w:rPr>
          <m:t>t-1</m:t>
        </m:r>
      </m:oMath>
      <w:r w:rsidR="008B1906">
        <w:rPr>
          <w:rFonts w:eastAsiaTheme="minorEastAsia"/>
          <w:sz w:val="18"/>
          <w:szCs w:val="18"/>
        </w:rPr>
        <w:t xml:space="preserve">, </w:t>
      </w:r>
      <w:r w:rsidR="00C34C9B" w:rsidRPr="00C34C9B">
        <w:rPr>
          <w:rFonts w:eastAsiaTheme="minorEastAsia"/>
          <w:sz w:val="21"/>
          <w:szCs w:val="18"/>
        </w:rPr>
        <w:t xml:space="preserve">and the </w:t>
      </w:r>
      <w:r w:rsidR="00C34C9B">
        <w:rPr>
          <w:rFonts w:eastAsiaTheme="minorEastAsia"/>
          <w:sz w:val="21"/>
          <w:szCs w:val="18"/>
        </w:rPr>
        <w:t xml:space="preserve">denominator is that </w:t>
      </w:r>
      <w:r w:rsidR="008B1906">
        <w:rPr>
          <w:rFonts w:eastAsiaTheme="minorEastAsia"/>
          <w:sz w:val="21"/>
          <w:szCs w:val="18"/>
        </w:rPr>
        <w:t>at</w:t>
      </w:r>
      <w:r w:rsidR="00C34C9B">
        <w:rPr>
          <w:rFonts w:eastAsiaTheme="minorEastAsia"/>
          <w:sz w:val="21"/>
          <w:szCs w:val="18"/>
        </w:rPr>
        <w:t xml:space="preserve"> time </w:t>
      </w:r>
      <m:oMath>
        <m:r>
          <w:rPr>
            <w:rFonts w:ascii="Cambria Math" w:hAnsi="Cambria Math"/>
            <w:sz w:val="18"/>
            <w:szCs w:val="18"/>
          </w:rPr>
          <m:t>t-1</m:t>
        </m:r>
      </m:oMath>
      <w:r w:rsidR="00C34C9B">
        <w:rPr>
          <w:rFonts w:eastAsiaTheme="minorEastAsia"/>
          <w:sz w:val="18"/>
          <w:szCs w:val="18"/>
        </w:rPr>
        <w:t xml:space="preserve">. </w:t>
      </w:r>
      <w:r w:rsidR="00C34C9B" w:rsidRPr="008B1906">
        <w:rPr>
          <w:rFonts w:eastAsiaTheme="minorEastAsia"/>
          <w:sz w:val="22"/>
          <w:szCs w:val="22"/>
        </w:rPr>
        <w:t xml:space="preserve">The </w:t>
      </w:r>
      <m:oMath>
        <m:r>
          <w:rPr>
            <w:rFonts w:ascii="Cambria Math" w:eastAsiaTheme="minorEastAsia" w:hAnsi="Cambria Math"/>
            <w:sz w:val="22"/>
            <w:szCs w:val="22"/>
          </w:rPr>
          <m:t>holding</m:t>
        </m:r>
      </m:oMath>
      <w:r w:rsidR="00C34C9B" w:rsidRPr="008B1906">
        <w:rPr>
          <w:rFonts w:eastAsiaTheme="minorEastAsia"/>
          <w:sz w:val="22"/>
          <w:szCs w:val="22"/>
        </w:rPr>
        <w:t xml:space="preserve"> and </w:t>
      </w:r>
      <m:oMath>
        <m:r>
          <w:rPr>
            <w:rFonts w:ascii="Cambria Math" w:eastAsiaTheme="minorEastAsia" w:hAnsi="Cambria Math"/>
            <w:sz w:val="22"/>
            <w:szCs w:val="22"/>
          </w:rPr>
          <m:t>cash</m:t>
        </m:r>
      </m:oMath>
      <w:r w:rsidR="00C34C9B" w:rsidRPr="008B1906">
        <w:rPr>
          <w:rFonts w:eastAsiaTheme="minorEastAsia"/>
          <w:sz w:val="22"/>
          <w:szCs w:val="22"/>
        </w:rPr>
        <w:t xml:space="preserve"> have incorporated the </w:t>
      </w:r>
      <w:r w:rsidR="008B1906">
        <w:rPr>
          <w:rFonts w:eastAsiaTheme="minorEastAsia"/>
          <w:sz w:val="22"/>
          <w:szCs w:val="22"/>
        </w:rPr>
        <w:t xml:space="preserve">consequence of the </w:t>
      </w:r>
      <w:r w:rsidR="00C34C9B" w:rsidRPr="008B1906">
        <w:rPr>
          <w:rFonts w:eastAsiaTheme="minorEastAsia"/>
          <w:sz w:val="22"/>
          <w:szCs w:val="22"/>
        </w:rPr>
        <w:t>action</w:t>
      </w:r>
      <w:r w:rsidR="008B1906">
        <w:rPr>
          <w:rFonts w:eastAsiaTheme="minorEastAsia"/>
          <w:sz w:val="22"/>
          <w:szCs w:val="22"/>
        </w:rPr>
        <w:t xml:space="preserve">s and the parameter </w:t>
      </w:r>
      <m:oMath>
        <m:r>
          <w:rPr>
            <w:rFonts w:ascii="Cambria Math" w:eastAsiaTheme="minorEastAsia" w:hAnsi="Cambria Math"/>
            <w:sz w:val="22"/>
            <w:szCs w:val="22"/>
          </w:rPr>
          <m:t>impact</m:t>
        </m:r>
      </m:oMath>
      <w:r w:rsidR="008B1906">
        <w:rPr>
          <w:rFonts w:eastAsiaTheme="minorEastAsia"/>
          <w:sz w:val="22"/>
          <w:szCs w:val="22"/>
        </w:rPr>
        <w:t>.</w:t>
      </w:r>
    </w:p>
    <w:p w14:paraId="3D0BFC1B" w14:textId="77777777" w:rsidR="008B1906" w:rsidRDefault="008B1906" w:rsidP="007C10E7">
      <w:pPr>
        <w:rPr>
          <w:sz w:val="22"/>
          <w:szCs w:val="22"/>
        </w:rPr>
      </w:pPr>
    </w:p>
    <w:p w14:paraId="367BD387" w14:textId="4ACFE621" w:rsidR="007C10E7" w:rsidRPr="008B1906" w:rsidRDefault="00DA141D" w:rsidP="007C10E7">
      <w:pPr>
        <w:rPr>
          <w:i/>
          <w:sz w:val="22"/>
          <w:szCs w:val="22"/>
        </w:rPr>
      </w:pPr>
      <w:r w:rsidRPr="008B1906">
        <w:rPr>
          <w:b/>
          <w:sz w:val="22"/>
          <w:szCs w:val="22"/>
        </w:rPr>
        <w:t>Q-table:</w:t>
      </w:r>
      <w:r w:rsidRPr="00AD2220">
        <w:rPr>
          <w:sz w:val="22"/>
          <w:szCs w:val="22"/>
        </w:rPr>
        <w:t xml:space="preserve"> </w:t>
      </w:r>
      <w:r w:rsidR="008B1906">
        <w:rPr>
          <w:sz w:val="22"/>
          <w:szCs w:val="22"/>
        </w:rPr>
        <w:t>In Q-learning we don’t explicitly compute Transition function. Instead, we optimize the policy, aka Q-table directly. The 324</w:t>
      </w:r>
      <w:r w:rsidR="00E619DA" w:rsidRPr="00AD2220">
        <w:rPr>
          <w:sz w:val="22"/>
          <w:szCs w:val="22"/>
        </w:rPr>
        <w:t xml:space="preserve"> States </w:t>
      </w:r>
      <w:r w:rsidR="008B1906">
        <w:rPr>
          <w:sz w:val="22"/>
          <w:szCs w:val="22"/>
        </w:rPr>
        <w:t>and 3 actions lead to a 324 x 3 Q-table</w:t>
      </w:r>
      <w:r w:rsidR="00E619DA" w:rsidRPr="00AD2220">
        <w:rPr>
          <w:sz w:val="22"/>
          <w:szCs w:val="22"/>
        </w:rPr>
        <w:t xml:space="preserve">. </w:t>
      </w:r>
      <w:r w:rsidR="008B1906">
        <w:rPr>
          <w:sz w:val="22"/>
          <w:szCs w:val="22"/>
        </w:rPr>
        <w:t xml:space="preserve">The Q-table is </w:t>
      </w:r>
      <w:r w:rsidR="00E619DA" w:rsidRPr="00AD2220">
        <w:rPr>
          <w:sz w:val="22"/>
          <w:szCs w:val="22"/>
        </w:rPr>
        <w:t xml:space="preserve">updated with </w:t>
      </w:r>
      <w:r w:rsidR="008B1906">
        <w:rPr>
          <w:sz w:val="22"/>
          <w:szCs w:val="22"/>
        </w:rPr>
        <w:t>each e</w:t>
      </w:r>
      <w:r w:rsidR="00342184" w:rsidRPr="00AD2220">
        <w:rPr>
          <w:sz w:val="22"/>
          <w:szCs w:val="22"/>
        </w:rPr>
        <w:t>xperience tuple(</w:t>
      </w:r>
      <m:oMath>
        <m:r>
          <w:rPr>
            <w:rFonts w:ascii="Cambria Math" w:hAnsi="Cambria Math"/>
            <w:sz w:val="22"/>
            <w:szCs w:val="22"/>
          </w:rPr>
          <m:t xml:space="preserve">s,a, </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r>
          <w:rPr>
            <w:rFonts w:ascii="Cambria Math" w:hAnsi="Cambria Math"/>
            <w:sz w:val="22"/>
            <w:szCs w:val="22"/>
          </w:rPr>
          <m:t>,</m:t>
        </m:r>
        <m:r>
          <w:rPr>
            <w:rFonts w:ascii="Cambria Math" w:hAnsi="Cambria Math"/>
            <w:sz w:val="20"/>
            <w:szCs w:val="18"/>
          </w:rPr>
          <m:t>r</m:t>
        </m:r>
      </m:oMath>
      <w:r w:rsidR="00342184" w:rsidRPr="00AD2220">
        <w:rPr>
          <w:sz w:val="22"/>
          <w:szCs w:val="22"/>
        </w:rPr>
        <w:t>)</w:t>
      </w:r>
      <w:r w:rsidR="0041633D" w:rsidRPr="00AD2220">
        <w:rPr>
          <w:sz w:val="22"/>
          <w:szCs w:val="22"/>
        </w:rPr>
        <w:t xml:space="preserve"> </w:t>
      </w:r>
      <w:r w:rsidR="008B1906">
        <w:rPr>
          <w:sz w:val="22"/>
          <w:szCs w:val="22"/>
        </w:rPr>
        <w:t>where</w:t>
      </w:r>
      <w:r w:rsidR="0041633D" w:rsidRPr="00AD2220">
        <w:rPr>
          <w:sz w:val="22"/>
          <w:szCs w:val="22"/>
        </w:rPr>
        <w:t xml:space="preserve"> </w:t>
      </w:r>
      <m:oMath>
        <m:r>
          <w:rPr>
            <w:rFonts w:ascii="Cambria Math" w:hAnsi="Cambria Math"/>
            <w:sz w:val="22"/>
            <w:szCs w:val="22"/>
          </w:rPr>
          <m:t>s</m:t>
        </m:r>
      </m:oMath>
      <w:r w:rsidR="008B1906" w:rsidRPr="008B1906">
        <w:rPr>
          <w:i/>
          <w:sz w:val="22"/>
          <w:szCs w:val="22"/>
        </w:rPr>
        <w:t xml:space="preserve"> </w:t>
      </w:r>
      <w:r w:rsidR="008B1906">
        <w:rPr>
          <w:sz w:val="22"/>
          <w:szCs w:val="22"/>
        </w:rPr>
        <w:t>is</w:t>
      </w:r>
      <w:r w:rsidR="0041633D" w:rsidRPr="00AD2220">
        <w:rPr>
          <w:sz w:val="22"/>
          <w:szCs w:val="22"/>
        </w:rPr>
        <w:t xml:space="preserve"> </w:t>
      </w:r>
      <w:r w:rsidR="008B1906">
        <w:rPr>
          <w:sz w:val="22"/>
          <w:szCs w:val="22"/>
        </w:rPr>
        <w:t xml:space="preserve">the state encoded by the indicators and holding status at </w:t>
      </w:r>
      <m:oMath>
        <m:r>
          <w:rPr>
            <w:rFonts w:ascii="Cambria Math" w:hAnsi="Cambria Math"/>
            <w:sz w:val="22"/>
            <w:szCs w:val="22"/>
          </w:rPr>
          <m:t>t</m:t>
        </m:r>
      </m:oMath>
      <w:r w:rsidR="008B1906" w:rsidRPr="008B1906">
        <w:rPr>
          <w:i/>
          <w:sz w:val="22"/>
          <w:szCs w:val="22"/>
        </w:rPr>
        <w:t xml:space="preserve"> </w:t>
      </w:r>
      <w:r w:rsidR="0041633D" w:rsidRPr="00AD2220">
        <w:rPr>
          <w:sz w:val="22"/>
          <w:szCs w:val="22"/>
        </w:rPr>
        <w:t xml:space="preserve">, </w:t>
      </w:r>
      <m:oMath>
        <m:r>
          <w:rPr>
            <w:rFonts w:ascii="Cambria Math" w:hAnsi="Cambria Math"/>
            <w:sz w:val="22"/>
            <w:szCs w:val="22"/>
          </w:rPr>
          <m:t>s'</m:t>
        </m:r>
      </m:oMath>
      <w:r w:rsidR="008B1906" w:rsidRPr="008B1906">
        <w:rPr>
          <w:i/>
          <w:sz w:val="22"/>
          <w:szCs w:val="22"/>
        </w:rPr>
        <w:t xml:space="preserve"> </w:t>
      </w:r>
      <w:r w:rsidR="008B1906">
        <w:rPr>
          <w:sz w:val="22"/>
          <w:szCs w:val="22"/>
        </w:rPr>
        <w:t xml:space="preserve">is the state at </w:t>
      </w:r>
      <m:oMath>
        <m:r>
          <w:rPr>
            <w:rFonts w:ascii="Cambria Math" w:hAnsi="Cambria Math"/>
            <w:sz w:val="22"/>
            <w:szCs w:val="22"/>
          </w:rPr>
          <m:t>t+1</m:t>
        </m:r>
      </m:oMath>
      <w:r w:rsidR="008B1906">
        <w:rPr>
          <w:sz w:val="22"/>
          <w:szCs w:val="22"/>
        </w:rPr>
        <w:t xml:space="preserve">, </w:t>
      </w:r>
      <m:oMath>
        <m:r>
          <w:rPr>
            <w:rFonts w:ascii="Cambria Math" w:hAnsi="Cambria Math"/>
            <w:sz w:val="22"/>
            <w:szCs w:val="22"/>
          </w:rPr>
          <m:t>a</m:t>
        </m:r>
      </m:oMath>
      <w:r w:rsidR="008B1906">
        <w:rPr>
          <w:sz w:val="22"/>
          <w:szCs w:val="22"/>
        </w:rPr>
        <w:t xml:space="preserve"> is the </w:t>
      </w:r>
      <w:r w:rsidR="0041633D" w:rsidRPr="00AD2220">
        <w:rPr>
          <w:sz w:val="22"/>
          <w:szCs w:val="22"/>
        </w:rPr>
        <w:t>action</w:t>
      </w:r>
      <w:r w:rsidR="008B1906">
        <w:rPr>
          <w:sz w:val="22"/>
          <w:szCs w:val="22"/>
        </w:rPr>
        <w:t xml:space="preserve"> </w:t>
      </w:r>
      <w:r w:rsidR="00E91F5D">
        <w:rPr>
          <w:sz w:val="22"/>
          <w:szCs w:val="22"/>
        </w:rPr>
        <w:t xml:space="preserve">taken at </w:t>
      </w:r>
      <m:oMath>
        <m:r>
          <w:rPr>
            <w:rFonts w:ascii="Cambria Math" w:hAnsi="Cambria Math"/>
            <w:sz w:val="22"/>
            <w:szCs w:val="22"/>
          </w:rPr>
          <m:t>t</m:t>
        </m:r>
      </m:oMath>
      <w:r w:rsidR="0041633D" w:rsidRPr="00AD2220">
        <w:rPr>
          <w:sz w:val="22"/>
          <w:szCs w:val="22"/>
        </w:rPr>
        <w:t xml:space="preserve">, </w:t>
      </w:r>
      <w:r w:rsidR="00E91F5D">
        <w:rPr>
          <w:sz w:val="22"/>
          <w:szCs w:val="22"/>
        </w:rPr>
        <w:t xml:space="preserve">and </w:t>
      </w:r>
      <m:oMath>
        <m:r>
          <w:rPr>
            <w:rFonts w:ascii="Cambria Math" w:hAnsi="Cambria Math"/>
            <w:sz w:val="20"/>
            <w:szCs w:val="18"/>
          </w:rPr>
          <m:t>r</m:t>
        </m:r>
      </m:oMath>
      <w:r w:rsidR="00E91F5D">
        <w:rPr>
          <w:sz w:val="22"/>
          <w:szCs w:val="22"/>
        </w:rPr>
        <w:t xml:space="preserve"> is the immediate reward associated with the transition from </w:t>
      </w:r>
      <m:oMath>
        <m:r>
          <w:rPr>
            <w:rFonts w:ascii="Cambria Math" w:hAnsi="Cambria Math"/>
            <w:sz w:val="22"/>
            <w:szCs w:val="22"/>
          </w:rPr>
          <m:t>s</m:t>
        </m:r>
      </m:oMath>
      <w:r w:rsidR="00E91F5D">
        <w:rPr>
          <w:sz w:val="22"/>
          <w:szCs w:val="22"/>
        </w:rPr>
        <w:t xml:space="preserve"> to </w:t>
      </w:r>
      <m:oMath>
        <m:r>
          <w:rPr>
            <w:rFonts w:ascii="Cambria Math" w:hAnsi="Cambria Math"/>
            <w:sz w:val="22"/>
            <w:szCs w:val="22"/>
          </w:rPr>
          <m:t>s'</m:t>
        </m:r>
      </m:oMath>
      <w:r w:rsidR="00E91F5D">
        <w:rPr>
          <w:sz w:val="22"/>
          <w:szCs w:val="22"/>
        </w:rPr>
        <w:t xml:space="preserve"> via </w:t>
      </w:r>
      <m:oMath>
        <m:r>
          <w:rPr>
            <w:rFonts w:ascii="Cambria Math" w:hAnsi="Cambria Math"/>
            <w:sz w:val="22"/>
            <w:szCs w:val="22"/>
          </w:rPr>
          <m:t>a</m:t>
        </m:r>
      </m:oMath>
      <w:r w:rsidR="00BD3AE3" w:rsidRPr="00AD2220">
        <w:rPr>
          <w:sz w:val="22"/>
          <w:szCs w:val="22"/>
        </w:rPr>
        <w:t>.</w:t>
      </w:r>
      <w:r w:rsidR="000B270D" w:rsidRPr="00AD2220">
        <w:rPr>
          <w:sz w:val="22"/>
          <w:szCs w:val="22"/>
        </w:rPr>
        <w:t xml:space="preserve"> </w:t>
      </w:r>
    </w:p>
    <w:p w14:paraId="669B8509" w14:textId="77777777" w:rsidR="00E91F5D" w:rsidRDefault="00E91F5D" w:rsidP="00F17E92">
      <w:pPr>
        <w:rPr>
          <w:sz w:val="22"/>
          <w:szCs w:val="22"/>
        </w:rPr>
      </w:pPr>
    </w:p>
    <w:p w14:paraId="0E10ED4F" w14:textId="2F535532" w:rsidR="00DA141D" w:rsidRDefault="001A33DD" w:rsidP="001A33DD">
      <w:pPr>
        <w:ind w:firstLine="720"/>
        <w:rPr>
          <w:sz w:val="22"/>
          <w:szCs w:val="22"/>
        </w:rPr>
      </w:pPr>
      <w:r>
        <w:rPr>
          <w:sz w:val="22"/>
          <w:szCs w:val="22"/>
        </w:rPr>
        <w:lastRenderedPageBreak/>
        <w:t xml:space="preserve">The StrategyLearner calls the </w:t>
      </w:r>
      <w:r w:rsidR="00DA141D">
        <w:rPr>
          <w:sz w:val="22"/>
          <w:szCs w:val="22"/>
        </w:rPr>
        <w:t xml:space="preserve">QLearner </w:t>
      </w:r>
      <w:r>
        <w:rPr>
          <w:sz w:val="22"/>
          <w:szCs w:val="22"/>
        </w:rPr>
        <w:t xml:space="preserve">implemented </w:t>
      </w:r>
      <w:r w:rsidR="001B5535">
        <w:rPr>
          <w:sz w:val="22"/>
          <w:szCs w:val="22"/>
        </w:rPr>
        <w:t>in</w:t>
      </w:r>
      <w:r>
        <w:rPr>
          <w:sz w:val="22"/>
          <w:szCs w:val="22"/>
        </w:rPr>
        <w:t xml:space="preserve"> the</w:t>
      </w:r>
      <w:r w:rsidR="00DA141D">
        <w:rPr>
          <w:sz w:val="22"/>
          <w:szCs w:val="22"/>
        </w:rPr>
        <w:t xml:space="preserve"> previous project.</w:t>
      </w:r>
      <w:r>
        <w:rPr>
          <w:sz w:val="22"/>
          <w:szCs w:val="22"/>
        </w:rPr>
        <w:t xml:space="preserve"> Worthwhile to mention that we set the initial random rate </w:t>
      </w:r>
      <m:oMath>
        <m:r>
          <w:rPr>
            <w:rFonts w:ascii="Cambria Math" w:hAnsi="Cambria Math"/>
            <w:sz w:val="20"/>
            <w:szCs w:val="18"/>
          </w:rPr>
          <m:t>r</m:t>
        </m:r>
        <m:r>
          <w:rPr>
            <w:rFonts w:ascii="Cambria Math" w:eastAsiaTheme="minorEastAsia" w:hAnsi="Cambria Math"/>
            <w:sz w:val="20"/>
            <w:szCs w:val="18"/>
          </w:rPr>
          <m:t>ar=0.95</m:t>
        </m:r>
      </m:oMath>
      <w:r>
        <w:rPr>
          <w:sz w:val="22"/>
          <w:szCs w:val="22"/>
        </w:rPr>
        <w:t xml:space="preserve"> and its decay rate </w:t>
      </w:r>
      <m:oMath>
        <m:r>
          <w:rPr>
            <w:rFonts w:ascii="Cambria Math" w:hAnsi="Cambria Math"/>
            <w:sz w:val="20"/>
            <w:szCs w:val="18"/>
          </w:rPr>
          <m:t>r</m:t>
        </m:r>
        <m:r>
          <w:rPr>
            <w:rFonts w:ascii="Cambria Math" w:eastAsiaTheme="minorEastAsia" w:hAnsi="Cambria Math"/>
            <w:sz w:val="20"/>
            <w:szCs w:val="18"/>
          </w:rPr>
          <m:t>adr=0.999</m:t>
        </m:r>
      </m:oMath>
      <w:r>
        <w:rPr>
          <w:rFonts w:eastAsiaTheme="minorEastAsia"/>
          <w:sz w:val="20"/>
          <w:szCs w:val="18"/>
        </w:rPr>
        <w:t>.</w:t>
      </w:r>
      <w:r>
        <w:rPr>
          <w:sz w:val="22"/>
          <w:szCs w:val="22"/>
        </w:rPr>
        <w:t xml:space="preserve"> The big initial random rate with a slow decay helps to </w:t>
      </w:r>
      <w:r w:rsidR="00242F98">
        <w:rPr>
          <w:sz w:val="22"/>
          <w:szCs w:val="22"/>
        </w:rPr>
        <w:t>better</w:t>
      </w:r>
      <w:r>
        <w:rPr>
          <w:sz w:val="22"/>
          <w:szCs w:val="22"/>
        </w:rPr>
        <w:t xml:space="preserve"> explore the optimal solution</w:t>
      </w:r>
      <w:r w:rsidR="00242F98">
        <w:rPr>
          <w:sz w:val="22"/>
          <w:szCs w:val="22"/>
        </w:rPr>
        <w:t xml:space="preserve"> over multiple epochs</w:t>
      </w:r>
      <w:r>
        <w:rPr>
          <w:sz w:val="22"/>
          <w:szCs w:val="22"/>
        </w:rPr>
        <w:t xml:space="preserve">, given we have a rather complex model of 342 states. </w:t>
      </w:r>
      <w:r w:rsidR="00F36881">
        <w:rPr>
          <w:sz w:val="22"/>
          <w:szCs w:val="22"/>
        </w:rPr>
        <w:t xml:space="preserve">We also choose </w:t>
      </w:r>
      <m:oMath>
        <m:r>
          <w:rPr>
            <w:rFonts w:ascii="Cambria Math" w:hAnsi="Cambria Math"/>
            <w:sz w:val="22"/>
            <w:szCs w:val="22"/>
          </w:rPr>
          <m:t>gamma=0.5</m:t>
        </m:r>
      </m:oMath>
      <w:r w:rsidR="00F36881">
        <w:rPr>
          <w:sz w:val="22"/>
          <w:szCs w:val="22"/>
        </w:rPr>
        <w:t xml:space="preserve">, with which </w:t>
      </w:r>
      <w:r w:rsidR="00F5289A">
        <w:rPr>
          <w:sz w:val="22"/>
          <w:szCs w:val="22"/>
        </w:rPr>
        <w:t xml:space="preserve">the influence of each day will not go beyond </w:t>
      </w:r>
      <w:r w:rsidR="00F36881">
        <w:rPr>
          <w:sz w:val="22"/>
          <w:szCs w:val="22"/>
        </w:rPr>
        <w:t xml:space="preserve">~5-7 </w:t>
      </w:r>
      <w:r w:rsidR="00F5289A">
        <w:rPr>
          <w:sz w:val="22"/>
          <w:szCs w:val="22"/>
        </w:rPr>
        <w:t xml:space="preserve">neighbor </w:t>
      </w:r>
      <w:r w:rsidR="00F36881">
        <w:rPr>
          <w:sz w:val="22"/>
          <w:szCs w:val="22"/>
        </w:rPr>
        <w:t>days</w:t>
      </w:r>
      <w:r w:rsidR="00F5289A">
        <w:rPr>
          <w:sz w:val="22"/>
          <w:szCs w:val="22"/>
        </w:rPr>
        <w:t xml:space="preserve">. This </w:t>
      </w:r>
      <m:oMath>
        <m:r>
          <w:rPr>
            <w:rFonts w:ascii="Cambria Math" w:hAnsi="Cambria Math"/>
            <w:sz w:val="22"/>
            <w:szCs w:val="22"/>
          </w:rPr>
          <m:t>gamma</m:t>
        </m:r>
      </m:oMath>
      <w:r w:rsidR="00F5289A">
        <w:rPr>
          <w:sz w:val="22"/>
          <w:szCs w:val="22"/>
        </w:rPr>
        <w:t xml:space="preserve"> is reasonable considering the rather </w:t>
      </w:r>
      <w:r w:rsidR="001B5535">
        <w:rPr>
          <w:sz w:val="22"/>
          <w:szCs w:val="22"/>
        </w:rPr>
        <w:t>transient behavior</w:t>
      </w:r>
      <w:r w:rsidR="00F5289A">
        <w:rPr>
          <w:sz w:val="22"/>
          <w:szCs w:val="22"/>
        </w:rPr>
        <w:t xml:space="preserve"> of stocks. T</w:t>
      </w:r>
      <w:r w:rsidR="00F5289A">
        <w:rPr>
          <w:sz w:val="22"/>
          <w:szCs w:val="22"/>
        </w:rPr>
        <w:t xml:space="preserve">he model </w:t>
      </w:r>
      <w:r w:rsidR="00470588">
        <w:rPr>
          <w:sz w:val="22"/>
          <w:szCs w:val="22"/>
        </w:rPr>
        <w:t xml:space="preserve">doesn’t </w:t>
      </w:r>
      <w:r w:rsidR="00F5289A">
        <w:rPr>
          <w:sz w:val="22"/>
          <w:szCs w:val="22"/>
        </w:rPr>
        <w:t xml:space="preserve">converge </w:t>
      </w:r>
      <w:r w:rsidR="00470588">
        <w:rPr>
          <w:sz w:val="22"/>
          <w:szCs w:val="22"/>
        </w:rPr>
        <w:t>efficiently</w:t>
      </w:r>
      <w:r w:rsidR="00F5289A">
        <w:rPr>
          <w:sz w:val="22"/>
          <w:szCs w:val="22"/>
        </w:rPr>
        <w:t xml:space="preserve"> for higher</w:t>
      </w:r>
      <w:r w:rsidR="00F36881">
        <w:rPr>
          <w:sz w:val="22"/>
          <w:szCs w:val="22"/>
        </w:rPr>
        <w:t xml:space="preserve"> </w:t>
      </w:r>
      <m:oMath>
        <m:r>
          <w:rPr>
            <w:rFonts w:ascii="Cambria Math" w:hAnsi="Cambria Math"/>
            <w:sz w:val="22"/>
            <w:szCs w:val="22"/>
          </w:rPr>
          <m:t>gamma</m:t>
        </m:r>
      </m:oMath>
      <w:r w:rsidR="00F5289A">
        <w:rPr>
          <w:sz w:val="22"/>
          <w:szCs w:val="22"/>
        </w:rPr>
        <w:t xml:space="preserve"> </w:t>
      </w:r>
      <w:r w:rsidR="00F36881">
        <w:rPr>
          <w:sz w:val="22"/>
          <w:szCs w:val="22"/>
        </w:rPr>
        <w:t>value</w:t>
      </w:r>
      <w:r w:rsidR="00F5289A">
        <w:rPr>
          <w:sz w:val="22"/>
          <w:szCs w:val="22"/>
        </w:rPr>
        <w:t xml:space="preserve">s. </w:t>
      </w:r>
      <w:r w:rsidR="00BF0A86">
        <w:rPr>
          <w:sz w:val="22"/>
          <w:szCs w:val="22"/>
        </w:rPr>
        <w:t>Learning rate alpha is set the typical value of 0.2.</w:t>
      </w:r>
    </w:p>
    <w:p w14:paraId="0552B1BA" w14:textId="77777777" w:rsidR="00F17E92" w:rsidRDefault="00F17E92" w:rsidP="007C10E7">
      <w:pPr>
        <w:rPr>
          <w:sz w:val="22"/>
          <w:szCs w:val="22"/>
        </w:rPr>
      </w:pPr>
    </w:p>
    <w:p w14:paraId="5078E704" w14:textId="36ADCA21" w:rsidR="00F17E92" w:rsidRPr="00B131FC" w:rsidRDefault="00F17E92" w:rsidP="007C10E7">
      <w:pPr>
        <w:rPr>
          <w:b/>
          <w:sz w:val="22"/>
          <w:szCs w:val="22"/>
        </w:rPr>
      </w:pPr>
      <w:r w:rsidRPr="00B131FC">
        <w:rPr>
          <w:b/>
          <w:sz w:val="22"/>
          <w:szCs w:val="22"/>
        </w:rPr>
        <w:t>2. Experiment 1</w:t>
      </w:r>
    </w:p>
    <w:p w14:paraId="49435201" w14:textId="38F20C3C" w:rsidR="00F17E92" w:rsidRDefault="00083042" w:rsidP="00B131FC">
      <w:pPr>
        <w:ind w:firstLine="720"/>
        <w:rPr>
          <w:sz w:val="22"/>
          <w:szCs w:val="22"/>
        </w:rPr>
      </w:pPr>
      <w:r>
        <w:rPr>
          <w:sz w:val="22"/>
          <w:szCs w:val="22"/>
        </w:rPr>
        <w:t xml:space="preserve">We trained the StrategyLearner using JPM data from 2008-1-1 to 2009-12-31. </w:t>
      </w:r>
      <w:r w:rsidR="00324A0D">
        <w:rPr>
          <w:sz w:val="22"/>
          <w:szCs w:val="22"/>
        </w:rPr>
        <w:t>We applied the same learner parameters as described in the previous section. T</w:t>
      </w:r>
      <w:r>
        <w:rPr>
          <w:sz w:val="22"/>
          <w:szCs w:val="22"/>
        </w:rPr>
        <w:t xml:space="preserve">he training stops when the percentage change of the </w:t>
      </w:r>
      <w:r w:rsidR="00F17E92">
        <w:rPr>
          <w:sz w:val="22"/>
          <w:szCs w:val="22"/>
        </w:rPr>
        <w:t>cumulative return &lt;=0.1%</w:t>
      </w:r>
      <w:r>
        <w:rPr>
          <w:sz w:val="22"/>
          <w:szCs w:val="22"/>
        </w:rPr>
        <w:t xml:space="preserve">. </w:t>
      </w:r>
      <w:r w:rsidR="00767374">
        <w:rPr>
          <w:sz w:val="22"/>
          <w:szCs w:val="22"/>
        </w:rPr>
        <w:t>We used impact=0 (and commission=0) for this experiment.</w:t>
      </w:r>
      <w:r w:rsidR="00767374">
        <w:rPr>
          <w:sz w:val="22"/>
          <w:szCs w:val="22"/>
        </w:rPr>
        <w:t xml:space="preserve"> Once trained, the learner was tested over the in-sample period. The results are summarized in Figure 1</w:t>
      </w:r>
      <w:r w:rsidR="005650A1">
        <w:rPr>
          <w:sz w:val="22"/>
          <w:szCs w:val="22"/>
        </w:rPr>
        <w:t xml:space="preserve"> </w:t>
      </w:r>
      <w:r w:rsidR="00767374">
        <w:rPr>
          <w:sz w:val="22"/>
          <w:szCs w:val="22"/>
        </w:rPr>
        <w:t>and Table 1.</w:t>
      </w:r>
    </w:p>
    <w:p w14:paraId="6EC7ECB7" w14:textId="77777777" w:rsidR="00767374" w:rsidRDefault="00767374" w:rsidP="00B131FC">
      <w:pPr>
        <w:ind w:firstLine="720"/>
        <w:rPr>
          <w:sz w:val="22"/>
          <w:szCs w:val="22"/>
        </w:rPr>
      </w:pPr>
    </w:p>
    <w:p w14:paraId="0A898645" w14:textId="77777777" w:rsidR="00767374" w:rsidRDefault="00904061" w:rsidP="007C10E7">
      <w:pPr>
        <w:rPr>
          <w:sz w:val="22"/>
          <w:szCs w:val="22"/>
        </w:rPr>
      </w:pPr>
      <w:r>
        <w:rPr>
          <w:noProof/>
          <w:sz w:val="22"/>
          <w:szCs w:val="22"/>
        </w:rPr>
        <w:drawing>
          <wp:inline distT="0" distB="0" distL="0" distR="0" wp14:anchorId="3987DF7F" wp14:editId="5EF8BBC8">
            <wp:extent cx="5652135" cy="2826068"/>
            <wp:effectExtent l="0" t="0" r="12065" b="0"/>
            <wp:docPr id="6" name="Picture 6" descr="../../ML4T_2017Fall/strategy_learner/Portfolio_StrategyLearner_InSample_J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4T_2017Fall/strategy_learner/Portfolio_StrategyLearner_InSample_J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57126" cy="2828563"/>
                    </a:xfrm>
                    <a:prstGeom prst="rect">
                      <a:avLst/>
                    </a:prstGeom>
                    <a:noFill/>
                    <a:ln>
                      <a:noFill/>
                    </a:ln>
                  </pic:spPr>
                </pic:pic>
              </a:graphicData>
            </a:graphic>
          </wp:inline>
        </w:drawing>
      </w:r>
    </w:p>
    <w:p w14:paraId="11A68576" w14:textId="77777777" w:rsidR="000E6DF0" w:rsidRDefault="000E6DF0" w:rsidP="000E6DF0">
      <w:pPr>
        <w:rPr>
          <w:sz w:val="22"/>
          <w:szCs w:val="22"/>
        </w:rPr>
      </w:pPr>
      <w:r>
        <w:rPr>
          <w:sz w:val="22"/>
          <w:szCs w:val="22"/>
        </w:rPr>
        <w:t>Table 1:</w:t>
      </w:r>
    </w:p>
    <w:p w14:paraId="3C5AC507" w14:textId="77777777" w:rsidR="000E6DF0" w:rsidRDefault="000E6DF0" w:rsidP="000E6DF0">
      <w:pPr>
        <w:rPr>
          <w:sz w:val="22"/>
          <w:szCs w:val="22"/>
        </w:rPr>
      </w:pPr>
      <w:r w:rsidRPr="00B131FC">
        <w:rPr>
          <w:noProof/>
          <w:sz w:val="22"/>
          <w:szCs w:val="22"/>
        </w:rPr>
        <w:drawing>
          <wp:inline distT="0" distB="0" distL="0" distR="0" wp14:anchorId="5F04F32A" wp14:editId="5BF16C2C">
            <wp:extent cx="5943600" cy="1190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90625"/>
                    </a:xfrm>
                    <a:prstGeom prst="rect">
                      <a:avLst/>
                    </a:prstGeom>
                  </pic:spPr>
                </pic:pic>
              </a:graphicData>
            </a:graphic>
          </wp:inline>
        </w:drawing>
      </w:r>
    </w:p>
    <w:p w14:paraId="01456A20" w14:textId="77777777" w:rsidR="000E6DF0" w:rsidRDefault="000E6DF0" w:rsidP="000E6DF0">
      <w:pPr>
        <w:rPr>
          <w:sz w:val="22"/>
          <w:szCs w:val="22"/>
        </w:rPr>
      </w:pPr>
    </w:p>
    <w:p w14:paraId="7A726556" w14:textId="77777777" w:rsidR="000E6DF0" w:rsidRDefault="000E6DF0" w:rsidP="007C10E7">
      <w:pPr>
        <w:rPr>
          <w:sz w:val="22"/>
          <w:szCs w:val="22"/>
        </w:rPr>
      </w:pPr>
    </w:p>
    <w:p w14:paraId="377847B7" w14:textId="2FB26592" w:rsidR="000E6DF0" w:rsidRDefault="00087419" w:rsidP="00087419">
      <w:pPr>
        <w:ind w:firstLine="720"/>
        <w:rPr>
          <w:sz w:val="22"/>
          <w:szCs w:val="22"/>
        </w:rPr>
      </w:pPr>
      <w:r>
        <w:rPr>
          <w:sz w:val="22"/>
          <w:szCs w:val="22"/>
        </w:rPr>
        <w:t xml:space="preserve">Figure 1 compares the portfolios from </w:t>
      </w:r>
      <w:r w:rsidR="0067650E">
        <w:rPr>
          <w:sz w:val="22"/>
          <w:szCs w:val="22"/>
        </w:rPr>
        <w:t xml:space="preserve">the </w:t>
      </w:r>
      <w:r>
        <w:rPr>
          <w:sz w:val="22"/>
          <w:szCs w:val="22"/>
        </w:rPr>
        <w:t xml:space="preserve">benchmark, </w:t>
      </w:r>
      <w:r w:rsidR="0003724B">
        <w:rPr>
          <w:sz w:val="22"/>
          <w:szCs w:val="22"/>
        </w:rPr>
        <w:t xml:space="preserve">the </w:t>
      </w:r>
      <w:r>
        <w:rPr>
          <w:sz w:val="22"/>
          <w:szCs w:val="22"/>
        </w:rPr>
        <w:t>Manual Strategy and the StrategyLearner over the in-sample</w:t>
      </w:r>
      <w:r w:rsidR="003F4859">
        <w:rPr>
          <w:sz w:val="22"/>
          <w:szCs w:val="22"/>
        </w:rPr>
        <w:t xml:space="preserve"> period</w:t>
      </w:r>
      <w:r>
        <w:rPr>
          <w:sz w:val="22"/>
          <w:szCs w:val="22"/>
        </w:rPr>
        <w:t xml:space="preserve">. One can see that the StrategyLearner outcompetes the benchmark and the Manual Strategy significantly during the in-sample period. It reaches a cumulative return of 0.83 whereas the benchmark cumulative return is 0.0123 and the Manual Strategy is 0.4 (see also Table 1). Besides having the highest return, the StrategyLearner portfolio has the lowest volatility, ~half of those in the Benchmark and Manual Strategy (Table 1, stdev of daily returns). As a result, it achieves the best Sharpe ratio of 3.76 among the three. </w:t>
      </w:r>
      <w:r>
        <w:rPr>
          <w:sz w:val="22"/>
          <w:szCs w:val="22"/>
        </w:rPr>
        <w:t xml:space="preserve">The trading executions performed by the StrategyLearner are illustrated in Figure 1 (green </w:t>
      </w:r>
      <w:r w:rsidR="00417116">
        <w:rPr>
          <w:sz w:val="22"/>
          <w:szCs w:val="22"/>
        </w:rPr>
        <w:t xml:space="preserve">vertical lines </w:t>
      </w:r>
      <w:r>
        <w:rPr>
          <w:sz w:val="22"/>
          <w:szCs w:val="22"/>
        </w:rPr>
        <w:t xml:space="preserve">for LONG, red </w:t>
      </w:r>
      <w:r w:rsidR="00417116">
        <w:rPr>
          <w:sz w:val="22"/>
          <w:szCs w:val="22"/>
        </w:rPr>
        <w:t xml:space="preserve">vertical lines </w:t>
      </w:r>
      <w:r>
        <w:rPr>
          <w:sz w:val="22"/>
          <w:szCs w:val="22"/>
        </w:rPr>
        <w:t xml:space="preserve">for SHORT). Most LONG trades occur when the price dips and the SHORT ones take place when the price spikes, confirming that after training the StrategyLearner grasps the trading opportunities correctly. Interestingly, StrategyLearners trades much more frequently than the Manual Strategy (114 vs 11, Table 1). One reason is that zero market impact (and zero commission by default) is applied in experiment 1, so the optimal strategy should be to trade as frequent as possible once </w:t>
      </w:r>
      <w:r w:rsidR="003F4859">
        <w:rPr>
          <w:sz w:val="22"/>
          <w:szCs w:val="22"/>
        </w:rPr>
        <w:t>an</w:t>
      </w:r>
      <w:r>
        <w:rPr>
          <w:sz w:val="22"/>
          <w:szCs w:val="22"/>
        </w:rPr>
        <w:t xml:space="preserve"> opportunity </w:t>
      </w:r>
      <w:r w:rsidR="003F4859">
        <w:rPr>
          <w:sz w:val="22"/>
          <w:szCs w:val="22"/>
        </w:rPr>
        <w:t xml:space="preserve">is </w:t>
      </w:r>
      <w:r>
        <w:rPr>
          <w:sz w:val="22"/>
          <w:szCs w:val="22"/>
        </w:rPr>
        <w:t xml:space="preserve">detected. </w:t>
      </w:r>
      <w:r w:rsidR="00C67B14">
        <w:rPr>
          <w:sz w:val="22"/>
          <w:szCs w:val="22"/>
        </w:rPr>
        <w:t xml:space="preserve">Second, given the large degree of freedom in the model (324 states), the learner can come up with more complex decision rules to capture more trading occasions. </w:t>
      </w:r>
    </w:p>
    <w:p w14:paraId="7B69133F" w14:textId="4248A3B9" w:rsidR="00087419" w:rsidRDefault="000E6DF0" w:rsidP="00E9591F">
      <w:pPr>
        <w:ind w:firstLine="720"/>
        <w:rPr>
          <w:sz w:val="22"/>
          <w:szCs w:val="22"/>
        </w:rPr>
      </w:pPr>
      <w:r>
        <w:rPr>
          <w:sz w:val="22"/>
          <w:szCs w:val="22"/>
        </w:rPr>
        <w:t xml:space="preserve">We expect </w:t>
      </w:r>
      <w:r>
        <w:rPr>
          <w:sz w:val="22"/>
          <w:szCs w:val="22"/>
        </w:rPr>
        <w:t xml:space="preserve">that </w:t>
      </w:r>
      <w:r>
        <w:rPr>
          <w:sz w:val="22"/>
          <w:szCs w:val="22"/>
        </w:rPr>
        <w:t xml:space="preserve">the better </w:t>
      </w:r>
      <w:r>
        <w:rPr>
          <w:sz w:val="22"/>
          <w:szCs w:val="22"/>
        </w:rPr>
        <w:t xml:space="preserve">performance of StrategyLearner over the Manual Strategy </w:t>
      </w:r>
      <w:r w:rsidR="00E9591F">
        <w:rPr>
          <w:sz w:val="22"/>
          <w:szCs w:val="22"/>
        </w:rPr>
        <w:t xml:space="preserve">over the in-sample data </w:t>
      </w:r>
      <w:r>
        <w:rPr>
          <w:sz w:val="22"/>
          <w:szCs w:val="22"/>
        </w:rPr>
        <w:t xml:space="preserve">should hold for different stock and different training period, because </w:t>
      </w:r>
      <w:r w:rsidR="00E9591F">
        <w:rPr>
          <w:sz w:val="22"/>
          <w:szCs w:val="22"/>
        </w:rPr>
        <w:t xml:space="preserve">it is designed to optimize the return and it explores the solution space much more efficiently than a manual try-and-error. The </w:t>
      </w:r>
      <w:r w:rsidR="00E9591F">
        <w:rPr>
          <w:sz w:val="22"/>
          <w:szCs w:val="22"/>
        </w:rPr>
        <w:t xml:space="preserve">StrategyLearner </w:t>
      </w:r>
      <w:r w:rsidR="00E9591F">
        <w:rPr>
          <w:sz w:val="22"/>
          <w:szCs w:val="22"/>
        </w:rPr>
        <w:t xml:space="preserve">is also more complex than the Manual Strategy (324 states vs. essentially 3 states), which typically renders better in-sample results. </w:t>
      </w:r>
      <w:r w:rsidR="003F4859">
        <w:rPr>
          <w:sz w:val="22"/>
          <w:szCs w:val="22"/>
        </w:rPr>
        <w:t xml:space="preserve">The tradeoff may be the loss of generalizability in the StrategyLearner, which leads to our </w:t>
      </w:r>
      <w:r>
        <w:rPr>
          <w:sz w:val="22"/>
          <w:szCs w:val="22"/>
        </w:rPr>
        <w:t>additional</w:t>
      </w:r>
      <w:r w:rsidR="00CB240D">
        <w:rPr>
          <w:sz w:val="22"/>
          <w:szCs w:val="22"/>
        </w:rPr>
        <w:t xml:space="preserve"> </w:t>
      </w:r>
      <w:r w:rsidR="003F4859">
        <w:rPr>
          <w:sz w:val="22"/>
          <w:szCs w:val="22"/>
        </w:rPr>
        <w:t xml:space="preserve">test </w:t>
      </w:r>
      <w:r w:rsidR="00CB240D">
        <w:rPr>
          <w:sz w:val="22"/>
          <w:szCs w:val="22"/>
        </w:rPr>
        <w:t>using</w:t>
      </w:r>
      <w:r w:rsidR="003F4859">
        <w:rPr>
          <w:sz w:val="22"/>
          <w:szCs w:val="22"/>
        </w:rPr>
        <w:t xml:space="preserve"> the out-sample data</w:t>
      </w:r>
      <w:r>
        <w:rPr>
          <w:sz w:val="22"/>
          <w:szCs w:val="22"/>
        </w:rPr>
        <w:t xml:space="preserve">. </w:t>
      </w:r>
    </w:p>
    <w:p w14:paraId="236D8366" w14:textId="77777777" w:rsidR="000E6DF0" w:rsidRDefault="000E6DF0" w:rsidP="00087419">
      <w:pPr>
        <w:ind w:firstLine="720"/>
        <w:rPr>
          <w:sz w:val="22"/>
          <w:szCs w:val="22"/>
        </w:rPr>
      </w:pPr>
    </w:p>
    <w:p w14:paraId="431A7E6A" w14:textId="58F0C1D5" w:rsidR="00F17E92" w:rsidRDefault="00904061" w:rsidP="007C10E7">
      <w:pPr>
        <w:rPr>
          <w:sz w:val="22"/>
          <w:szCs w:val="22"/>
        </w:rPr>
      </w:pPr>
      <w:r>
        <w:rPr>
          <w:noProof/>
          <w:sz w:val="22"/>
          <w:szCs w:val="22"/>
        </w:rPr>
        <w:drawing>
          <wp:inline distT="0" distB="0" distL="0" distR="0" wp14:anchorId="07601AA3" wp14:editId="7CE69625">
            <wp:extent cx="5652135" cy="2823352"/>
            <wp:effectExtent l="0" t="0" r="12065" b="0"/>
            <wp:docPr id="8" name="Picture 8" descr="../../ML4T_2017Fall/strategy_learner/Portfolio_StrategyLearner_OutSample_J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L4T_2017Fall/strategy_learner/Portfolio_StrategyLearner_OutSample_J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5054" cy="2824810"/>
                    </a:xfrm>
                    <a:prstGeom prst="rect">
                      <a:avLst/>
                    </a:prstGeom>
                    <a:noFill/>
                    <a:ln>
                      <a:noFill/>
                    </a:ln>
                  </pic:spPr>
                </pic:pic>
              </a:graphicData>
            </a:graphic>
          </wp:inline>
        </w:drawing>
      </w:r>
    </w:p>
    <w:p w14:paraId="0331E8C3" w14:textId="22586448" w:rsidR="00C11A95" w:rsidRDefault="005A0CCC" w:rsidP="000E6DF0">
      <w:pPr>
        <w:ind w:firstLine="720"/>
        <w:rPr>
          <w:sz w:val="22"/>
          <w:szCs w:val="22"/>
        </w:rPr>
      </w:pPr>
      <w:r>
        <w:rPr>
          <w:sz w:val="22"/>
          <w:szCs w:val="22"/>
        </w:rPr>
        <w:t>The o</w:t>
      </w:r>
      <w:r w:rsidR="000E6DF0">
        <w:rPr>
          <w:sz w:val="22"/>
          <w:szCs w:val="22"/>
        </w:rPr>
        <w:t xml:space="preserve">ut-sample analysis is not </w:t>
      </w:r>
      <w:r w:rsidR="000E6DF0">
        <w:rPr>
          <w:sz w:val="22"/>
          <w:szCs w:val="22"/>
        </w:rPr>
        <w:t xml:space="preserve">required per the </w:t>
      </w:r>
      <w:r w:rsidR="003D3A09">
        <w:rPr>
          <w:sz w:val="22"/>
          <w:szCs w:val="22"/>
        </w:rPr>
        <w:t>instruction</w:t>
      </w:r>
      <w:r w:rsidR="000E6DF0">
        <w:rPr>
          <w:sz w:val="22"/>
          <w:szCs w:val="22"/>
        </w:rPr>
        <w:t xml:space="preserve"> but </w:t>
      </w:r>
      <w:r w:rsidR="00747AC2">
        <w:rPr>
          <w:sz w:val="22"/>
          <w:szCs w:val="22"/>
        </w:rPr>
        <w:t xml:space="preserve">is performed </w:t>
      </w:r>
      <w:r w:rsidR="000E6DF0">
        <w:rPr>
          <w:sz w:val="22"/>
          <w:szCs w:val="22"/>
        </w:rPr>
        <w:t>out of curiosity. During</w:t>
      </w:r>
      <w:r w:rsidR="003F4859">
        <w:rPr>
          <w:sz w:val="22"/>
          <w:szCs w:val="22"/>
        </w:rPr>
        <w:t xml:space="preserve"> the out-sample</w:t>
      </w:r>
      <w:r w:rsidR="00417116">
        <w:rPr>
          <w:sz w:val="22"/>
          <w:szCs w:val="22"/>
        </w:rPr>
        <w:t xml:space="preserve"> period</w:t>
      </w:r>
      <w:r w:rsidR="005650A1">
        <w:rPr>
          <w:sz w:val="22"/>
          <w:szCs w:val="22"/>
        </w:rPr>
        <w:t xml:space="preserve"> (Figure 2)</w:t>
      </w:r>
      <w:r w:rsidR="00417116">
        <w:rPr>
          <w:sz w:val="22"/>
          <w:szCs w:val="22"/>
        </w:rPr>
        <w:t xml:space="preserve">, the StrategyLearner still beats the benchmark by all performance measures (Table 1). The LONG (green vertical lines) and SHORT (red vertical lines) operations occur at the appropriate time in general. </w:t>
      </w:r>
      <w:r w:rsidR="009412F7">
        <w:rPr>
          <w:sz w:val="22"/>
          <w:szCs w:val="22"/>
        </w:rPr>
        <w:t xml:space="preserve">Considering the risk normalized return, the StrategyLearner wins </w:t>
      </w:r>
      <w:r w:rsidR="009A2F9F">
        <w:rPr>
          <w:sz w:val="22"/>
          <w:szCs w:val="22"/>
        </w:rPr>
        <w:t xml:space="preserve">over the Manual Strategy with a better </w:t>
      </w:r>
      <w:r w:rsidR="009412F7">
        <w:rPr>
          <w:sz w:val="22"/>
          <w:szCs w:val="22"/>
        </w:rPr>
        <w:t>Sharpe Ratio</w:t>
      </w:r>
      <w:r w:rsidR="009A2F9F">
        <w:rPr>
          <w:sz w:val="22"/>
          <w:szCs w:val="22"/>
        </w:rPr>
        <w:t xml:space="preserve"> (1.76 vs. 0.907)</w:t>
      </w:r>
      <w:r w:rsidR="009412F7">
        <w:rPr>
          <w:sz w:val="22"/>
          <w:szCs w:val="22"/>
        </w:rPr>
        <w:t>, mostly because</w:t>
      </w:r>
      <w:r w:rsidR="009A2F9F">
        <w:rPr>
          <w:sz w:val="22"/>
          <w:szCs w:val="22"/>
        </w:rPr>
        <w:t xml:space="preserve"> of</w:t>
      </w:r>
      <w:r w:rsidR="009412F7">
        <w:rPr>
          <w:sz w:val="22"/>
          <w:szCs w:val="22"/>
        </w:rPr>
        <w:t xml:space="preserve"> the </w:t>
      </w:r>
      <w:r w:rsidR="009A2F9F">
        <w:rPr>
          <w:sz w:val="22"/>
          <w:szCs w:val="22"/>
        </w:rPr>
        <w:t>low volatility</w:t>
      </w:r>
      <w:r w:rsidR="00747AC2">
        <w:rPr>
          <w:sz w:val="22"/>
          <w:szCs w:val="22"/>
        </w:rPr>
        <w:t xml:space="preserve"> </w:t>
      </w:r>
      <w:r w:rsidR="00747AC2">
        <w:rPr>
          <w:sz w:val="22"/>
          <w:szCs w:val="22"/>
        </w:rPr>
        <w:t>(Tabl</w:t>
      </w:r>
      <w:r w:rsidR="00747AC2">
        <w:rPr>
          <w:sz w:val="22"/>
          <w:szCs w:val="22"/>
        </w:rPr>
        <w:t>e 1)</w:t>
      </w:r>
      <w:r w:rsidR="009A2F9F">
        <w:rPr>
          <w:sz w:val="22"/>
          <w:szCs w:val="22"/>
        </w:rPr>
        <w:t xml:space="preserve">. </w:t>
      </w:r>
      <w:r w:rsidR="009A2F9F">
        <w:rPr>
          <w:sz w:val="22"/>
          <w:szCs w:val="22"/>
        </w:rPr>
        <w:t xml:space="preserve">However, its return (0.1686) is not as high as what the Manual Strategy offers (0.1963). </w:t>
      </w:r>
      <w:r w:rsidR="009A2F9F">
        <w:rPr>
          <w:sz w:val="22"/>
          <w:szCs w:val="22"/>
        </w:rPr>
        <w:t xml:space="preserve">Overall the performance of the StrategyLearner in the out-sample is OK but not as impressive as in the in-sample. It is possible that the StrategyLearner </w:t>
      </w:r>
      <w:r w:rsidR="00D0354F">
        <w:rPr>
          <w:sz w:val="22"/>
          <w:szCs w:val="22"/>
        </w:rPr>
        <w:t xml:space="preserve">indeed </w:t>
      </w:r>
      <w:r w:rsidR="009A2F9F">
        <w:rPr>
          <w:sz w:val="22"/>
          <w:szCs w:val="22"/>
        </w:rPr>
        <w:t>suffers a certain degree of overfitting</w:t>
      </w:r>
      <w:r w:rsidR="00417116">
        <w:rPr>
          <w:sz w:val="22"/>
          <w:szCs w:val="22"/>
        </w:rPr>
        <w:t xml:space="preserve"> </w:t>
      </w:r>
      <w:r w:rsidR="009A2F9F">
        <w:rPr>
          <w:sz w:val="22"/>
          <w:szCs w:val="22"/>
        </w:rPr>
        <w:t>because of its high complexity.</w:t>
      </w:r>
      <w:r w:rsidR="00417116">
        <w:rPr>
          <w:sz w:val="22"/>
          <w:szCs w:val="22"/>
        </w:rPr>
        <w:t xml:space="preserve"> </w:t>
      </w:r>
    </w:p>
    <w:p w14:paraId="049E2B20" w14:textId="42E9175B" w:rsidR="00C11A95" w:rsidRDefault="00C11A95" w:rsidP="007C10E7">
      <w:pPr>
        <w:rPr>
          <w:sz w:val="22"/>
          <w:szCs w:val="22"/>
        </w:rPr>
      </w:pPr>
    </w:p>
    <w:p w14:paraId="68CAB497" w14:textId="77777777" w:rsidR="00B131FC" w:rsidRDefault="00B131FC" w:rsidP="00F17E92">
      <w:pPr>
        <w:rPr>
          <w:b/>
          <w:sz w:val="22"/>
          <w:szCs w:val="22"/>
        </w:rPr>
      </w:pPr>
    </w:p>
    <w:p w14:paraId="73A9E954" w14:textId="6542834D" w:rsidR="00F17E92" w:rsidRPr="00B131FC" w:rsidRDefault="00F17E92" w:rsidP="00F17E92">
      <w:pPr>
        <w:rPr>
          <w:b/>
          <w:sz w:val="22"/>
          <w:szCs w:val="22"/>
        </w:rPr>
      </w:pPr>
      <w:r w:rsidRPr="00B131FC">
        <w:rPr>
          <w:b/>
          <w:sz w:val="22"/>
          <w:szCs w:val="22"/>
        </w:rPr>
        <w:t>3. Experiment 2</w:t>
      </w:r>
    </w:p>
    <w:p w14:paraId="4E3A4C1C" w14:textId="27F91F14" w:rsidR="00324A0D" w:rsidRDefault="00324A0D" w:rsidP="00324A0D">
      <w:pPr>
        <w:ind w:firstLine="720"/>
        <w:rPr>
          <w:sz w:val="22"/>
          <w:szCs w:val="22"/>
        </w:rPr>
      </w:pPr>
      <w:r>
        <w:rPr>
          <w:sz w:val="22"/>
          <w:szCs w:val="22"/>
        </w:rPr>
        <w:t>In this experiment</w:t>
      </w:r>
      <w:r w:rsidR="0083408A">
        <w:rPr>
          <w:sz w:val="22"/>
          <w:szCs w:val="22"/>
        </w:rPr>
        <w:t>,</w:t>
      </w:r>
      <w:r>
        <w:rPr>
          <w:sz w:val="22"/>
          <w:szCs w:val="22"/>
        </w:rPr>
        <w:t xml:space="preserve"> w</w:t>
      </w:r>
      <w:r>
        <w:rPr>
          <w:sz w:val="22"/>
          <w:szCs w:val="22"/>
        </w:rPr>
        <w:t xml:space="preserve">e </w:t>
      </w:r>
      <w:r>
        <w:rPr>
          <w:sz w:val="22"/>
          <w:szCs w:val="22"/>
        </w:rPr>
        <w:t xml:space="preserve">focus on the in-sample </w:t>
      </w:r>
      <w:r>
        <w:rPr>
          <w:sz w:val="22"/>
          <w:szCs w:val="22"/>
        </w:rPr>
        <w:t xml:space="preserve">JPM data from 2008-1-1 to 2009-12-31. The </w:t>
      </w:r>
      <w:r>
        <w:rPr>
          <w:sz w:val="22"/>
          <w:szCs w:val="22"/>
        </w:rPr>
        <w:t xml:space="preserve">goal is to alter the </w:t>
      </w:r>
      <m:oMath>
        <m:r>
          <w:rPr>
            <w:rFonts w:ascii="Cambria Math" w:hAnsi="Cambria Math"/>
            <w:sz w:val="22"/>
            <w:szCs w:val="22"/>
          </w:rPr>
          <m:t>impact</m:t>
        </m:r>
      </m:oMath>
      <w:r>
        <w:rPr>
          <w:sz w:val="22"/>
          <w:szCs w:val="22"/>
        </w:rPr>
        <w:t xml:space="preserve"> factor </w:t>
      </w:r>
      <w:r w:rsidR="00FB2BEE">
        <w:rPr>
          <w:sz w:val="22"/>
          <w:szCs w:val="22"/>
        </w:rPr>
        <w:t xml:space="preserve">to see how it affects the learner performance. </w:t>
      </w:r>
      <w:r w:rsidR="00F62CB1">
        <w:rPr>
          <w:sz w:val="22"/>
          <w:szCs w:val="22"/>
        </w:rPr>
        <w:t xml:space="preserve">We applied the same learner parameters as described in the </w:t>
      </w:r>
      <w:r w:rsidR="00F62CB1">
        <w:rPr>
          <w:sz w:val="22"/>
          <w:szCs w:val="22"/>
        </w:rPr>
        <w:t xml:space="preserve">model building section. The convergence is defined as the </w:t>
      </w:r>
      <w:r>
        <w:rPr>
          <w:sz w:val="22"/>
          <w:szCs w:val="22"/>
        </w:rPr>
        <w:t xml:space="preserve">percentage change of the cumulative return &lt;=0.1%. We </w:t>
      </w:r>
      <w:r w:rsidR="00F62CB1">
        <w:rPr>
          <w:sz w:val="22"/>
          <w:szCs w:val="22"/>
        </w:rPr>
        <w:t>varied</w:t>
      </w:r>
      <w:r>
        <w:rPr>
          <w:sz w:val="22"/>
          <w:szCs w:val="22"/>
        </w:rPr>
        <w:t xml:space="preserve"> impact</w:t>
      </w:r>
      <w:r w:rsidR="00F62CB1">
        <w:rPr>
          <w:sz w:val="22"/>
          <w:szCs w:val="22"/>
        </w:rPr>
        <w:t xml:space="preserve"> from </w:t>
      </w:r>
      <w:r>
        <w:rPr>
          <w:sz w:val="22"/>
          <w:szCs w:val="22"/>
        </w:rPr>
        <w:t>0</w:t>
      </w:r>
      <w:r w:rsidR="00F62CB1">
        <w:rPr>
          <w:sz w:val="22"/>
          <w:szCs w:val="22"/>
        </w:rPr>
        <w:t>, 0.005, 0.01, 0.02</w:t>
      </w:r>
      <w:r>
        <w:rPr>
          <w:sz w:val="22"/>
          <w:szCs w:val="22"/>
        </w:rPr>
        <w:t xml:space="preserve"> (commission=0</w:t>
      </w:r>
      <w:r w:rsidR="00F62CB1">
        <w:rPr>
          <w:sz w:val="22"/>
          <w:szCs w:val="22"/>
        </w:rPr>
        <w:t xml:space="preserve"> by default</w:t>
      </w:r>
      <w:r>
        <w:rPr>
          <w:sz w:val="22"/>
          <w:szCs w:val="22"/>
        </w:rPr>
        <w:t xml:space="preserve">) for this experiment. </w:t>
      </w:r>
      <w:r w:rsidR="00B21E62">
        <w:rPr>
          <w:sz w:val="22"/>
          <w:szCs w:val="22"/>
        </w:rPr>
        <w:t>T</w:t>
      </w:r>
      <w:r>
        <w:rPr>
          <w:sz w:val="22"/>
          <w:szCs w:val="22"/>
        </w:rPr>
        <w:t xml:space="preserve">he learner was </w:t>
      </w:r>
      <w:r w:rsidR="00B21E62">
        <w:rPr>
          <w:sz w:val="22"/>
          <w:szCs w:val="22"/>
        </w:rPr>
        <w:t xml:space="preserve">trained &amp; </w:t>
      </w:r>
      <w:r>
        <w:rPr>
          <w:sz w:val="22"/>
          <w:szCs w:val="22"/>
        </w:rPr>
        <w:t>tested over the in-sample</w:t>
      </w:r>
      <w:r w:rsidR="00F62CB1">
        <w:rPr>
          <w:sz w:val="22"/>
          <w:szCs w:val="22"/>
        </w:rPr>
        <w:t xml:space="preserve"> period</w:t>
      </w:r>
      <w:r>
        <w:rPr>
          <w:sz w:val="22"/>
          <w:szCs w:val="22"/>
        </w:rPr>
        <w:t xml:space="preserve">. </w:t>
      </w:r>
      <w:r w:rsidR="003C02CA">
        <w:rPr>
          <w:sz w:val="22"/>
          <w:szCs w:val="22"/>
        </w:rPr>
        <w:t xml:space="preserve">For a better quantification, we repeated the experiment 3 times and summarized the results in </w:t>
      </w:r>
      <w:r>
        <w:rPr>
          <w:sz w:val="22"/>
          <w:szCs w:val="22"/>
        </w:rPr>
        <w:t xml:space="preserve">Figure </w:t>
      </w:r>
      <w:r w:rsidR="00F62CB1">
        <w:rPr>
          <w:sz w:val="22"/>
          <w:szCs w:val="22"/>
        </w:rPr>
        <w:t>3</w:t>
      </w:r>
      <w:r>
        <w:rPr>
          <w:sz w:val="22"/>
          <w:szCs w:val="22"/>
        </w:rPr>
        <w:t>.</w:t>
      </w:r>
    </w:p>
    <w:p w14:paraId="7B57E2A5" w14:textId="7453CF08" w:rsidR="00B131FC" w:rsidRDefault="00B131FC" w:rsidP="00B131FC">
      <w:pPr>
        <w:rPr>
          <w:sz w:val="22"/>
          <w:szCs w:val="22"/>
        </w:rPr>
      </w:pPr>
    </w:p>
    <w:p w14:paraId="064A9F64" w14:textId="3B3F02B6" w:rsidR="00B131FC" w:rsidRDefault="00B131FC" w:rsidP="00F17E92">
      <w:pPr>
        <w:rPr>
          <w:sz w:val="22"/>
          <w:szCs w:val="22"/>
        </w:rPr>
      </w:pPr>
    </w:p>
    <w:p w14:paraId="437EF493" w14:textId="123ABC91" w:rsidR="00B131FC" w:rsidRDefault="00B131FC" w:rsidP="00F17E92">
      <w:pPr>
        <w:rPr>
          <w:sz w:val="22"/>
          <w:szCs w:val="22"/>
        </w:rPr>
      </w:pPr>
      <w:r>
        <w:rPr>
          <w:noProof/>
          <w:sz w:val="22"/>
          <w:szCs w:val="22"/>
        </w:rPr>
        <w:drawing>
          <wp:inline distT="0" distB="0" distL="0" distR="0" wp14:anchorId="67F998B4" wp14:editId="78F9623D">
            <wp:extent cx="5946775" cy="2970530"/>
            <wp:effectExtent l="0" t="0" r="0" b="1270"/>
            <wp:docPr id="9" name="Picture 9" descr="../../ML4T_2017Fall/strategy_learner/plot_Impact_eff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L4T_2017Fall/strategy_learner/plot_Impact_effec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775" cy="2970530"/>
                    </a:xfrm>
                    <a:prstGeom prst="rect">
                      <a:avLst/>
                    </a:prstGeom>
                    <a:noFill/>
                    <a:ln>
                      <a:noFill/>
                    </a:ln>
                  </pic:spPr>
                </pic:pic>
              </a:graphicData>
            </a:graphic>
          </wp:inline>
        </w:drawing>
      </w:r>
    </w:p>
    <w:p w14:paraId="1A8822C0" w14:textId="48294039" w:rsidR="00F17E92" w:rsidRDefault="003C02CA" w:rsidP="007C10E7">
      <w:pPr>
        <w:rPr>
          <w:sz w:val="22"/>
          <w:szCs w:val="22"/>
        </w:rPr>
      </w:pPr>
      <w:r>
        <w:rPr>
          <w:sz w:val="22"/>
          <w:szCs w:val="22"/>
        </w:rPr>
        <w:tab/>
      </w:r>
    </w:p>
    <w:p w14:paraId="39ADE416" w14:textId="21B84F1E" w:rsidR="003C02CA" w:rsidRDefault="003C02CA" w:rsidP="007C10E7">
      <w:pPr>
        <w:rPr>
          <w:sz w:val="22"/>
          <w:szCs w:val="22"/>
        </w:rPr>
      </w:pPr>
      <w:r>
        <w:rPr>
          <w:sz w:val="22"/>
          <w:szCs w:val="22"/>
        </w:rPr>
        <w:tab/>
      </w:r>
      <w:r w:rsidR="00F4764C">
        <w:rPr>
          <w:sz w:val="22"/>
          <w:szCs w:val="22"/>
        </w:rPr>
        <w:t>One</w:t>
      </w:r>
      <w:r>
        <w:rPr>
          <w:sz w:val="22"/>
          <w:szCs w:val="22"/>
        </w:rPr>
        <w:t xml:space="preserve"> hypothesis is that with increasing the market </w:t>
      </w:r>
      <m:oMath>
        <m:r>
          <w:rPr>
            <w:rFonts w:ascii="Cambria Math" w:hAnsi="Cambria Math"/>
            <w:sz w:val="22"/>
            <w:szCs w:val="22"/>
          </w:rPr>
          <m:t>impact</m:t>
        </m:r>
      </m:oMath>
      <w:r>
        <w:rPr>
          <w:sz w:val="22"/>
          <w:szCs w:val="22"/>
        </w:rPr>
        <w:t xml:space="preserve"> </w:t>
      </w:r>
      <w:r>
        <w:rPr>
          <w:sz w:val="22"/>
          <w:szCs w:val="22"/>
        </w:rPr>
        <w:t xml:space="preserve">factor, the return </w:t>
      </w:r>
      <w:r w:rsidR="003518FD">
        <w:rPr>
          <w:sz w:val="22"/>
          <w:szCs w:val="22"/>
        </w:rPr>
        <w:t>from the learner should decrease</w:t>
      </w:r>
      <w:r w:rsidR="004F79CA">
        <w:rPr>
          <w:sz w:val="22"/>
          <w:szCs w:val="22"/>
        </w:rPr>
        <w:t xml:space="preserve">. It is not only because each trade will cost more cash against the market impact, but also a large impact may overwhelm the signal of </w:t>
      </w:r>
      <w:r w:rsidR="00F4764C">
        <w:rPr>
          <w:sz w:val="22"/>
          <w:szCs w:val="22"/>
        </w:rPr>
        <w:t>the reward</w:t>
      </w:r>
      <w:r w:rsidR="004F79CA">
        <w:rPr>
          <w:sz w:val="22"/>
          <w:szCs w:val="22"/>
        </w:rPr>
        <w:t xml:space="preserve"> (typically ~0.001, see Table 1 In-Sample daily return of StrategyLearner). That is,</w:t>
      </w:r>
      <w:r w:rsidR="007B3484">
        <w:rPr>
          <w:sz w:val="22"/>
          <w:szCs w:val="22"/>
        </w:rPr>
        <w:t xml:space="preserve"> </w:t>
      </w:r>
      <w:r w:rsidR="00F4764C">
        <w:rPr>
          <w:sz w:val="22"/>
          <w:szCs w:val="22"/>
        </w:rPr>
        <w:t>the learner receives a reward predominated by the market impact instead of the daily return. In this case, learning if an action is</w:t>
      </w:r>
      <w:r w:rsidR="00F2670B">
        <w:rPr>
          <w:sz w:val="22"/>
          <w:szCs w:val="22"/>
        </w:rPr>
        <w:t xml:space="preserve"> </w:t>
      </w:r>
      <w:r w:rsidR="007B3484">
        <w:rPr>
          <w:sz w:val="22"/>
          <w:szCs w:val="22"/>
        </w:rPr>
        <w:t>a correct or wrong</w:t>
      </w:r>
      <w:r w:rsidR="00F4764C">
        <w:rPr>
          <w:sz w:val="22"/>
          <w:szCs w:val="22"/>
        </w:rPr>
        <w:t xml:space="preserve"> becomes more difficult</w:t>
      </w:r>
      <w:r w:rsidR="007B3484">
        <w:rPr>
          <w:sz w:val="22"/>
          <w:szCs w:val="22"/>
        </w:rPr>
        <w:t xml:space="preserve">. </w:t>
      </w:r>
      <w:r w:rsidR="00F4764C">
        <w:rPr>
          <w:sz w:val="22"/>
          <w:szCs w:val="22"/>
        </w:rPr>
        <w:t xml:space="preserve">Another </w:t>
      </w:r>
      <w:r w:rsidR="00F4764C">
        <w:rPr>
          <w:sz w:val="22"/>
          <w:szCs w:val="22"/>
        </w:rPr>
        <w:t>hypothesis</w:t>
      </w:r>
      <w:r w:rsidR="00F4764C">
        <w:rPr>
          <w:sz w:val="22"/>
          <w:szCs w:val="22"/>
        </w:rPr>
        <w:t xml:space="preserve"> is that there should be </w:t>
      </w:r>
      <w:r w:rsidR="0083408A">
        <w:rPr>
          <w:sz w:val="22"/>
          <w:szCs w:val="22"/>
        </w:rPr>
        <w:t>fewer trades when the impact goes up</w:t>
      </w:r>
      <w:r w:rsidR="00F4764C">
        <w:rPr>
          <w:sz w:val="22"/>
          <w:szCs w:val="22"/>
        </w:rPr>
        <w:t xml:space="preserve"> because the trade will be punished by the impact and hence discouraged. </w:t>
      </w:r>
    </w:p>
    <w:p w14:paraId="674E769D" w14:textId="0B7C17A3" w:rsidR="003C02CA" w:rsidRPr="00DB68DE" w:rsidRDefault="00C155FF" w:rsidP="00F4764C">
      <w:pPr>
        <w:ind w:firstLine="720"/>
        <w:rPr>
          <w:sz w:val="22"/>
          <w:szCs w:val="22"/>
        </w:rPr>
      </w:pPr>
      <w:r>
        <w:rPr>
          <w:sz w:val="22"/>
          <w:szCs w:val="22"/>
        </w:rPr>
        <w:t xml:space="preserve">In </w:t>
      </w:r>
      <w:r w:rsidR="003C02CA">
        <w:rPr>
          <w:sz w:val="22"/>
          <w:szCs w:val="22"/>
        </w:rPr>
        <w:t>Figure 3, the dots represent the mean</w:t>
      </w:r>
      <w:r w:rsidR="003C02CA">
        <w:rPr>
          <w:sz w:val="22"/>
          <w:szCs w:val="22"/>
        </w:rPr>
        <w:t xml:space="preserve"> cumulative return</w:t>
      </w:r>
      <w:r w:rsidR="003C02CA">
        <w:rPr>
          <w:sz w:val="22"/>
          <w:szCs w:val="22"/>
        </w:rPr>
        <w:t xml:space="preserve"> (red)</w:t>
      </w:r>
      <w:r w:rsidR="0083408A">
        <w:rPr>
          <w:sz w:val="22"/>
          <w:szCs w:val="22"/>
        </w:rPr>
        <w:t>, S</w:t>
      </w:r>
      <w:r w:rsidR="003C02CA">
        <w:rPr>
          <w:sz w:val="22"/>
          <w:szCs w:val="22"/>
        </w:rPr>
        <w:t>harpe ratio</w:t>
      </w:r>
      <w:r w:rsidR="003C02CA">
        <w:rPr>
          <w:sz w:val="22"/>
          <w:szCs w:val="22"/>
        </w:rPr>
        <w:t xml:space="preserve"> (green)</w:t>
      </w:r>
      <w:r w:rsidR="003C02CA">
        <w:rPr>
          <w:sz w:val="22"/>
          <w:szCs w:val="22"/>
        </w:rPr>
        <w:t xml:space="preserve"> and the number of trades</w:t>
      </w:r>
      <w:r w:rsidR="003C02CA">
        <w:rPr>
          <w:sz w:val="22"/>
          <w:szCs w:val="22"/>
        </w:rPr>
        <w:t xml:space="preserve"> (blue) over 3 repeats, with their standard deviations shown as the error bars. The cumulative return </w:t>
      </w:r>
      <w:r>
        <w:rPr>
          <w:sz w:val="22"/>
          <w:szCs w:val="22"/>
        </w:rPr>
        <w:t xml:space="preserve">(from ~0.8 to ~0.15) </w:t>
      </w:r>
      <w:r w:rsidR="003C02CA">
        <w:rPr>
          <w:sz w:val="22"/>
          <w:szCs w:val="22"/>
        </w:rPr>
        <w:t>and the Sharpe ratio</w:t>
      </w:r>
      <w:r>
        <w:rPr>
          <w:sz w:val="22"/>
          <w:szCs w:val="22"/>
        </w:rPr>
        <w:t xml:space="preserve"> (from ~3.7 to ~1.0)</w:t>
      </w:r>
      <w:r w:rsidR="003C02CA">
        <w:rPr>
          <w:sz w:val="22"/>
          <w:szCs w:val="22"/>
        </w:rPr>
        <w:t xml:space="preserve"> </w:t>
      </w:r>
      <w:r>
        <w:rPr>
          <w:sz w:val="22"/>
          <w:szCs w:val="22"/>
        </w:rPr>
        <w:t xml:space="preserve">indeed </w:t>
      </w:r>
      <w:r w:rsidR="003C02CA">
        <w:rPr>
          <w:sz w:val="22"/>
          <w:szCs w:val="22"/>
        </w:rPr>
        <w:t xml:space="preserve">decrease with respect to the increase of the </w:t>
      </w:r>
      <m:oMath>
        <m:r>
          <w:rPr>
            <w:rFonts w:ascii="Cambria Math" w:hAnsi="Cambria Math"/>
            <w:sz w:val="22"/>
            <w:szCs w:val="22"/>
          </w:rPr>
          <m:t>impact</m:t>
        </m:r>
      </m:oMath>
      <w:r w:rsidR="003C02CA">
        <w:rPr>
          <w:sz w:val="22"/>
          <w:szCs w:val="22"/>
        </w:rPr>
        <w:t xml:space="preserve"> </w:t>
      </w:r>
      <w:r w:rsidR="003C02CA">
        <w:rPr>
          <w:sz w:val="22"/>
          <w:szCs w:val="22"/>
        </w:rPr>
        <w:t>value</w:t>
      </w:r>
      <w:r>
        <w:rPr>
          <w:sz w:val="22"/>
          <w:szCs w:val="22"/>
        </w:rPr>
        <w:t xml:space="preserve">. In addition, the number of trades drops from ~100 to ~20 when the impact increases from 0 to 0.02. These observations confirm </w:t>
      </w:r>
      <w:r w:rsidR="0083408A">
        <w:rPr>
          <w:sz w:val="22"/>
          <w:szCs w:val="22"/>
        </w:rPr>
        <w:t>the above</w:t>
      </w:r>
      <w:bookmarkStart w:id="0" w:name="_GoBack"/>
      <w:bookmarkEnd w:id="0"/>
      <w:r>
        <w:rPr>
          <w:sz w:val="22"/>
          <w:szCs w:val="22"/>
        </w:rPr>
        <w:t xml:space="preserve"> hypotheses. </w:t>
      </w:r>
    </w:p>
    <w:sectPr w:rsidR="003C02CA" w:rsidRPr="00DB68DE" w:rsidSect="002C6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06A"/>
    <w:rsid w:val="000019A2"/>
    <w:rsid w:val="000139DD"/>
    <w:rsid w:val="00032308"/>
    <w:rsid w:val="0003289C"/>
    <w:rsid w:val="00033D8C"/>
    <w:rsid w:val="0003724B"/>
    <w:rsid w:val="000520CA"/>
    <w:rsid w:val="00052D14"/>
    <w:rsid w:val="00055D03"/>
    <w:rsid w:val="00075ABE"/>
    <w:rsid w:val="00083042"/>
    <w:rsid w:val="00083E96"/>
    <w:rsid w:val="00085678"/>
    <w:rsid w:val="00087419"/>
    <w:rsid w:val="000978EB"/>
    <w:rsid w:val="000A03D2"/>
    <w:rsid w:val="000A2052"/>
    <w:rsid w:val="000A4387"/>
    <w:rsid w:val="000A7B74"/>
    <w:rsid w:val="000B270D"/>
    <w:rsid w:val="000B5E42"/>
    <w:rsid w:val="000C270E"/>
    <w:rsid w:val="000D11B5"/>
    <w:rsid w:val="000E3410"/>
    <w:rsid w:val="000E51E5"/>
    <w:rsid w:val="000E6DF0"/>
    <w:rsid w:val="000F575E"/>
    <w:rsid w:val="0011591C"/>
    <w:rsid w:val="00117BFE"/>
    <w:rsid w:val="00130934"/>
    <w:rsid w:val="0013396D"/>
    <w:rsid w:val="00140518"/>
    <w:rsid w:val="001438B6"/>
    <w:rsid w:val="001664A6"/>
    <w:rsid w:val="0018142A"/>
    <w:rsid w:val="00193E2F"/>
    <w:rsid w:val="001A33DD"/>
    <w:rsid w:val="001A53BC"/>
    <w:rsid w:val="001B30DD"/>
    <w:rsid w:val="001B4FEB"/>
    <w:rsid w:val="001B5535"/>
    <w:rsid w:val="001B76A5"/>
    <w:rsid w:val="001D3678"/>
    <w:rsid w:val="001D4716"/>
    <w:rsid w:val="001D4DD8"/>
    <w:rsid w:val="001E0914"/>
    <w:rsid w:val="001E0F3E"/>
    <w:rsid w:val="001F3A39"/>
    <w:rsid w:val="001F6AA5"/>
    <w:rsid w:val="001F7DEB"/>
    <w:rsid w:val="002026B1"/>
    <w:rsid w:val="00220EE8"/>
    <w:rsid w:val="002218DF"/>
    <w:rsid w:val="00224631"/>
    <w:rsid w:val="00230BE3"/>
    <w:rsid w:val="00237990"/>
    <w:rsid w:val="002401E9"/>
    <w:rsid w:val="00242226"/>
    <w:rsid w:val="00242F98"/>
    <w:rsid w:val="0025086F"/>
    <w:rsid w:val="00254A0B"/>
    <w:rsid w:val="00265851"/>
    <w:rsid w:val="00272319"/>
    <w:rsid w:val="00272C5F"/>
    <w:rsid w:val="00273ACC"/>
    <w:rsid w:val="002777B6"/>
    <w:rsid w:val="002C1884"/>
    <w:rsid w:val="002C5084"/>
    <w:rsid w:val="002C622D"/>
    <w:rsid w:val="002D3B27"/>
    <w:rsid w:val="002D467B"/>
    <w:rsid w:val="003029BE"/>
    <w:rsid w:val="00303A2E"/>
    <w:rsid w:val="0030427E"/>
    <w:rsid w:val="00304336"/>
    <w:rsid w:val="00313317"/>
    <w:rsid w:val="00315DBA"/>
    <w:rsid w:val="00321EEE"/>
    <w:rsid w:val="00324A0D"/>
    <w:rsid w:val="00330359"/>
    <w:rsid w:val="00331B18"/>
    <w:rsid w:val="00333363"/>
    <w:rsid w:val="00342184"/>
    <w:rsid w:val="0034218A"/>
    <w:rsid w:val="00343739"/>
    <w:rsid w:val="0035158E"/>
    <w:rsid w:val="003518FD"/>
    <w:rsid w:val="00380069"/>
    <w:rsid w:val="003A2BE8"/>
    <w:rsid w:val="003A5721"/>
    <w:rsid w:val="003A7836"/>
    <w:rsid w:val="003B7A55"/>
    <w:rsid w:val="003C02CA"/>
    <w:rsid w:val="003C18CB"/>
    <w:rsid w:val="003D3A09"/>
    <w:rsid w:val="003E6C47"/>
    <w:rsid w:val="003F240D"/>
    <w:rsid w:val="003F384E"/>
    <w:rsid w:val="003F4859"/>
    <w:rsid w:val="003F62EF"/>
    <w:rsid w:val="00400FB1"/>
    <w:rsid w:val="00413499"/>
    <w:rsid w:val="00414A59"/>
    <w:rsid w:val="0041633D"/>
    <w:rsid w:val="00417116"/>
    <w:rsid w:val="00422331"/>
    <w:rsid w:val="004274B7"/>
    <w:rsid w:val="00433CCE"/>
    <w:rsid w:val="00437752"/>
    <w:rsid w:val="00450478"/>
    <w:rsid w:val="00450C89"/>
    <w:rsid w:val="00455A61"/>
    <w:rsid w:val="004609E0"/>
    <w:rsid w:val="00461FAE"/>
    <w:rsid w:val="00465099"/>
    <w:rsid w:val="00470588"/>
    <w:rsid w:val="004738FF"/>
    <w:rsid w:val="004846AB"/>
    <w:rsid w:val="004914C4"/>
    <w:rsid w:val="00495D57"/>
    <w:rsid w:val="00497E6A"/>
    <w:rsid w:val="004A3F47"/>
    <w:rsid w:val="004B4325"/>
    <w:rsid w:val="004E730C"/>
    <w:rsid w:val="004F0475"/>
    <w:rsid w:val="004F5012"/>
    <w:rsid w:val="004F6D41"/>
    <w:rsid w:val="004F76C1"/>
    <w:rsid w:val="004F79CA"/>
    <w:rsid w:val="0050006A"/>
    <w:rsid w:val="005008D0"/>
    <w:rsid w:val="005143A3"/>
    <w:rsid w:val="00521FE1"/>
    <w:rsid w:val="0052509F"/>
    <w:rsid w:val="00530616"/>
    <w:rsid w:val="0053180D"/>
    <w:rsid w:val="00535B97"/>
    <w:rsid w:val="00535EF5"/>
    <w:rsid w:val="005371A5"/>
    <w:rsid w:val="00545A63"/>
    <w:rsid w:val="0056084D"/>
    <w:rsid w:val="005624EF"/>
    <w:rsid w:val="005630F9"/>
    <w:rsid w:val="005650A1"/>
    <w:rsid w:val="00565DEB"/>
    <w:rsid w:val="00576393"/>
    <w:rsid w:val="00580673"/>
    <w:rsid w:val="005844C3"/>
    <w:rsid w:val="00585681"/>
    <w:rsid w:val="005A0CCC"/>
    <w:rsid w:val="005A0CE2"/>
    <w:rsid w:val="005E5A89"/>
    <w:rsid w:val="005E6288"/>
    <w:rsid w:val="005F434D"/>
    <w:rsid w:val="005F57E3"/>
    <w:rsid w:val="005F6141"/>
    <w:rsid w:val="00612FBC"/>
    <w:rsid w:val="00613E42"/>
    <w:rsid w:val="006155A9"/>
    <w:rsid w:val="00630335"/>
    <w:rsid w:val="006313E4"/>
    <w:rsid w:val="00634B28"/>
    <w:rsid w:val="00656250"/>
    <w:rsid w:val="00663BCB"/>
    <w:rsid w:val="00673D95"/>
    <w:rsid w:val="006750CA"/>
    <w:rsid w:val="006755C8"/>
    <w:rsid w:val="0067650E"/>
    <w:rsid w:val="00684273"/>
    <w:rsid w:val="00691FD6"/>
    <w:rsid w:val="00693B51"/>
    <w:rsid w:val="006A6463"/>
    <w:rsid w:val="006B7F68"/>
    <w:rsid w:val="006D0133"/>
    <w:rsid w:val="006D4801"/>
    <w:rsid w:val="006E3D27"/>
    <w:rsid w:val="006F1369"/>
    <w:rsid w:val="006F5EEC"/>
    <w:rsid w:val="00700061"/>
    <w:rsid w:val="00704280"/>
    <w:rsid w:val="00704CBF"/>
    <w:rsid w:val="0070549D"/>
    <w:rsid w:val="00711751"/>
    <w:rsid w:val="007324FB"/>
    <w:rsid w:val="00743F5C"/>
    <w:rsid w:val="00744717"/>
    <w:rsid w:val="00747AC2"/>
    <w:rsid w:val="00756192"/>
    <w:rsid w:val="0076244C"/>
    <w:rsid w:val="00767374"/>
    <w:rsid w:val="00770D83"/>
    <w:rsid w:val="007817A6"/>
    <w:rsid w:val="0078564B"/>
    <w:rsid w:val="00795020"/>
    <w:rsid w:val="0079716A"/>
    <w:rsid w:val="007A1017"/>
    <w:rsid w:val="007B3484"/>
    <w:rsid w:val="007C066E"/>
    <w:rsid w:val="007C10E7"/>
    <w:rsid w:val="007C11BA"/>
    <w:rsid w:val="007E06C1"/>
    <w:rsid w:val="007E0775"/>
    <w:rsid w:val="007E09BC"/>
    <w:rsid w:val="007E0BB4"/>
    <w:rsid w:val="007E264F"/>
    <w:rsid w:val="007F1ABE"/>
    <w:rsid w:val="007F1B41"/>
    <w:rsid w:val="007F1E69"/>
    <w:rsid w:val="008000B3"/>
    <w:rsid w:val="00814B8B"/>
    <w:rsid w:val="008247C7"/>
    <w:rsid w:val="0083408A"/>
    <w:rsid w:val="008357E8"/>
    <w:rsid w:val="0084789F"/>
    <w:rsid w:val="008524C1"/>
    <w:rsid w:val="00860F13"/>
    <w:rsid w:val="00864974"/>
    <w:rsid w:val="008843E3"/>
    <w:rsid w:val="00885E72"/>
    <w:rsid w:val="00885FA6"/>
    <w:rsid w:val="00890C54"/>
    <w:rsid w:val="00894605"/>
    <w:rsid w:val="008A14F9"/>
    <w:rsid w:val="008B1906"/>
    <w:rsid w:val="008B281A"/>
    <w:rsid w:val="008D6A7C"/>
    <w:rsid w:val="008D71D7"/>
    <w:rsid w:val="008E0E26"/>
    <w:rsid w:val="008E113A"/>
    <w:rsid w:val="008E2191"/>
    <w:rsid w:val="008E59CD"/>
    <w:rsid w:val="008F096B"/>
    <w:rsid w:val="008F5777"/>
    <w:rsid w:val="00901B5B"/>
    <w:rsid w:val="00904061"/>
    <w:rsid w:val="00907C8C"/>
    <w:rsid w:val="00935263"/>
    <w:rsid w:val="00937DBB"/>
    <w:rsid w:val="009412F7"/>
    <w:rsid w:val="009419AC"/>
    <w:rsid w:val="00953A56"/>
    <w:rsid w:val="0095646F"/>
    <w:rsid w:val="00957DF7"/>
    <w:rsid w:val="0096511F"/>
    <w:rsid w:val="00967D7C"/>
    <w:rsid w:val="009A08EA"/>
    <w:rsid w:val="009A2F9F"/>
    <w:rsid w:val="009A7D1B"/>
    <w:rsid w:val="009B1D5F"/>
    <w:rsid w:val="009B22AF"/>
    <w:rsid w:val="009D0927"/>
    <w:rsid w:val="009E0AD0"/>
    <w:rsid w:val="009E35B5"/>
    <w:rsid w:val="009E48DD"/>
    <w:rsid w:val="009F4C08"/>
    <w:rsid w:val="00A03212"/>
    <w:rsid w:val="00A05374"/>
    <w:rsid w:val="00A16C96"/>
    <w:rsid w:val="00A30A87"/>
    <w:rsid w:val="00A31366"/>
    <w:rsid w:val="00A428B3"/>
    <w:rsid w:val="00A45AAB"/>
    <w:rsid w:val="00A53653"/>
    <w:rsid w:val="00A55D3D"/>
    <w:rsid w:val="00A56021"/>
    <w:rsid w:val="00A57656"/>
    <w:rsid w:val="00A740E2"/>
    <w:rsid w:val="00A7560A"/>
    <w:rsid w:val="00A86584"/>
    <w:rsid w:val="00A943B9"/>
    <w:rsid w:val="00AB58DA"/>
    <w:rsid w:val="00AB5C73"/>
    <w:rsid w:val="00AC3E01"/>
    <w:rsid w:val="00AD2220"/>
    <w:rsid w:val="00AE2C84"/>
    <w:rsid w:val="00AF210B"/>
    <w:rsid w:val="00AF2226"/>
    <w:rsid w:val="00AF5239"/>
    <w:rsid w:val="00B00AB1"/>
    <w:rsid w:val="00B03273"/>
    <w:rsid w:val="00B048F5"/>
    <w:rsid w:val="00B10E95"/>
    <w:rsid w:val="00B121FB"/>
    <w:rsid w:val="00B131FC"/>
    <w:rsid w:val="00B13473"/>
    <w:rsid w:val="00B21E62"/>
    <w:rsid w:val="00B43A4F"/>
    <w:rsid w:val="00B45AED"/>
    <w:rsid w:val="00B5317C"/>
    <w:rsid w:val="00B55D24"/>
    <w:rsid w:val="00B6429E"/>
    <w:rsid w:val="00B65E3D"/>
    <w:rsid w:val="00B73A46"/>
    <w:rsid w:val="00B76042"/>
    <w:rsid w:val="00B84036"/>
    <w:rsid w:val="00BA5179"/>
    <w:rsid w:val="00BB09E6"/>
    <w:rsid w:val="00BD2B10"/>
    <w:rsid w:val="00BD3AE3"/>
    <w:rsid w:val="00BD53AF"/>
    <w:rsid w:val="00BD6768"/>
    <w:rsid w:val="00BE0686"/>
    <w:rsid w:val="00BE1814"/>
    <w:rsid w:val="00BF0A86"/>
    <w:rsid w:val="00BF68E1"/>
    <w:rsid w:val="00C00D95"/>
    <w:rsid w:val="00C11A95"/>
    <w:rsid w:val="00C151E1"/>
    <w:rsid w:val="00C155FF"/>
    <w:rsid w:val="00C227AA"/>
    <w:rsid w:val="00C2630D"/>
    <w:rsid w:val="00C34C9B"/>
    <w:rsid w:val="00C50796"/>
    <w:rsid w:val="00C63D85"/>
    <w:rsid w:val="00C66602"/>
    <w:rsid w:val="00C67B14"/>
    <w:rsid w:val="00C67C87"/>
    <w:rsid w:val="00C7018A"/>
    <w:rsid w:val="00C93009"/>
    <w:rsid w:val="00C95B6B"/>
    <w:rsid w:val="00C96E13"/>
    <w:rsid w:val="00CA63B0"/>
    <w:rsid w:val="00CA706E"/>
    <w:rsid w:val="00CA7BC1"/>
    <w:rsid w:val="00CB13E0"/>
    <w:rsid w:val="00CB240D"/>
    <w:rsid w:val="00CB24AD"/>
    <w:rsid w:val="00CB5EDA"/>
    <w:rsid w:val="00CC4D34"/>
    <w:rsid w:val="00CD3EBC"/>
    <w:rsid w:val="00CD5BAE"/>
    <w:rsid w:val="00CE1182"/>
    <w:rsid w:val="00CE3504"/>
    <w:rsid w:val="00CE59B0"/>
    <w:rsid w:val="00CE5F70"/>
    <w:rsid w:val="00CF21D0"/>
    <w:rsid w:val="00CF3883"/>
    <w:rsid w:val="00CF53DE"/>
    <w:rsid w:val="00D0354F"/>
    <w:rsid w:val="00D14043"/>
    <w:rsid w:val="00D21923"/>
    <w:rsid w:val="00D21A1F"/>
    <w:rsid w:val="00D225F4"/>
    <w:rsid w:val="00D31C1E"/>
    <w:rsid w:val="00D54BCE"/>
    <w:rsid w:val="00D725C4"/>
    <w:rsid w:val="00D803DD"/>
    <w:rsid w:val="00D8249E"/>
    <w:rsid w:val="00D90232"/>
    <w:rsid w:val="00D93D8A"/>
    <w:rsid w:val="00D9450B"/>
    <w:rsid w:val="00DA141D"/>
    <w:rsid w:val="00DA60A0"/>
    <w:rsid w:val="00DB3B9B"/>
    <w:rsid w:val="00DB68DE"/>
    <w:rsid w:val="00DC6099"/>
    <w:rsid w:val="00DD06A0"/>
    <w:rsid w:val="00DD4CFC"/>
    <w:rsid w:val="00DE0B6F"/>
    <w:rsid w:val="00DE1485"/>
    <w:rsid w:val="00DF0029"/>
    <w:rsid w:val="00DF7558"/>
    <w:rsid w:val="00E06873"/>
    <w:rsid w:val="00E1213C"/>
    <w:rsid w:val="00E208ED"/>
    <w:rsid w:val="00E2160B"/>
    <w:rsid w:val="00E257B2"/>
    <w:rsid w:val="00E33D60"/>
    <w:rsid w:val="00E33E8B"/>
    <w:rsid w:val="00E34766"/>
    <w:rsid w:val="00E36F41"/>
    <w:rsid w:val="00E44018"/>
    <w:rsid w:val="00E53ABF"/>
    <w:rsid w:val="00E619DA"/>
    <w:rsid w:val="00E62511"/>
    <w:rsid w:val="00E6324C"/>
    <w:rsid w:val="00E66234"/>
    <w:rsid w:val="00E66D63"/>
    <w:rsid w:val="00E77B6B"/>
    <w:rsid w:val="00E80E85"/>
    <w:rsid w:val="00E91F5D"/>
    <w:rsid w:val="00E9591F"/>
    <w:rsid w:val="00EA08F6"/>
    <w:rsid w:val="00EA296A"/>
    <w:rsid w:val="00EB302E"/>
    <w:rsid w:val="00EB360A"/>
    <w:rsid w:val="00EB5683"/>
    <w:rsid w:val="00EC38D9"/>
    <w:rsid w:val="00EC3E86"/>
    <w:rsid w:val="00ED5DF4"/>
    <w:rsid w:val="00ED7FB0"/>
    <w:rsid w:val="00EE1655"/>
    <w:rsid w:val="00EE31E7"/>
    <w:rsid w:val="00EF7611"/>
    <w:rsid w:val="00EF7CC8"/>
    <w:rsid w:val="00F0176D"/>
    <w:rsid w:val="00F0179E"/>
    <w:rsid w:val="00F02471"/>
    <w:rsid w:val="00F02810"/>
    <w:rsid w:val="00F066C9"/>
    <w:rsid w:val="00F11D5A"/>
    <w:rsid w:val="00F1595C"/>
    <w:rsid w:val="00F159B7"/>
    <w:rsid w:val="00F16BE1"/>
    <w:rsid w:val="00F17E92"/>
    <w:rsid w:val="00F20412"/>
    <w:rsid w:val="00F2670B"/>
    <w:rsid w:val="00F26D57"/>
    <w:rsid w:val="00F27481"/>
    <w:rsid w:val="00F30603"/>
    <w:rsid w:val="00F36881"/>
    <w:rsid w:val="00F40770"/>
    <w:rsid w:val="00F45641"/>
    <w:rsid w:val="00F4764C"/>
    <w:rsid w:val="00F50BE6"/>
    <w:rsid w:val="00F51EF4"/>
    <w:rsid w:val="00F5289A"/>
    <w:rsid w:val="00F60793"/>
    <w:rsid w:val="00F62CB1"/>
    <w:rsid w:val="00F722B7"/>
    <w:rsid w:val="00F871FD"/>
    <w:rsid w:val="00F94BA4"/>
    <w:rsid w:val="00FA0243"/>
    <w:rsid w:val="00FA3797"/>
    <w:rsid w:val="00FA4196"/>
    <w:rsid w:val="00FA6572"/>
    <w:rsid w:val="00FB2BEE"/>
    <w:rsid w:val="00FD6526"/>
    <w:rsid w:val="00FD6FA7"/>
    <w:rsid w:val="00FD759E"/>
    <w:rsid w:val="00FE64FB"/>
    <w:rsid w:val="00FE7802"/>
    <w:rsid w:val="00FF0446"/>
    <w:rsid w:val="00FF5322"/>
    <w:rsid w:val="00FF761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1E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6FA7"/>
    <w:rPr>
      <w:color w:val="808080"/>
    </w:rPr>
  </w:style>
  <w:style w:type="paragraph" w:styleId="HTMLPreformatted">
    <w:name w:val="HTML Preformatted"/>
    <w:basedOn w:val="Normal"/>
    <w:link w:val="HTMLPreformattedChar"/>
    <w:uiPriority w:val="99"/>
    <w:semiHidden/>
    <w:unhideWhenUsed/>
    <w:rsid w:val="0096511F"/>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96511F"/>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928116">
      <w:bodyDiv w:val="1"/>
      <w:marLeft w:val="0"/>
      <w:marRight w:val="0"/>
      <w:marTop w:val="0"/>
      <w:marBottom w:val="0"/>
      <w:divBdr>
        <w:top w:val="none" w:sz="0" w:space="0" w:color="auto"/>
        <w:left w:val="none" w:sz="0" w:space="0" w:color="auto"/>
        <w:bottom w:val="none" w:sz="0" w:space="0" w:color="auto"/>
        <w:right w:val="none" w:sz="0" w:space="0" w:color="auto"/>
      </w:divBdr>
    </w:div>
    <w:div w:id="518937091">
      <w:bodyDiv w:val="1"/>
      <w:marLeft w:val="0"/>
      <w:marRight w:val="0"/>
      <w:marTop w:val="0"/>
      <w:marBottom w:val="0"/>
      <w:divBdr>
        <w:top w:val="none" w:sz="0" w:space="0" w:color="auto"/>
        <w:left w:val="none" w:sz="0" w:space="0" w:color="auto"/>
        <w:bottom w:val="none" w:sz="0" w:space="0" w:color="auto"/>
        <w:right w:val="none" w:sz="0" w:space="0" w:color="auto"/>
      </w:divBdr>
    </w:div>
    <w:div w:id="623853990">
      <w:bodyDiv w:val="1"/>
      <w:marLeft w:val="0"/>
      <w:marRight w:val="0"/>
      <w:marTop w:val="0"/>
      <w:marBottom w:val="0"/>
      <w:divBdr>
        <w:top w:val="none" w:sz="0" w:space="0" w:color="auto"/>
        <w:left w:val="none" w:sz="0" w:space="0" w:color="auto"/>
        <w:bottom w:val="none" w:sz="0" w:space="0" w:color="auto"/>
        <w:right w:val="none" w:sz="0" w:space="0" w:color="auto"/>
      </w:divBdr>
    </w:div>
    <w:div w:id="747732204">
      <w:bodyDiv w:val="1"/>
      <w:marLeft w:val="0"/>
      <w:marRight w:val="0"/>
      <w:marTop w:val="0"/>
      <w:marBottom w:val="0"/>
      <w:divBdr>
        <w:top w:val="none" w:sz="0" w:space="0" w:color="auto"/>
        <w:left w:val="none" w:sz="0" w:space="0" w:color="auto"/>
        <w:bottom w:val="none" w:sz="0" w:space="0" w:color="auto"/>
        <w:right w:val="none" w:sz="0" w:space="0" w:color="auto"/>
      </w:divBdr>
    </w:div>
    <w:div w:id="826942902">
      <w:bodyDiv w:val="1"/>
      <w:marLeft w:val="0"/>
      <w:marRight w:val="0"/>
      <w:marTop w:val="0"/>
      <w:marBottom w:val="0"/>
      <w:divBdr>
        <w:top w:val="none" w:sz="0" w:space="0" w:color="auto"/>
        <w:left w:val="none" w:sz="0" w:space="0" w:color="auto"/>
        <w:bottom w:val="none" w:sz="0" w:space="0" w:color="auto"/>
        <w:right w:val="none" w:sz="0" w:space="0" w:color="auto"/>
      </w:divBdr>
    </w:div>
    <w:div w:id="837421678">
      <w:bodyDiv w:val="1"/>
      <w:marLeft w:val="0"/>
      <w:marRight w:val="0"/>
      <w:marTop w:val="0"/>
      <w:marBottom w:val="0"/>
      <w:divBdr>
        <w:top w:val="none" w:sz="0" w:space="0" w:color="auto"/>
        <w:left w:val="none" w:sz="0" w:space="0" w:color="auto"/>
        <w:bottom w:val="none" w:sz="0" w:space="0" w:color="auto"/>
        <w:right w:val="none" w:sz="0" w:space="0" w:color="auto"/>
      </w:divBdr>
    </w:div>
    <w:div w:id="879241821">
      <w:bodyDiv w:val="1"/>
      <w:marLeft w:val="0"/>
      <w:marRight w:val="0"/>
      <w:marTop w:val="0"/>
      <w:marBottom w:val="0"/>
      <w:divBdr>
        <w:top w:val="none" w:sz="0" w:space="0" w:color="auto"/>
        <w:left w:val="none" w:sz="0" w:space="0" w:color="auto"/>
        <w:bottom w:val="none" w:sz="0" w:space="0" w:color="auto"/>
        <w:right w:val="none" w:sz="0" w:space="0" w:color="auto"/>
      </w:divBdr>
    </w:div>
    <w:div w:id="1036349927">
      <w:bodyDiv w:val="1"/>
      <w:marLeft w:val="0"/>
      <w:marRight w:val="0"/>
      <w:marTop w:val="0"/>
      <w:marBottom w:val="0"/>
      <w:divBdr>
        <w:top w:val="none" w:sz="0" w:space="0" w:color="auto"/>
        <w:left w:val="none" w:sz="0" w:space="0" w:color="auto"/>
        <w:bottom w:val="none" w:sz="0" w:space="0" w:color="auto"/>
        <w:right w:val="none" w:sz="0" w:space="0" w:color="auto"/>
      </w:divBdr>
    </w:div>
    <w:div w:id="1913663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emf"/><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1516</Words>
  <Characters>7659</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cp:revision>
  <cp:lastPrinted>2017-11-05T16:31:00Z</cp:lastPrinted>
  <dcterms:created xsi:type="dcterms:W3CDTF">2017-11-05T16:31:00Z</dcterms:created>
  <dcterms:modified xsi:type="dcterms:W3CDTF">2017-12-04T00:06:00Z</dcterms:modified>
</cp:coreProperties>
</file>