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云数中台接入标准示例"/>
    <w:p>
      <w:pPr>
        <w:pStyle w:val="Heading1"/>
      </w:pPr>
      <w:r>
        <w:t xml:space="preserve">云数中台接入标准（示例）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内容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文档编号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YSZT-STD-001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版本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V1.0（示例）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适用范围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向云数中台送数的全部供数方（含康奈及外部厂商）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生效方式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全平台当前一份；替换后立即生效</w:t>
            </w:r>
          </w:p>
        </w:tc>
      </w:tr>
    </w:tbl>
    <w:p>
      <w:pPr>
        <w:pStyle w:val="BodyText"/>
      </w:pPr>
      <w:r>
        <w:t xml:space="preserve">本文档供机构下载后转交供数方。供数方按本标准组织数据并送入中台。中台按标准保存原文与元数据；机构侧核验入库条数，不在本期查阅正文。</w:t>
      </w:r>
    </w:p>
    <w:bookmarkStart w:id="20" w:name="一需要接入哪些数据"/>
    <w:p>
      <w:pPr>
        <w:pStyle w:val="Heading2"/>
      </w:pPr>
      <w:r>
        <w:t xml:space="preserve">一、需要接入哪些数据</w:t>
      </w:r>
    </w:p>
    <w:p>
      <w:pPr>
        <w:pStyle w:val="FirstParagraph"/>
      </w:pPr>
      <w:r>
        <w:t xml:space="preserve">一期接入的是</w:t>
      </w:r>
      <w:r>
        <w:rPr>
          <w:bCs/>
          <w:b/>
        </w:rPr>
        <w:t xml:space="preserve">舆情原文及相关附属信息</w:t>
      </w:r>
      <w:r>
        <w:t xml:space="preserve">。供数方须按下面清单提供，缺必接项则该条无法按标准入库。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131"/>
        <w:gridCol w:w="1885"/>
        <w:gridCol w:w="1885"/>
        <w:gridCol w:w="1885"/>
        <w:gridCol w:w="1131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序号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数据名称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数据分类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是否必接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舆情文章主数据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库表数据集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一条文章一条记录，含供数方、归属机构、标题、区域、原文地址、内容时间等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供数方与机构对照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库表数据集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供数方编码、机构标识须与中台已登记值一致，否则该条不入库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区域字典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库表数据集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区域代码与名称对照，随主数据一并保存，本期界面不按区域切片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文章正文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非结构化数据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原文正文；无正文时可空，中台记为无正文，仍计一条（若其它必填满足）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原文快照 / 附件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非结构化数据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可选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网页快照、配图、附件等，须能回挂到主数据主键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文章推送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接口数据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供数方调用中台接收接口（或中台按约定拉取），完成送数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入库回执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接口数据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中台返回接收结果（是否保存、是否计入该机构），供双方对账</w:t>
            </w:r>
          </w:p>
        </w:tc>
      </w:tr>
    </w:tbl>
    <w:p>
      <w:pPr>
        <w:pStyle w:val="BodyText"/>
      </w:pPr>
      <w:r>
        <w:rPr>
          <w:bCs/>
          <w:b/>
        </w:rPr>
        <w:t xml:space="preserve">公共必填（无论走库表、文件还是接口，每条业务数据都要能落到这些字段）：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口径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与中台「供数方管理」中的编码一致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归属机构标识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一条只归属一个机构；多机构须分多次按各机构标识送来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到达中台时间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进入中台的时间；缺失则由中台写入当前时间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标题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空则记为「（无标题）」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本期两端不提供查阅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原文地址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供数方侧原文 URL 或内部编号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内容时间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内容发布时间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随原文保存，本期不做界面筛选</w:t>
            </w:r>
          </w:p>
        </w:tc>
      </w:tr>
    </w:tbl>
    <w:bookmarkEnd w:id="20"/>
    <w:bookmarkStart w:id="21" w:name="二数据分类"/>
    <w:p>
      <w:pPr>
        <w:pStyle w:val="Heading2"/>
      </w:pPr>
      <w:r>
        <w:t xml:space="preserve">二、数据分类</w:t>
      </w:r>
    </w:p>
    <w:p>
      <w:pPr>
        <w:pStyle w:val="FirstParagraph"/>
      </w:pPr>
      <w:r>
        <w:t xml:space="preserve">送数时须标明本批数据属于哪一类。三类可以组合出现（例如接口推送一条库表记录，同时带正文文件）。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188"/>
        <w:gridCol w:w="1188"/>
        <w:gridCol w:w="1980"/>
        <w:gridCol w:w="356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分类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定义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典型形态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在本中台中的用途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库表数据集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二维结构化记录，字段固定、可按行入库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数据表、CSV/Excel 批量、库到库同步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文章主数据、字典、对照关系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非结构化数据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不以固定二维表表达的对象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正文文本、HTML、PDF、图片、附件包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正文与快照，回挂主数据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接口数据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通过服务调用传输的实时或准实时报文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REST/HTTPS JSON（本期推荐）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推送入库、回执、对账</w:t>
            </w:r>
          </w:p>
        </w:tc>
      </w:tr>
    </w:tbl>
    <w:p>
      <w:pPr>
        <w:pStyle w:val="BodyText"/>
      </w:pPr>
      <w:r>
        <w:t xml:space="preserve">分类判定：有稳定字段、一行一条业务对象 →</w:t>
      </w:r>
      <w:r>
        <w:t xml:space="preserve"> </w:t>
      </w:r>
      <w:r>
        <w:rPr>
          <w:bCs/>
          <w:b/>
        </w:rPr>
        <w:t xml:space="preserve">库表数据集</w:t>
      </w:r>
      <w:r>
        <w:t xml:space="preserve">；以文件或大文本为主体、字段无法拆成稳定列 →</w:t>
      </w:r>
      <w:r>
        <w:t xml:space="preserve"> </w:t>
      </w:r>
      <w:r>
        <w:rPr>
          <w:bCs/>
          <w:b/>
        </w:rPr>
        <w:t xml:space="preserve">非结构化数据</w:t>
      </w:r>
      <w:r>
        <w:t xml:space="preserve">；以在线调用完成交换 →</w:t>
      </w:r>
      <w:r>
        <w:t xml:space="preserve"> </w:t>
      </w:r>
      <w:r>
        <w:rPr>
          <w:bCs/>
          <w:b/>
        </w:rPr>
        <w:t xml:space="preserve">接口数据</w:t>
      </w:r>
      <w:r>
        <w:t xml:space="preserve">（报文内部仍须满足对应分类的元数据）。</w:t>
      </w:r>
    </w:p>
    <w:bookmarkEnd w:id="21"/>
    <w:bookmarkStart w:id="25" w:name="三各类元数据标准"/>
    <w:p>
      <w:pPr>
        <w:pStyle w:val="Heading2"/>
      </w:pPr>
      <w:r>
        <w:t xml:space="preserve">三、各类元数据标准</w:t>
      </w:r>
    </w:p>
    <w:p>
      <w:pPr>
        <w:pStyle w:val="FirstParagraph"/>
      </w:pPr>
      <w:r>
        <w:t xml:space="preserve">元数据分两层：</w:t>
      </w:r>
      <w:r>
        <w:rPr>
          <w:bCs/>
          <w:b/>
        </w:rPr>
        <w:t xml:space="preserve">资源级</w:t>
      </w:r>
      <w:r>
        <w:t xml:space="preserve">（这一批/这一张表/这一个接口是什么）和</w:t>
      </w:r>
      <w:r>
        <w:t xml:space="preserve"> </w:t>
      </w:r>
      <w:r>
        <w:rPr>
          <w:bCs/>
          <w:b/>
        </w:rPr>
        <w:t xml:space="preserve">元素级</w:t>
      </w:r>
      <w:r>
        <w:t xml:space="preserve">（每个字段或每个文件属性）。未按下列必填项提供元数据的，中台可拒收该批次。</w:t>
      </w:r>
    </w:p>
    <w:bookmarkStart w:id="22" w:name="库表数据集"/>
    <w:p>
      <w:pPr>
        <w:pStyle w:val="Heading3"/>
      </w:pPr>
      <w:r>
        <w:t xml:space="preserve">3.1 库表数据集</w:t>
      </w:r>
    </w:p>
    <w:p>
      <w:pPr>
        <w:pStyle w:val="FirstParagraph"/>
      </w:pPr>
      <w:r>
        <w:rPr>
          <w:bCs/>
          <w:b/>
        </w:rPr>
        <w:t xml:space="preserve">资源级元数据（一张表或一个数据集填一次）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元数据项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示例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数据集中文名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业务可读名称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舆情文章主数据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数据集编码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全局唯一，建议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YSZT_T_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前缀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YSZT_T_ARTICLE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数据分类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固定填「库表数据集」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库表数据集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本期为舆情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舆情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提供方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供数方名称 + 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康奈 / KN001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更新周期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实时 / 小时 / 日 / 一次性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实时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供数方侧业务主键，用于回挂正文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article_id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增量字段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用于增量抽取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content_time 或 arrive_time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字符集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推荐 UTF-8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UTF-8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记录口径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一行代表什么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一条舆情原文</w:t>
            </w:r>
          </w:p>
        </w:tc>
      </w:tr>
    </w:tbl>
    <w:p>
      <w:pPr>
        <w:pStyle w:val="BodyText"/>
      </w:pPr>
      <w:r>
        <w:rPr>
          <w:bCs/>
          <w:b/>
        </w:rPr>
        <w:t xml:space="preserve">元素级元数据（每个字段一行）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元数据项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字段中文名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与业务口径一致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字段英文名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小写字母+下划线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数据类型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 / int / datetime / text 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长度或精度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如 string(128)、datetime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是否主键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 / 否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是否必填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 / 否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值域或字典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枚举、代码表名称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示例值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便于联调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备注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特殊规则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示例：舆情文章主数据字段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262"/>
        <w:gridCol w:w="2262"/>
        <w:gridCol w:w="1131"/>
        <w:gridCol w:w="1131"/>
        <w:gridCol w:w="1131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字段中文名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字段英文名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类型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供数方侧文章编号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article_id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string(64)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供数方主键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supplier_code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string(32)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对应中台供数方编码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归属机构标识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org_id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string(64)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对应中台机构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区域代码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region_code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string(32)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建议同时给区域名称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region_name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string(64)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标题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title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string(512)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原文地址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source_url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string(1024)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内容时间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content_time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datetime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yyyy-MM-dd HH:mm:ss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正文引用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content_ref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string(256)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指向非结构化对象 ID；若正文随接口直传可空</w:t>
            </w:r>
          </w:p>
        </w:tc>
      </w:tr>
    </w:tbl>
    <w:bookmarkEnd w:id="22"/>
    <w:bookmarkStart w:id="23" w:name="非结构化数据"/>
    <w:p>
      <w:pPr>
        <w:pStyle w:val="Heading3"/>
      </w:pPr>
      <w:r>
        <w:t xml:space="preserve">3.2 非结构化数据</w:t>
      </w:r>
    </w:p>
    <w:p>
      <w:pPr>
        <w:pStyle w:val="FirstParagraph"/>
      </w:pPr>
      <w:r>
        <w:rPr>
          <w:bCs/>
          <w:b/>
        </w:rPr>
        <w:t xml:space="preserve">资源级元数据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元数据项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示例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资源中文名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舆情文章正文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资源编码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YSZT_U_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前缀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YSZT_U_CONTENT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数据分类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固定填「非结构化数据」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非结构化数据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对象类型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 / 快照 / 图片 / 附件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允许格式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扩展名或 MIME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txt、html、utf-8 文本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大小上限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单对象上限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 2 MB；附件 20 MB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文本类必填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UTF-8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关联主键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回挂库表哪条记录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article_id + supplier_code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提供方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与主数据同一供数方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密级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按机构侧要求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内部</w:t>
            </w:r>
          </w:p>
        </w:tc>
      </w:tr>
    </w:tbl>
    <w:p>
      <w:pPr>
        <w:pStyle w:val="BodyText"/>
      </w:pPr>
      <w:r>
        <w:rPr>
          <w:bCs/>
          <w:b/>
        </w:rPr>
        <w:t xml:space="preserve">元素级元数据（每个对象实例）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元数据项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对象 ID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供数方侧唯一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含扩展名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格式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html / txt / pdf / jpg 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字节大小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正整数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校验值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MD5 或 SHA-256，用于完整性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关联文章编号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必须能落到库表主键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摘要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前 200 字，便于对账，不等于开放查阅正文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示例约定</w:t>
      </w:r>
    </w:p>
    <w:p>
      <w:pPr>
        <w:numPr>
          <w:ilvl w:val="0"/>
          <w:numId w:val="1001"/>
        </w:numPr>
        <w:pStyle w:val="Compact"/>
      </w:pPr>
      <w:r>
        <w:t xml:space="preserve">正文优先 UTF-8 纯文本或 HTML；不在元数据里拆段落、不要求中台做研判字段。</w:t>
      </w:r>
    </w:p>
    <w:p>
      <w:pPr>
        <w:numPr>
          <w:ilvl w:val="0"/>
          <w:numId w:val="1001"/>
        </w:numPr>
        <w:pStyle w:val="Compact"/>
      </w:pPr>
      <w:r>
        <w:t xml:space="preserve">图片、PDF 等附件为可选；没有附件不影响主数据入库。</w:t>
      </w:r>
    </w:p>
    <w:p>
      <w:pPr>
        <w:numPr>
          <w:ilvl w:val="0"/>
          <w:numId w:val="1001"/>
        </w:numPr>
        <w:pStyle w:val="Compact"/>
      </w:pPr>
      <w:r>
        <w:t xml:space="preserve">非结构化对象不能单独计入机构统计：必须挂到一条有效的库表主数据上，才计入该机构入库条数。</w:t>
      </w:r>
    </w:p>
    <w:bookmarkEnd w:id="23"/>
    <w:bookmarkStart w:id="24" w:name="接口数据"/>
    <w:p>
      <w:pPr>
        <w:pStyle w:val="Heading3"/>
      </w:pPr>
      <w:r>
        <w:t xml:space="preserve">3.3 接口数据</w:t>
      </w:r>
    </w:p>
    <w:p>
      <w:pPr>
        <w:pStyle w:val="FirstParagraph"/>
      </w:pPr>
      <w:r>
        <w:rPr>
          <w:bCs/>
          <w:b/>
        </w:rPr>
        <w:t xml:space="preserve">资源级元数据（一个接口填一次）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828"/>
        <w:gridCol w:w="1697"/>
        <w:gridCol w:w="1697"/>
        <w:gridCol w:w="1697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元数据项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示例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接口中文名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舆情文章推送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接口编码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YSZT_A_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前缀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YSZT_A_ARTICLE_PUSH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数据分类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固定填「接口数据」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接口数据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调用方向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供数方推送 / 中台拉取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供数方推送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协议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 HTTPS + JSON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方法与路径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POST /api/v1/articles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Token / 签名，联调时下发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Header: Authorization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超时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30 秒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调用频次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建议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防止压垮接收端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≤ 20 次/秒/供数方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幂等键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本期重复送达仍分别计数，但须能识别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article_id + supplier_code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字符集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UTF-8</w:t>
            </w:r>
          </w:p>
        </w:tc>
      </w:tr>
    </w:tbl>
    <w:p>
      <w:pPr>
        <w:pStyle w:val="BodyText"/>
      </w:pPr>
      <w:r>
        <w:rPr>
          <w:bCs/>
          <w:b/>
        </w:rPr>
        <w:t xml:space="preserve">元素级元数据（请求 / 响应每个参数一行）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元数据项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参数位置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Header / Query / Body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参数中文名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参数英文名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数据类型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是否必填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说明与示例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</w:tbl>
    <w:p>
      <w:pPr>
        <w:pStyle w:val="BodyText"/>
      </w:pPr>
      <w:r>
        <w:rPr>
          <w:bCs/>
          <w:b/>
        </w:rPr>
        <w:t xml:space="preserve">示例：文章推送请求体（Body）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262"/>
        <w:gridCol w:w="2262"/>
        <w:gridCol w:w="1131"/>
        <w:gridCol w:w="1131"/>
        <w:gridCol w:w="1131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参数中文名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参数英文名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类型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必填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supplierCode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归属机构标识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orgId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文章编号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articleId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供数方主键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标题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title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区域代码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regionCode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区域名称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regionName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原文地址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sourceUrl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内容时间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contentTime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yyyy-MM-dd HH:mm:ss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content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非结构化正文直接放此字段，或只传 contentRef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正文对象引用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contentRef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已通过文件通道上传时填写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示例：入库回执（响应）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参数中文名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参数英文名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是否已保存原文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accepted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true 表示中台已按标准落库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是否计入该机构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counted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供数方已启用且该机构已配置时为 true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到达中台时间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arriveTime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中台写入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失败原因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message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编码无法对应等</w:t>
            </w:r>
          </w:p>
        </w:tc>
      </w:tr>
    </w:tbl>
    <w:p>
      <w:pPr>
        <w:pStyle w:val="BodyText"/>
      </w:pPr>
      <w:r>
        <w:t xml:space="preserve">接口报文中的业务字段，须同时满足</w:t>
      </w:r>
      <w:r>
        <w:t xml:space="preserve"> </w:t>
      </w:r>
      <w:r>
        <w:rPr>
          <w:bCs/>
          <w:b/>
        </w:rPr>
        <w:t xml:space="preserve">3.1 库表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3.2 非结构化</w:t>
      </w:r>
      <w:r>
        <w:t xml:space="preserve"> </w:t>
      </w:r>
      <w:r>
        <w:t xml:space="preserve">的必填口径；接口元数据只补充「怎么传」，不替代「传什么」。</w:t>
      </w:r>
    </w:p>
    <w:bookmarkEnd w:id="24"/>
    <w:bookmarkEnd w:id="25"/>
    <w:bookmarkStart w:id="26" w:name="四送数与计入供联调对照"/>
    <w:p>
      <w:pPr>
        <w:pStyle w:val="Heading2"/>
      </w:pPr>
      <w:r>
        <w:t xml:space="preserve">四、送数与计入（供联调对照）</w:t>
      </w:r>
    </w:p>
    <w:p>
      <w:pPr>
        <w:numPr>
          <w:ilvl w:val="0"/>
          <w:numId w:val="1002"/>
        </w:numPr>
        <w:pStyle w:val="Compact"/>
      </w:pPr>
      <w:r>
        <w:t xml:space="preserve">供数方编码或机构标识无法对应 →</w:t>
      </w:r>
      <w:r>
        <w:t xml:space="preserve"> </w:t>
      </w:r>
      <w:r>
        <w:rPr>
          <w:bCs/>
          <w:b/>
        </w:rPr>
        <w:t xml:space="preserve">整条不入库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供数方已启用，且该机构已配置该供数方 →</w:t>
      </w:r>
      <w:r>
        <w:t xml:space="preserve"> </w:t>
      </w:r>
      <w:r>
        <w:rPr>
          <w:bCs/>
          <w:b/>
        </w:rPr>
        <w:t xml:space="preserve">计入</w:t>
      </w:r>
      <w:r>
        <w:t xml:space="preserve">该机构概览与供数统计。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未配置或供数方停用 →</w:t>
      </w:r>
      <w:r>
        <w:t xml:space="preserve"> </w:t>
      </w:r>
      <w:r>
        <w:rPr>
          <w:bCs/>
          <w:b/>
        </w:rPr>
        <w:t xml:space="preserve">原文仍保存，不计入该机构新数据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同一原文地址被不同供数方送来 →</w:t>
      </w:r>
      <w:r>
        <w:t xml:space="preserve"> </w:t>
      </w:r>
      <w:r>
        <w:rPr>
          <w:bCs/>
          <w:b/>
        </w:rPr>
        <w:t xml:space="preserve">分别计数</w:t>
      </w:r>
      <w:r>
        <w:t xml:space="preserve">，本期不合并。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同一供数方重复送来同一原文地址 →</w:t>
      </w:r>
      <w:r>
        <w:t xml:space="preserve"> </w:t>
      </w:r>
      <w:r>
        <w:rPr>
          <w:bCs/>
          <w:b/>
        </w:rPr>
        <w:t xml:space="preserve">分别计数</w:t>
      </w:r>
      <w:r>
        <w:t xml:space="preserve">，本期不覆盖。</w:t>
      </w:r>
    </w:p>
    <w:bookmarkEnd w:id="26"/>
    <w:bookmarkStart w:id="27" w:name="五文档使用说明"/>
    <w:p>
      <w:pPr>
        <w:pStyle w:val="Heading2"/>
      </w:pPr>
      <w:r>
        <w:t xml:space="preserve">五、文档使用说明</w:t>
      </w:r>
    </w:p>
    <w:p>
      <w:pPr>
        <w:pStyle w:val="FirstParagraph"/>
      </w:pPr>
      <w:r>
        <w:t xml:space="preserve">机构管理员在 V8「接入规范」下载本文档，转交供数厂商。平台运营在 MT「接入标准管理」维护全平台当前这一份文件。本文为示例稿，字段名称在正式联调前可按接口说明书微调，</w:t>
      </w:r>
      <w:r>
        <w:rPr>
          <w:bCs/>
          <w:b/>
        </w:rPr>
        <w:t xml:space="preserve">分类方式与必填口径以中台公布的当前档为准</w:t>
      </w:r>
      <w:r>
        <w:t xml:space="preserve">。</w:t>
      </w:r>
    </w:p>
    <w:bookmarkEnd w:id="27"/>
    <w:bookmarkEnd w:id="28"/>
    <w:sectPr w:rsidR="00FC693F" w:rsidRPr="0006063C" w:rsidSect="00034616">
      <w:footerReference w:type="default" r:id="rId9"/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第 </w:t>
      <w:fldChar w:fldCharType="begin"/>
      <w:instrText xml:space="preserve"> PAGE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页，共 </w:t>
      <w:fldChar w:fldCharType="begin"/>
      <w:instrText xml:space="preserve"> NUMPAGES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120" w:line="360" w:lineRule="auto"/>
      <w:ind w:firstLine="640" w:left="0" w:right="0"/>
      <w:jc w:val="both"/>
    </w:pPr>
    <w:rPr>
      <w:rFonts w:ascii="宋体" w:eastAsia="宋体" w:hAnsi="宋体"/>
      <w:b w:val="0"/>
      <w:i w:val="0"/>
      <w:color w:val="000000"/>
      <w:sz w:val="24"/>
      <w:u w:val="none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0"/>
    </w:pPr>
    <w:rPr>
      <w:rFonts w:ascii="宋体" w:eastAsia="宋体" w:hAnsi="宋体"/>
      <w:b/>
      <w:bCs/>
      <w:i w:val="0"/>
      <w:color w:val="000000"/>
      <w:sz w:val="32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1"/>
    </w:pPr>
    <w:rPr>
      <w:rFonts w:ascii="宋体" w:eastAsia="宋体" w:hAnsi="宋体"/>
      <w:b/>
      <w:bCs/>
      <w:i w:val="0"/>
      <w:color w:val="000000"/>
      <w:sz w:val="28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2"/>
    </w:pPr>
    <w:rPr>
      <w:rFonts w:ascii="宋体" w:eastAsia="宋体" w:hAnsi="宋体"/>
      <w:b/>
      <w:bCs/>
      <w:i w:val="0"/>
      <w:color w:val="000000"/>
      <w:sz w:val="24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3"/>
    </w:pPr>
    <w:rPr>
      <w:rFonts w:ascii="宋体" w:eastAsia="宋体" w:hAnsi="宋体"/>
      <w:b/>
      <w:bCs/>
      <w:i w:val="0"/>
      <w:iCs/>
      <w:color w:val="000000"/>
      <w:sz w:val="24"/>
      <w:u w:val="none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4"/>
    </w:pPr>
    <w:rPr>
      <w:rFonts w:ascii="宋体" w:eastAsia="宋体" w:hAnsi="宋体"/>
      <w:b/>
      <w:i w:val="0"/>
      <w:color w:val="000000"/>
      <w:sz w:val="24"/>
      <w:u w:val="non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5"/>
    </w:pPr>
    <w:rPr>
      <w:rFonts w:ascii="宋体" w:eastAsia="宋体" w:hAnsi="宋体"/>
      <w:b/>
      <w:i w:val="0"/>
      <w:iCs/>
      <w:color w:val="000000"/>
      <w:sz w:val="24"/>
      <w:u w:val="none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3000" w:line="240" w:lineRule="auto"/>
      <w:ind w:firstLine="0" w:left="0" w:right="0"/>
      <w:contextualSpacing/>
      <w:jc w:val="center"/>
    </w:pPr>
    <w:rPr>
      <w:rFonts w:ascii="宋体" w:eastAsia="宋体" w:hAnsi="宋体"/>
      <w:b/>
      <w:i w:val="0"/>
      <w:color w:val="000000"/>
      <w:spacing w:val="5"/>
      <w:kern w:val="28"/>
      <w:sz w:val="40"/>
      <w:szCs w:val="52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88" w:lineRule="auto"/>
      <w:ind w:firstLine="0" w:left="0" w:right="0"/>
      <w:jc w:val="center"/>
    </w:pPr>
    <w:rPr>
      <w:rFonts w:ascii="宋体" w:eastAsia="宋体" w:hAnsi="宋体"/>
      <w:b/>
      <w:i w:val="0"/>
      <w:iCs/>
      <w:color w:val="000000"/>
      <w:spacing w:val="15"/>
      <w:sz w:val="60"/>
      <w:szCs w:val="24"/>
      <w:u w:val="none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360" w:lineRule="auto"/>
      <w:ind w:firstLine="0" w:left="640" w:right="640"/>
      <w:jc w:val="left"/>
    </w:pPr>
    <w:rPr>
      <w:rFonts w:ascii="宋体" w:eastAsia="宋体" w:hAnsi="宋体"/>
      <w:b w:val="0"/>
      <w:i/>
      <w:iCs/>
      <w:color w:val="000000"/>
      <w:sz w:val="24"/>
      <w:u w:val="none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360" w:lineRule="auto"/>
      <w:ind w:firstLine="0" w:left="0" w:right="0"/>
      <w:jc w:val="center"/>
    </w:pPr>
    <w:rPr>
      <w:rFonts w:ascii="宋体" w:eastAsia="宋体" w:hAnsi="宋体"/>
      <w:b w:val="0"/>
      <w:bCs/>
      <w:i w:val="0"/>
      <w:color w:val="000000"/>
      <w:sz w:val="24"/>
      <w:szCs w:val="18"/>
      <w:u w:val="none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0" w:before="0" w:line="360" w:lineRule="auto"/>
      <w:ind w:firstLine="0" w:left="0" w:right="0"/>
      <w:jc w:val="center"/>
      <w:outlineLvl w:val="9"/>
    </w:pPr>
    <w:rPr>
      <w:rFonts w:ascii="宋体" w:eastAsia="宋体" w:hAnsi="宋体"/>
      <w:b/>
      <w:i w:val="0"/>
      <w:color w:val="000000"/>
      <w:sz w:val="28"/>
      <w:u w:val="none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  <w:jc w:val="left"/>
    </w:pPr>
    <w:tblPr>
      <w:tblInd w:type="dxa" w:w="0"/>
      <w:tblBorders>
        <w:top w:color="000000" w:sz="4" w:val="single"/>
        <w:bottom w:color="000000" w:sz="4" w:val="single"/>
        <w:left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80"/>
        <w:bottom w:type="dxa" w:w="80"/>
        <w:left w:type="dxa" w:w="80"/>
        <w:right w:type="dxa" w:w="80"/>
      </w:tblCellMar>
    </w:tblPr>
    <w:tblStylePr w:type="firstRow">
      <w:tcPr>
        <w:shd w:fill="C1DBF3"/>
      </w:tcPr>
      <w:pPr>
        <w:jc w:val="center"/>
      </w:pPr>
      <w:rPr>
        <w:b/>
        <w:rFonts w:ascii="宋体" w:eastAsia="宋体" w:hAnsi="宋体"/>
        <w:sz w:val="24"/>
        <w:color w:val="000000"/>
      </w:rPr>
    </w:tblStylePr>
    <w:rPr>
      <w:rFonts w:ascii="宋体" w:eastAsia="宋体" w:hAnsi="宋体"/>
      <w:sz w:val="24"/>
      <w:color w:val="000000"/>
    </w:r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spacing w:after="7000" w:before="0" w:line="240" w:lineRule="auto"/>
      <w:ind w:firstLine="0" w:left="0" w:right="0"/>
      <w:jc w:val="center"/>
    </w:pPr>
    <w:rPr>
      <w:rFonts w:ascii="宋体" w:eastAsia="宋体" w:hAnsi="宋体"/>
      <w:b/>
      <w:i w:val="0"/>
      <w:color w:val="000000"/>
      <w:sz w:val="40"/>
      <w:u w:val="none"/>
    </w:rPr>
  </w:style>
  <w:style w:customStyle="1" w:styleId="Date" w:type="paragraph">
    <w:name w:val="Date"/>
    <w:pPr>
      <w:spacing w:after="240" w:before="120" w:line="240" w:lineRule="auto"/>
      <w:ind w:firstLine="0" w:left="0" w:right="0"/>
      <w:jc w:val="center"/>
    </w:pPr>
    <w:rPr>
      <w:rFonts w:ascii="宋体" w:eastAsia="宋体" w:hAnsi="宋体"/>
      <w:b w:val="0"/>
      <w:i w:val="0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2026-09-03T03:44:24Z</dcterms:created>
  <dcterms:modified xsi:type="dcterms:W3CDTF">2026-09-03T03:44:24Z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