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7365D"/>
          <w:sz w:val="40"/>
        </w:rPr>
        <w:t>PPARG通路与肠道相关疾病</w:t>
      </w:r>
    </w:p>
    <w:p>
      <w:pPr>
        <w:jc w:val="center"/>
      </w:pPr>
      <w:r>
        <w:rPr>
          <w:rFonts w:ascii="Times New Roman" w:hAnsi="Times New Roman" w:eastAsia="黑体"/>
          <w:b/>
          <w:color w:val="245B78"/>
          <w:sz w:val="28"/>
        </w:rPr>
        <w:t>综述框架、机制图与表格整合版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sz w:val="21"/>
        </w:rPr>
        <w:t>定位：影响因子 &gt;10；面向 Nature Reviews / Cell / CNS 子刊风格综述。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0"/>
        </w:rPr>
        <w:t>推荐英文题目：PPARγ in the intestinal ecosystem: linking epithelial metabolism, host–microbiota crosstalk and gut-related disease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1. 综述定位与中心科学问题</w:t>
      </w:r>
    </w:p>
    <w:p>
      <w:pPr>
        <w:spacing w:after="100"/>
        <w:ind w:firstLine="420"/>
      </w:pPr>
      <w:r>
        <w:rPr>
          <w:rFonts w:ascii="Times New Roman" w:hAnsi="Times New Roman" w:eastAsia="宋体"/>
          <w:b w:val="0"/>
          <w:sz w:val="21"/>
        </w:rPr>
        <w:t>建议避免把本文写成“PPARG的基础知识 + IBD/CRC/NAFLD逐病罗列”。更有竞争力的写法，是把PPARγ定义为连接肠上皮氧化代谢、屏障完整性、微生物生态、免疫耐受与组织修复的“intestinal ecosystem integrator”。这样可以形成一条具有解释力的主线，而不是文献堆砌。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核心主线：ligand/metabolite inputs → PPARγ–RXR transcriptional control → epithelial metabolic fitness → barrier and oxygenation → microbiota ecology → immune/stromal resolution → disease-specific outcomes。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核心悖论：PPARγ通常被视为抗炎/代谢保护因子，但在不同细胞、疾病阶段和肿瘤背景下，其作用具有明显context dependence。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核心转化问题：临床真正需要的可能不是“全身强激动PPARγ”，而是cell-selective、partial或intestine-targeted modulation。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核心证据原则：必须把直接PPARγ因果证据与泛化的“抗炎、代谢改善或微生物变化”分开，避免把所有效应都归因于PPARG。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2. 建议题目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首选：PPARγ in the intestinal ecosystem: linking epithelial metabolism, host–microbiota crosstalk and gut-related disease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备选：PPARγ at the gut interface: epithelial metabolism, immune tolerance and microbiota-dependent disease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备选：Context-dependent PPARγ signaling in gut health and disease: from barrier metabolism to precision therapeutics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中文：PPARγ通路与肠道相关疾病：从上皮代谢稳态、菌群互作到精准治疗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3. 推荐正文框架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3.1 Introduction: why PPARγ is more than a metabolic nuclear receptor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从传统脂质/糖代谢受体切入，迅速转向肠道中的屏障、氧化代谢、免疫和微生物生态。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指出PPARγ在上皮、髓系细胞、淋巴细胞和基质细胞中的作用不完全相同。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提出全文中心模型：PPARγ决定肠道是否维持低氧、低炎症、共生状态。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3.2 Molecular architecture and regulation of PPARγ signaling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PPARγ–RXR异二聚体、PPRE结合及转录激活/转录抑制。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内源性脂质、eicosanoids、endocannabinoids、微生物代谢物和药理学配体。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PGC-1α/SRC-1/CBP-p300与NCoR/SMRT/HDAC3等共调节因子。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phosphorylation、acetylation、SUMOylation、ubiquitination及染色质情境。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3.3 PPARγ as a metabolic gatekeeper of the intestinal epithelium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colonocyte fatty-acid β-oxidation、线粒体适能与上皮耗氧。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physiologic hypoxia如何限制腔内氧扩散并支持专性厌氧共生菌。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tight junctions、mucus、epithelial renewal与Paneth-cell antimicrobial defense。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把‘metabolism → oxygenation → ecology’写成文章的第一条机制链。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3.4 Microbiota–metabolite–PPARγ reciprocal loop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SCFAs、tryptophan-derived indoles、secondary bile acids和microbial lipids作为候选调节因子。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PPARγ反过来通过营养/氧环境、黏液、抗菌肽和免疫基线塑造微生物群落。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建立从association到causality的证据阶梯：菌群变化 → 代谢物 → receptor engagement → genetic/pharmacologic perturbation → rescue。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3.5 Immune and stromal PPARγ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macrophage inflammatory-to-resolving reprogramming与efferocytosis。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dendritic-cell tolerance与Treg induction；Treg/Th17平衡。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neutrophil recruitment/NET-related injury；fibroblast/myofibroblast activation与ECM deposition。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强调epithelial PPARγ与immune PPARγ的相互作用，而不是把免疫效应孤立讨论。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3.6 Disease modules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IBD：UC与CD分别讨论，强调上皮PPARγ、药理学激动和5-ASA相关机制。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CRC：把PPARγ的抗肿瘤/促肿瘤争议作为context-dependence的重点章节。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intestinal fibrosis：myofibroblast、TGF-β/SMAD与代谢状态。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IBS/functional gut inflammation：证据相对新兴，谨慎讨论低度炎症、屏障和gut–brain axis。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infectious colitis：讨论过度炎症控制与宿主防御之间的平衡。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gut–liver metabolic disease：肠屏障、LPS/endotoxemia、胆汁酸和代谢互作。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3.7 Therapeutic translation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饮食与microbiota-directed approaches、endogenous metabolite support。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TZDs的再利用价值与系统性副作用。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partial agonists/SPPARMs、dual/pan-PPAR ligands与biased modulation。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intestine-targeted delivery、microbiota-responsive formulations和combination therapy。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明确疗效终点：mucosal healing、barrier biomarkers、metabolite signatures、fibrosis endpoints和patient-reported outcomes。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3.8 Outstanding questions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cell-type specificity、microbiota–metabolite causality、epithelial versus immune PPARγ。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CRC中的保护性/促肿瘤作用何时切换。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缺乏可用于患者分层的PPARγ activation biomarkers。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如何实现肠道局部靶向并降低全身代谢、骨、心血管和潜在肿瘤风险。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4. 适合CNS子刊的差异化写作策略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把“PPARγ–microbiota”从菌属变化提升到功能层：substrate → metabolite → receptor → cell state → tissue phenotype。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把“PPARγ抗炎”拆成至少四种机制：transrepression、metabolic rewiring、barrier restoration、resolution/efferocytosis。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IBD、CRC、fibrosis和gut–liver disease不要使用同一个治疗叙事；PPARγ在不同疾病中的风险–收益窗口不同。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正文持续区分parent receptor biology、drug pharmacology和microbiome-mediated indirect effects。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建议在全文末尾设置Perspective/Outstanding Questions，以cell specificity、causality、biomarkers和targeted delivery收束。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5. 机制图体系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26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PPARG_central_integr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1 | PPARγ as a central integrator of intestinal homeostasis and gut-related disease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总览图。将PPARγ置于上皮屏障、微生物–代谢物、免疫/基质控制和疾病结局四个模块中央，突出“intestinal ecosystem integrator”概念。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56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PARG_regulatory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5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2 | Molecular architecture and regulatory network of PPARγ signaling in the gut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展示内源性、微生物及药理学配体，共激活/共抑制因子，翻译后修饰及NF-κB、AP-1、STAT3、AMPK/SIRT1、HIF与Wnt/β-catenin等交叉信号。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00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PPARG_barrier_metabolic_fit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0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3 | PPARγ preserves the intestinal epithelial barrier and metabolic fitness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围绕mucus、tight junction、epithelial renewal、β-oxidation/physiologic hypoxia和Paneth-cell antimicrobial defense五个功能模块，对比PPARγ受损后的屏障失败。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Microbiota_metabolite_PPARG_ax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4 | The microbiota–metabolite–PPARγ axis in intestinal homeostasis and disease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把eubiosis与dysbiosis放在同一张机制图中，通过SCFAs、indoles、secondary bile acids和microbial lipids连接微生物功能与宿主PPARγ，并强调双向反馈和因果链。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45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Immune_stromal_PPAR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4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5 | Immune and stromal actions of PPARγ in gut inflammation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整合macrophages、dendritic cells、Treg/Th17、neutrophils、fibroblasts和epithelial–immune crosstalk，突出PPARγ对炎症消退、免疫耐受和纤维化的细胞特异性控制。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52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Therapeutic_targeting_PPAR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52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Times New Roman" w:hAnsi="Times New Roman" w:eastAsia="宋体"/>
          <w:b/>
          <w:color w:val="17365D"/>
          <w:sz w:val="19"/>
        </w:rPr>
        <w:t>Figure 6 | Therapeutic targeting of the PPARγ axis in gut-related disease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从diet、microbiota、endogenous metabolites、direct agonists、selective modulators、combination therapy到intestine-targeted delivery分层展示治疗路线，并加入患者分层、疗效终点与安全性。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6. 原生可编辑Word表格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1 | PPARγ in major gut-related diseases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疾病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主要细胞情境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PPARγ状态/模式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主要机制联系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转化意义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证据成熟度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Ulcerative colitis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colonocytes、lamina propria macrophages、DCs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炎症黏膜中常见降低/功能不足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屏障修复不足；促炎因子增加；microbiota–host crosstalk异常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局部PPARγ激活、5-ASA相关机制、促进mucosal healing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中高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Crohn’s disease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epithelial cells、monocytes/macrophages、Th1/Th17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病灶区域常呈降低或失衡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屏障破坏、微生物转位、Th1/Th17炎症、消退不足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PPARγ激动/调节可能作为联合策略，需按亚型评估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Colorectal cancer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tumor epithelium、TAMs、CAFs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高度context-和stage-dependent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分化、增殖、凋亡、Wnt/β-catenin、代谢和免疫微环境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必须按肿瘤PPARγ状态和分期分层，避免简单定义为抗癌靶点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Intestinal fibrosis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myofibroblasts、epithelium、macrophages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纤维化组织中可能下降/失衡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TGF-β/SMAD、ECM沉积、代谢和炎症互作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选择性激动可能限制myofibroblast activation和狭窄进展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IBS / functional bowel inflammation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enteric neurons、epithelium、immune/stromal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altered / context-dependent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低度炎症、visceral hypersensitivity、屏障和microbiota异常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更适合定义为新兴机制而非成熟治疗靶点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新兴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Infectious colitis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epithelium、macrophages、DCs、neutrophils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急性感染期可出现动态下降/重编程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宿主防御、屏障保护与组织损伤之间的平衡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需要避免因过度激活PPARγ而削弱病原清除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新兴/多为前临床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Gut–liver metabolic disease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IEC、hepatocytes、Kupffer cells、microbiota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肠肝组织呈组织特异性失衡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lipid metabolism、insulin signaling、LPS/endotoxemia、bile acids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有机会通过gut–liver axis和局部/系统联合干预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中等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2 | Endogenous, microbial and pharmacological modulators of PPARγ relevant to the gut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调节因子类别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代表例子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来源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主要靶细胞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肠道主要效应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转化备注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Endogenous fatty acids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oleic/linoleic/arachidonic acids、n-3 PUFAs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diet / host lipid metabolism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IEC、macrophage、DC、stroma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PPARγ activation、barrier support、metabolic homeostasis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适合作为营养–受体连接层，但体内受多条脂质通路共同影响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Eicosanoids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15d-PGJ2等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host prostaglandin metabolism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IEC、macrophage、DC、T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anti-inflammatory / pro-resolving signals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浓度、时相和局部生成量决定效应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Endocannabinoid-related lipids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2-AG、AEA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host lipid signaling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IEC、immune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PPARγ与cannabinoid receptor交叉；barrier/immune effects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存在明显多靶点性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SCFAs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butyrate、propionate、acetate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microbial fiber fermentation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IEC、macrophage、DC、T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barrier、regulatory immunity、metabolism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PPARγ只是其多个宿主靶点之一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Tryptophan-derived indoles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IPA、IAA、IAld等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microbial tryptophan metabolism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IEC、immune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barrier、antioxidant、immune tolerance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需与AhR/PXR等受体效应区分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Secondary bile acids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DCA、LCA及衍生物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microbial bile-acid transformation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IEC、immune/stromal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metabolism、barrier、immune modulation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常与FXR/TGR5通路并行或交叉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TZDs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rosiglitazone、pioglitazone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pharmacological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IEC、immune/stromal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potent receptor activation；anti-inflammatory / metabolic effects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全身副作用限制长期肠病应用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Selective modulators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SPPARMs、partial/dual agonists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next-generation pharmacology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cell/tissue dependent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希望保留barrier/anti-inflammatory效应并减少副作用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关键方向：partial、biased、local delivery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3 | Cell-type-specific functions of PPARγ in the intestinal ecosystem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细胞类型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生理作用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疾病相关失调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关键下游程序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建议读出</w:t>
            </w:r>
          </w:p>
        </w:tc>
        <w:tc>
          <w:tcPr>
            <w:tcW w:type="dxa" w:w="1662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治疗意义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Absorptive epithelial cells / colonocytes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barrier、FAO、renewal、anti-inflammatory tone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IBD中表达/活性降低；氧化代谢下降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tight junction、FAO、NF-κB repression、restitution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Claudin/Occludin/ZO-1、CPT1A/ACOX1、Ki67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最重要的局部靶细胞之一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Goblet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mucin secretion and mucus barrier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mucin不足、microbial encroachment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MUC2/MUC3、secretory differentiation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MUC2、PAS/Alcian blue、goblet-cell number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增强mucus defense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Paneth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antimicrobial peptides and innate defense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AMP下降、dysbiosis和translocation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defensins、lysozyme、granule program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LYZ1、DEFA5/6、granule histology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恢复antimicrobial barrier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Macrophages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resolution、efferocytosis、M2-like programs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M1-skewed inflammation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Arg1/MRC1/IL-10、NF-κB repression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CD206、Arg1、TNF、IL-10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促炎症消退和组织修复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Dendritic cells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tolerance、limited antigen presentation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pro-inflammatory DC activation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IL-10/PD-L1、reduced MHC-II/co-stimulation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CD103、PD-L1、CD80/86、IL-12/23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支持tolerogenic DC与Treg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Treg / Th17 axis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immune tolerance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Th17偏移和IL-17 inflammation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FOXP3/IL-10 versus RORγt/IL-17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Treg/Th17 ratio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恢复adaptive immune balance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Neutrophils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controlled recruitment and apoptosis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excess recruitment/ROS/NET injury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chemokine restraint、pro-resolving programs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MPO、Ly6G、CXCL1/2、NET markers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限制急性组织损伤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Fibroblasts / myofibroblasts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stromal quiescence and repair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myofibroblast activation / ECM deposition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TGF-β/SMAD restraint、ECM turnover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α-SMA、COL1A1、FN1、p-SMAD2/3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抗纤维化和结构保护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4 | Outstanding questions and future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主题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当前缺口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为什么重要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建议方法/标志物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7"/>
              </w:rPr>
              <w:t>优先下一步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Cell-context specificity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不同上皮、免疫、基质细胞中的PPARγ功能边界不清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解释看似矛盾的疾病效应并指导定向治疗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single-cell/spatial multi-omics；conditional Pparg models；organoids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建立health→inflammation→repair→fibrosis的cell-resolved PPARG atlas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Microbiota–metabolite causality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specific taxa/metabolite→PPARγ的体内因果链仍不足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决定microbiota/postbiotic治疗是否可重复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gnotobiotic models、FMT/defined consortia、stable-isotope tracing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验证明确microbe–metabolite–receptor–phenotype链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Epithelial vs immune PPARγ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两类细胞的相对贡献和互作未定量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决定优先递送到何种细胞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cell-specific knockout、co-culture、spatial readouts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拆分barrier-first与immune-first机制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CRC paradox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PPARγ保护性与潜在促肿瘤作用的切换条件不清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直接影响药物安全和适应证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Apc/p53 models、organoids、stage-resolved human datasets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定义stage/cell/genotype-specific benefit–risk window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Biomarkers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缺乏可预测响应的非侵入性marker panel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临床试验需要机制型分层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metabolites、transcriptome/epigenome、fecal/plasma markers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建立PPARγ activity + barrier + microbiome复合标志物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Intestine-targeted delivery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系统给药副作用限制应用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局部暴露可扩大治疗窗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colon-targeted prodrugs、nanoparticles、pH/microbiota-responsive systems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开发低系统暴露的intestinal PPARγ modulator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Combination therapy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合理组合尚未系统定义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有望减少单药剂量并提高持久缓解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organoid/ex vivo testing、network modeling、adaptive trials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PPARγ modulation + biologics / anti-fibrotics / microbiome strategies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Long-term safety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代谢、骨、心血管及肿瘤背景风险需长期评估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慢性肠病治疗必须长期安全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longitudinal cohorts、real-world evidence、safety biomarker panels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建立长期安全性和context-specific risk framework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7. 图表与正文的推荐对应关系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Figure 1：放在Introduction末尾，承担全文graphical framework。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Figure 2：对应分子机制章节；不要在正文再次大段重复图中文字。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Figure 3：对应上皮代谢/屏障章节，是本文与普通PPARG综述拉开差距的关键图。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Figure 4：对应microbiota–metabolite章节，必须在正文明确association与causality层级。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Figure 5：对应immune/stromal章节，用于把PPARγ从‘anti-inflammatory receptor’提升为cell-state regulator。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Figure 6：对应治疗章节，强调precision modulation和local delivery，而不是笼统建议全身激动PPARγ。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Table 1与疾病章节配套；Table 2与配体/药理章节配套；Table 3承担cell-specific evidence synthesis；Table 4作为Perspective核心表。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8. 投稿前证据与表述控制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SCFAs、indoles、bile acids等微生物代谢物可能通过多个宿主受体起效；除非有receptor-specific perturbation，不应全部归因于PPARγ。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IBD中的PPARγ降低、CRC中的PPARγ作用和fibrosis中的药理学效应应分别按human tissue、animal model和cell model分层表述。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5-ASA与PPARγ之间可作为经典转化连接，但不要把所有5-ASA疗效简化为单一PPARγ机制。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TZDs已有成熟代谢病药理学，但其在肠道疾病中的系统性副作用和适应证仍需谨慎讨论。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图中的方向性箭头在正式投稿前应逐条对应claim–evidence ledger；不能把图形美学变成未经验证的因果关系。</w:t>
      </w:r>
    </w:p>
    <w:p>
      <w:pPr>
        <w:spacing w:after="40"/>
        <w:ind w:left="312" w:hanging="170"/>
      </w:pPr>
      <w:r>
        <w:rPr>
          <w:rFonts w:ascii="Times New Roman" w:hAnsi="Times New Roman" w:eastAsia="宋体"/>
          <w:b w:val="0"/>
          <w:sz w:val="20"/>
        </w:rPr>
        <w:t>• 若目标是Nature Reviews/Cell风格，正文应该围绕state transition和mechanistic synthesis写作，而不是按研究年份堆叠文献。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9. 一句话创新定位</w:t>
      </w:r>
    </w:p>
    <w:p>
      <w:pPr>
        <w:spacing w:after="100"/>
        <w:ind w:firstLine="420"/>
      </w:pPr>
      <w:r>
        <w:rPr>
          <w:rFonts w:ascii="Times New Roman" w:hAnsi="Times New Roman" w:eastAsia="宋体"/>
          <w:b/>
          <w:sz w:val="21"/>
        </w:rPr>
        <w:t>本综述的核心贡献不是再次证明PPARγ“抗炎”，而是提出一个可检验的肠道生态系统模型：PPARγ通过协调上皮脂肪酸氧化与氧环境、屏障结构、微生物代谢物输入、免疫消退和基质修复，决定肠道从稳态向慢性炎症、纤维化、肿瘤或肠–肝代谢失衡转变；因此未来治疗应从全身强激动转向细胞/组织/疾病阶段特异的精准调节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PPARG通路与肠道相关疾病综述框架与图表整合版</dc:title>
  <dc:subject>PPARG gut review framework with figures and tables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