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color w:val="17365D"/>
          <w:sz w:val="40"/>
        </w:rPr>
        <w:t>cGAS–STING通路与自身免疫性疾病</w:t>
      </w:r>
    </w:p>
    <w:p>
      <w:pPr>
        <w:jc w:val="center"/>
      </w:pPr>
      <w:r>
        <w:rPr>
          <w:rFonts w:ascii="Times New Roman" w:hAnsi="Times New Roman" w:eastAsia="黑体"/>
          <w:b/>
          <w:color w:val="245B78"/>
          <w:sz w:val="28"/>
        </w:rPr>
        <w:t>从self-DNA稳态失衡到疾病内表型与精准靶向</w:t>
      </w:r>
    </w:p>
    <w:p>
      <w:pPr>
        <w:jc w:val="center"/>
      </w:pPr>
      <w:r>
        <w:rPr>
          <w:rFonts w:ascii="Times New Roman" w:hAnsi="Times New Roman" w:eastAsia="宋体"/>
          <w:b w:val="0"/>
          <w:color w:val="5B6D7A"/>
          <w:sz w:val="22"/>
        </w:rPr>
        <w:t>高影响力综述对标版：框架、图表体系与投稿级设计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>建议英文题目：From self-DNA homeostasis failure to autoimmune endotypes: context-dependent cGAS–STING signaling and precision targeting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9"/>
        </w:rPr>
        <w:t>定位：影响因子 &gt;10；写作与图表设计对标 Nature Reviews Immunology / Nature Reviews Molecular Cell Biology / Cell 等高影响力综述。证据与转化信息更新至 2026 年 9 月。</w:t>
      </w:r>
    </w:p>
    <w:p>
      <w:r>
        <w:br w:type="page"/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7365D"/>
          <w:sz w:val="30"/>
        </w:rPr>
        <w:t>1. 核心定位：为什么不能再写成“通路 + 疾病罗列”</w:t>
      </w:r>
    </w:p>
    <w:p>
      <w:pPr>
        <w:spacing w:after="100"/>
        <w:ind w:firstLine="420"/>
      </w:pPr>
      <w:r>
        <w:rPr>
          <w:rFonts w:ascii="Times New Roman" w:hAnsi="Times New Roman" w:eastAsia="宋体"/>
          <w:b w:val="0"/>
          <w:sz w:val="21"/>
        </w:rPr>
        <w:t>现有高影响力cGAS–STING综述已经系统覆盖了经典信号传导、结构调控、通路交叉以及广谱炎症疾病。2025年Nature Reviews Immunology以“通路调控—crosstalk—多种细胞输出”为主线；2021年Nature Reviews Immunology则采用“通路总览—效应机制—无菌炎症—药物机制”的高度压缩叙事；2020年Nature Reviews Molecular Cell Biology把cGAS定位、cGAS激活、STING激活和效应输出分层展开。2026年的Cell综述进一步强调cGAS–STING的情境依赖性和医学转化。</w:t>
      </w:r>
    </w:p>
    <w:p>
      <w:pPr>
        <w:spacing w:after="100"/>
        <w:ind w:firstLine="420"/>
      </w:pPr>
      <w:r>
        <w:rPr>
          <w:rFonts w:ascii="Times New Roman" w:hAnsi="Times New Roman" w:eastAsia="宋体"/>
          <w:b w:val="0"/>
          <w:sz w:val="21"/>
        </w:rPr>
        <w:t>因此，本综述的竞争力不应来自再次总结“cGAS识别DNA并激活STING”，而应建立一个自身免疫领域专属的解释框架：self-DNA生成与暴露增加、清除与空间隔离失败、cGAMP/STING信号终止不足、跨细胞传播以及组织特异性免疫回路共同决定疾病内表型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主问题1：什么样的self-DNA真正具有免疫刺激性，来源于哪里，又为什么没有被及时清除？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主问题2：哪些检查点决定cGAS–STING是短暂宿主防御，还是持续病理性炎症？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主问题3：信号如何从一个细胞扩展为B/T细胞、髓系细胞、内皮细胞和成纤维细胞共同参与的组织网络？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主问题4：不同疾病是否可被重构为少数机制内表型，而不是简单按病名罗列？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主问题5：哪些患者、哪些组织、哪个疾病阶段真正适合直接cGAS/STING抑制？</w:t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7365D"/>
          <w:sz w:val="30"/>
        </w:rPr>
        <w:t>2. 高分综述反向工程：可直接借鉴的结构与图表语言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对标综述</w:t>
            </w:r>
          </w:p>
        </w:tc>
        <w:tc>
          <w:tcPr>
            <w:tcW w:type="dxa" w:w="2493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图表规模</w:t>
            </w:r>
          </w:p>
        </w:tc>
        <w:tc>
          <w:tcPr>
            <w:tcW w:type="dxa" w:w="2493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叙事骨架</w:t>
            </w:r>
          </w:p>
        </w:tc>
        <w:tc>
          <w:tcPr>
            <w:tcW w:type="dxa" w:w="2493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对本综述的启示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Nature Reviews Immunology 2025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6幅主图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Overview → regulation → innate crosstalk → metabolism → ageing → tumour–immune interactions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不是按疾病罗列，而是围绕“调控与交叉网络”逐层加深。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Nature Reviews Immunology 2021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4幅主图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Pathway → effector/intercellular cGAMP → sterile inflammation → inhibitors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图少但每张图承担一个完整逻辑模块，避免装饰性图。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Nature Reviews Molecular Cell Biology 2020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5幅主图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Canonical pathway → localization/ligands → cGAS activation → STING activation → effectors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把同一通路拆成空间、结构和效应层级，机制深度高。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Cell 2026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情境型综述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Mechanism → physiological functions → disease implications → context-dependent therapy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强调保护性与病理性作用并存，治疗必须匹配情境。</w:t>
            </w:r>
          </w:p>
        </w:tc>
      </w:tr>
    </w:tbl>
    <w:p/>
    <w:p>
      <w:pPr>
        <w:spacing w:before="200" w:after="100"/>
      </w:pPr>
      <w:r>
        <w:rPr>
          <w:rFonts w:ascii="Times New Roman" w:hAnsi="Times New Roman" w:eastAsia="黑体"/>
          <w:b/>
          <w:color w:val="17365D"/>
          <w:sz w:val="30"/>
        </w:rPr>
        <w:t>3. 本综述的独特主线</w:t>
      </w:r>
    </w:p>
    <w:p>
      <w:pPr>
        <w:spacing w:after="100"/>
        <w:ind w:firstLine="420"/>
      </w:pPr>
      <w:r>
        <w:rPr>
          <w:rFonts w:ascii="Times New Roman" w:hAnsi="Times New Roman" w:eastAsia="宋体"/>
          <w:b w:val="0"/>
          <w:sz w:val="21"/>
        </w:rPr>
        <w:t>建议全文用一条统一逻辑串联：</w:t>
      </w:r>
    </w:p>
    <w:p>
      <w:pPr>
        <w:jc w:val="center"/>
      </w:pPr>
      <w:r>
        <w:rPr>
          <w:rFonts w:ascii="Times New Roman" w:hAnsi="Times New Roman" w:eastAsia="宋体"/>
          <w:b/>
          <w:color w:val="8A3150"/>
          <w:sz w:val="24"/>
        </w:rPr>
        <w:t>self-DNA dysregulation  →  checkpoint failure  →  persistent cGAS–STING activation  →  intercellular propagation  →  autoimmune endotypes  →  precision targeting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把SAVI、Aicardi–Goutières syndrome等单基因干扰素病作为“机制因果锚点”，但明确它们属于interferonopathy/autoinflammation，而不是把它们与常规自身免疫病混为一类。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系统性红斑狼疮作为复杂自身免疫中的“原型疾病”，用于展示self-DNA、NETs、免疫复合物、I型干扰素与B细胞自身抗体之间的闭环。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Sjögren’s syndrome、dermatomyositis、systemic sclerosis、rheumatoid arthritis、vasculitis及CNS autoimmune inflammation用于体现组织和细胞情境依赖性。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把“IFN signature ≠ 直接证明cGAS–STING依赖”写进全文方法论，防止综述过度推断。</w:t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7365D"/>
          <w:sz w:val="30"/>
        </w:rPr>
        <w:t>4. 推荐正文框架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4.1 Introduction: from antiviral defense to self-DNA-driven autoimmunity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提出核心悖论：同一条DNA感知通路如何从保护性宿主防御转为慢性自身免疫。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指出该领域已有大量广谱综述，本综述聚焦self-DNA稳态、检查点、组织传播和疾病内表型。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4.2 Molecular grammar of cGAS–STING signaling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cGAS识别dsDNA、2′3′-cGAMP生成、STING从ER向ERGIC/Golgi转运、TBK1–IRF3与IKK–NF-κB。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补充nuclear cGAS、相分离、STING trafficking、非经典自噬/细胞死亡/炎症小体等输出。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4.3 Sources and fates of immunostimulatory self-DNA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核DNA损伤、微核、染色体不稳定和RNA:DNA hybrids。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线粒体应激与mtDNA释放；NET-derived DNA；凋亡/坏死残骸；潜在retroelement来源。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强调DNA来源、长度、持续时间、细胞定位和蛋白复合状态共同决定免疫原性。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4.4 Homeostatic checkpoints that restrain the pathway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核内/染色质隔离与DNA repair；PINK1–Parkin等线粒体质量控制。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TREX1、RNase H2、DNase II、SAMHD1及autophagy–lysosome清除。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cGAMP运输与降解（ENPP1/ENPP3等）；STIM1、COPA、AP-1/ESCRT等STING转运与终止机制。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4.5 From cell-intrinsic sensing to tissue-level autoimmune circuits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树突状细胞、单核/巨噬细胞、中性粒细胞、B/T细胞、内皮细胞、成纤维细胞的差异化角色。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cGAMP、I型干扰素、趋化因子及细胞死亡导致的跨细胞传播与feed-forward loops。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重点讨论何时信号仍是局部防御，何时跨过阈值转为持续自身免疫。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4.6 Mechanistic endotypes across autoimmune diseases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DNA-clearance / interferon endotype：SLE为原型。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Vascular–endothelial endotype：SAVI作为因果锚点，并讨论vasculitis/systemic sclerosis。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Epithelial/glandular endotype：Sjögren’s syndrome。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Muscle/skin injury endotype：dermatomyositis。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Synovial/mesenchymal endotype：rheumatoid arthritis。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CNS/glial endotype：神经自身免疫/神经炎症。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4.7 Crosstalk and non-canonical outputs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TLR7/9–MyD88、NLRP3 inflammasome、JAK–STAT、DNA damage response。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mitochondrial ROS与代谢重编程、autophagy–lysosome、senescence/SASP。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区分IFN-dependent与IFN-independent STING输出。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4.8 Therapeutic targeting and the pathogenic-versus-protective window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减少self-DNA/NET负荷；增强DNA清除；直接cGAS抑制；cGAMP传输/降解调控；STING拮抗/降解；下游IFN/JAK/TBK1干预。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组织靶向递送、组合治疗、安全性监测以及感染/抗肿瘤免疫风险。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以VENT-03进入CLE/SLE Phase 2a为直接cGAS临床转化的重要里程碑。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4.9 Biomarkers, trial design and outstanding questions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基因、IFN signature、cGAMP、p-STING/p-TBK1、cfDNA/mtDNA、NET markers及组织空间信号。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未来临床试验从diagnosis-based enrollment转向mechanism-based enrollment。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回答which patient, which tissue, which stage, which node四个问题。</w:t>
      </w:r>
    </w:p>
    <w:p>
      <w:r>
        <w:br w:type="page"/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7365D"/>
          <w:sz w:val="30"/>
        </w:rPr>
        <w:t>5. 机制图体系（6幅主图）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Times New Roman" w:hAnsi="Times New Roman" w:eastAsia="宋体"/>
          <w:b/>
          <w:color w:val="17365D"/>
          <w:sz w:val="19"/>
        </w:rPr>
        <w:t>Figure 1 | From self-DNA homeostasis failure to cGAS–STING-driven autoimmune pathology</w:t>
      </w:r>
    </w:p>
    <w:p>
      <w:pPr>
        <w:spacing w:after="160"/>
      </w:pPr>
      <w:r>
        <w:rPr>
          <w:rFonts w:ascii="Times New Roman" w:hAnsi="Times New Roman" w:eastAsia="宋体"/>
          <w:b w:val="0"/>
          <w:sz w:val="18"/>
        </w:rPr>
        <w:t>以self-DNA来源、核心cGAS–cGAMP–STING级联、主要效应细胞和疾病谱为一体化总览。图的目的不是再画一次教科书通路，而是把“DNA稳态失败—持续信号—组织损伤”作为全文第一视觉主线。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Times New Roman" w:hAnsi="Times New Roman" w:eastAsia="宋体"/>
          <w:b/>
          <w:color w:val="17365D"/>
          <w:sz w:val="19"/>
        </w:rPr>
        <w:t>Figure 2 | Molecular checkpoints that preserve self-DNA tolerance and restrain cGAS–STING signaling</w:t>
      </w:r>
    </w:p>
    <w:p>
      <w:pPr>
        <w:spacing w:after="160"/>
      </w:pPr>
      <w:r>
        <w:rPr>
          <w:rFonts w:ascii="Times New Roman" w:hAnsi="Times New Roman" w:eastAsia="宋体"/>
          <w:b w:val="0"/>
          <w:sz w:val="18"/>
        </w:rPr>
        <w:t>展示核/染色质完整性、线粒体质量控制、核酸酶、autophagy–lysosome、cGAMP handling以及STING trafficking/termination等多级制动。该图对应全文最重要的创新概念：自身免疫并非只因通路过强，也可能因多个homeostatic brakes同时失效。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Times New Roman" w:hAnsi="Times New Roman" w:eastAsia="宋体"/>
          <w:b/>
          <w:color w:val="17365D"/>
          <w:sz w:val="19"/>
        </w:rPr>
        <w:t>Figure 3 | From cell-intrinsic DNA sensing to multicellular autoimmune circuits</w:t>
      </w:r>
    </w:p>
    <w:p>
      <w:pPr>
        <w:spacing w:after="160"/>
      </w:pPr>
      <w:r>
        <w:rPr>
          <w:rFonts w:ascii="Times New Roman" w:hAnsi="Times New Roman" w:eastAsia="宋体"/>
          <w:b w:val="0"/>
          <w:sz w:val="18"/>
        </w:rPr>
        <w:t>将树突状细胞、巨噬细胞、中性粒细胞、内皮/基质细胞、B细胞和T细胞连接为一个组织级feed-forward circuit，突出免疫复合物、NETs、I型干扰素和细胞死亡产生的新一轮self-DNA。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Times New Roman" w:hAnsi="Times New Roman" w:eastAsia="宋体"/>
          <w:b/>
          <w:color w:val="17365D"/>
          <w:sz w:val="19"/>
        </w:rPr>
        <w:t>Figure 4 | Disease-context map of cGAS–STING across autoimmune and interferon-mediated disorders</w:t>
      </w:r>
    </w:p>
    <w:p>
      <w:pPr>
        <w:spacing w:after="160"/>
      </w:pPr>
      <w:r>
        <w:rPr>
          <w:rFonts w:ascii="Times New Roman" w:hAnsi="Times New Roman" w:eastAsia="宋体"/>
          <w:b w:val="0"/>
          <w:sz w:val="18"/>
        </w:rPr>
        <w:t>比较SAVI/干扰素病、SLE、Sjögren’s syndrome、dermatomyositis、systemic sclerosis、RA、vasculitis与神经自身免疫。图中应明确证据强度并不相同，SAVI/AGS用于机制锚定，而非等同于常规自身免疫病。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Times New Roman" w:hAnsi="Times New Roman" w:eastAsia="宋体"/>
          <w:b/>
          <w:color w:val="17365D"/>
          <w:sz w:val="19"/>
        </w:rPr>
        <w:t>Figure 5 | Crosstalk and non-canonical outputs of cGAS–STING in autoimmunity</w:t>
      </w:r>
    </w:p>
    <w:p>
      <w:pPr>
        <w:spacing w:after="160"/>
      </w:pPr>
      <w:r>
        <w:rPr>
          <w:rFonts w:ascii="Times New Roman" w:hAnsi="Times New Roman" w:eastAsia="宋体"/>
          <w:b w:val="0"/>
          <w:sz w:val="18"/>
        </w:rPr>
        <w:t>以TLR7/9、NLRP3、JAK–STAT、mitochondrial ROS/metabolism、autophagy–lysosome和DNA damage–senescence为六个环绕模块，体现cGAS–STING是网络枢纽而不是孤立线性通路。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Times New Roman" w:hAnsi="Times New Roman" w:eastAsia="宋体"/>
          <w:b/>
          <w:color w:val="17365D"/>
          <w:sz w:val="19"/>
        </w:rPr>
        <w:t>Figure 6 | Therapeutic targeting of the cGAS–STING axis: intervention points and translational roadmap</w:t>
      </w:r>
    </w:p>
    <w:p>
      <w:pPr>
        <w:spacing w:after="160"/>
      </w:pPr>
      <w:r>
        <w:rPr>
          <w:rFonts w:ascii="Times New Roman" w:hAnsi="Times New Roman" w:eastAsia="宋体"/>
          <w:b w:val="0"/>
          <w:sz w:val="18"/>
        </w:rPr>
        <w:t>从上游self-DNA/NET负荷、DNA清除、cGAS、cGAMP、STING到TBK1/IFN/JAK分层展示治疗节点，并在下方增加biomarker selection、tissue targeting、combination therapy与safety monitoring，形成机制到临床的闭环。</w:t>
      </w:r>
    </w:p>
    <w:p>
      <w:r>
        <w:br w:type="page"/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7365D"/>
          <w:sz w:val="30"/>
        </w:rPr>
        <w:t>6. 表格体系（4个原生可编辑Word表格）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Table 1 | 高影响力综述的设计范式与本综述的差异化策略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模块</w:t>
            </w:r>
          </w:p>
        </w:tc>
        <w:tc>
          <w:tcPr>
            <w:tcW w:type="dxa" w:w="3324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高分综述常见处理</w:t>
            </w:r>
          </w:p>
        </w:tc>
        <w:tc>
          <w:tcPr>
            <w:tcW w:type="dxa" w:w="3324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本综述建议升级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通路基础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经典cGAS→cGAMP→STING→TBK1/IRF3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压缩基础知识，把篇幅让给self-DNA稳态与检查点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图表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少而重、每图解决一个概念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6幅主图分别承担总览、制动、传播、疾病、crosstalk、治疗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疾病章节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按疾病逐一讨论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改为mechanistic endotypes，再在每个endotype中放代表疾病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证据表达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机制与疾病并列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增加human genetics / patient tissue / perturbation / association四级证据语言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治疗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列药物与靶点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增加patient–tissue–stage–biomarker四维治疗窗口</w:t>
            </w:r>
          </w:p>
        </w:tc>
      </w:tr>
    </w:tbl>
    <w:p/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Table 2 | cGAS–STING相关自身免疫疾病的机制证据矩阵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疾病/锚点</w:t>
            </w:r>
          </w:p>
        </w:tc>
        <w:tc>
          <w:tcPr>
            <w:tcW w:type="dxa" w:w="1662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主要DNA来源/缺陷</w:t>
            </w:r>
          </w:p>
        </w:tc>
        <w:tc>
          <w:tcPr>
            <w:tcW w:type="dxa" w:w="1662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主要细胞/组织</w:t>
            </w:r>
          </w:p>
        </w:tc>
        <w:tc>
          <w:tcPr>
            <w:tcW w:type="dxa" w:w="1662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关键输出</w:t>
            </w:r>
          </w:p>
        </w:tc>
        <w:tc>
          <w:tcPr>
            <w:tcW w:type="dxa" w:w="1662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证据成熟度</w:t>
            </w:r>
          </w:p>
        </w:tc>
        <w:tc>
          <w:tcPr>
            <w:tcW w:type="dxa" w:w="1662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最重要缺口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核/mtDNA、NETs、清除不足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pDC/髓系/B细胞/肾皮肤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IFN-I、免疫复合物、CXCL10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强机制证据但高度异质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证明cGAS依赖而非仅IFN-high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Sjögren’s syndrome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腺上皮DNA应激/mtDNA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腺上皮、pDC、B细胞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局部IFN程序、腺体炎症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中等/新兴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组织内因果与亚群分层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Dermatomyositis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肌细胞损伤、mtDNA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肌细胞、皮肤、髓系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IFN-rich inflammation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新兴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疾病亚型与cGAS依赖性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Systemic sclerosis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细胞损伤、衰老、mtDNA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内皮、成纤维细胞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血管炎症、纤维化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新兴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保护性/促纤维化作用拆分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Rheumatoid arthritis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NETs、mtDNA、滑膜损伤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巨噬、成纤维样滑膜细胞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炎症、组织破坏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情境依赖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确定STING-high滑膜亚群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Vasculitis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NETs、内皮损伤、DAMPs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中性粒、内皮、单核细胞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血管炎症、IFN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新兴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不同血管炎亚型差异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Autoimmune neuroinflammation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神经/胶质损伤DNA、mtDNA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microglia、astrocyte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局部IFN、神经炎症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新兴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CNS内源性与外周信号区分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SAVI / AGS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STING GOF或DNA代谢基因缺陷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内皮/髓系等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持续IFN与全身炎症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人类遗传因果锚点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应定义为interferonopathy/autoinflammation，不与常规自身免疫等同</w:t>
            </w:r>
          </w:p>
        </w:tc>
      </w:tr>
    </w:tbl>
    <w:p/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Table 3 | 自身DNA稳态检查点、可测标志物与验证策略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层级</w:t>
            </w:r>
          </w:p>
        </w:tc>
        <w:tc>
          <w:tcPr>
            <w:tcW w:type="dxa" w:w="2493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代表性检查点</w:t>
            </w:r>
          </w:p>
        </w:tc>
        <w:tc>
          <w:tcPr>
            <w:tcW w:type="dxa" w:w="2493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候选标志物</w:t>
            </w:r>
          </w:p>
        </w:tc>
        <w:tc>
          <w:tcPr>
            <w:tcW w:type="dxa" w:w="2493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更强的因果验证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核/染色质隔离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核膜、nucleosome tethering、BAF、DNA repair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micronuclei、cGAS localization、γH2AX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成像+DNA damage perturbation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线粒体质量控制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PINK1–Parkin/mitophagy、ROS控制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cytosolic mtDNA、oxidized mtDNA、mitochondrial stress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mitophagy manipulation+mtDNA depletion/rescue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核酸清除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TREX1、RNase H2、DNase II、SAMHD1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cfDNA/cytosolic DNA、nuclease activity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genetic rescue / nuclease replacement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cGAMP处理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ENPP1/ENPP3、transporters/gap junctions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cGAMP水平、transport activity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transport/degradation perturbation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STING ER保留/转运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STIM1、COPA、ER–Golgi traffic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STING localization、p-STING/p-TBK1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trafficking perturbation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信号终止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AP-1/ESCRT、autophagy–lysosome、phosphatases/DUBs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STING turnover、lysosomal localization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degradation blockade/rescue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下游放大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IFNAR–JAK–STAT、NF-κB、NLRP3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IFN gene score、CXCL10、IL-1β/IL-18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pathway-specific inhibition</w:t>
            </w:r>
          </w:p>
        </w:tc>
      </w:tr>
    </w:tbl>
    <w:p/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Table 4 | 2026年转化治疗图谱：靶点、代表策略与证据边界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靶点层级</w:t>
            </w:r>
          </w:p>
        </w:tc>
        <w:tc>
          <w:tcPr>
            <w:tcW w:type="dxa" w:w="2493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代表策略/药物</w:t>
            </w:r>
          </w:p>
        </w:tc>
        <w:tc>
          <w:tcPr>
            <w:tcW w:type="dxa" w:w="2493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截至2026-09状态</w:t>
            </w:r>
          </w:p>
        </w:tc>
        <w:tc>
          <w:tcPr>
            <w:tcW w:type="dxa" w:w="2493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解读与限制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减少self-DNA/NETs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PAD4/NETosis抑制、DNase/清除增强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多数为前临床/转化研究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从源头减配体，但存在通路冗余和感染风险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cGAS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VENT-03（口服cGAS inhibitor）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CLE±SLE Phase 2a，NCT07260877，招募中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目前最重要的直接cGAS临床验证；主要终点之一为皮肤IFN gene signature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cGAS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RU.521、PF-06928215等研究工具/先导化合物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前临床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物种差异、细胞内暴露与生化效力差距需谨慎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STING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H-151、C-176/C-178等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前临床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直接拮抗逻辑清晰，但尚缺成熟自身免疫临床验证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STING degradation/trafficking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PROTAC/lysosome、ER–Golgi trafficking干预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早期研究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可能延长抑制并提高选择性，需证明组织与长期安全性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IFNAR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anifrolumab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SLE已获批（下游验证）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验证IFN轴可药物化，但并非STING特异性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JAK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baricitinib/tofacitinib等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多种自身免疫病已临床应用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可降低IFN相关输出，但属于广谱下游调节</w:t>
            </w:r>
          </w:p>
        </w:tc>
      </w:tr>
    </w:tbl>
    <w:p/>
    <w:p>
      <w:pPr>
        <w:spacing w:before="200" w:after="100"/>
      </w:pPr>
      <w:r>
        <w:rPr>
          <w:rFonts w:ascii="Times New Roman" w:hAnsi="Times New Roman" w:eastAsia="黑体"/>
          <w:b/>
          <w:color w:val="17365D"/>
          <w:sz w:val="30"/>
        </w:rPr>
        <w:t>7. 投稿级“防审稿人攻击”规则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不要用IFN signature直接等同于cGAS–STING激活；至少区分TLR7/9、MDA5等其他IFN来源。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不要把所有STING信号都写成cGAS依赖；应保留cGAS-independent STING activation和非经典输出的可能性。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SAVI与AGS用于证明DNA/STING轴具有因果能力，但应明确其分类与常见自身免疫病不同。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疾病章节中分开写patient evidence、animal model evidence和in vitro evidence，避免跨层级外推。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直接cGAS/STING抑制与IFN/JAK下游药物必须分开，后者只能作为pathway druggability的临床支持。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治疗部分必须讨论感染、抗病毒、抗肿瘤监视和组织修复受损风险。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每幅图下方可加一句‘evidence strength varies by disease and cell context’，避免图形造成过度因果暗示。</w:t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7365D"/>
          <w:sz w:val="30"/>
        </w:rPr>
        <w:t>8. 建议的最终文章标题与卖点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首选：From self-DNA homeostasis failure to autoimmune endotypes: context-dependent cGAS–STING signaling and precision targeting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备选：The cGAS–STING axis in autoimmune disease: checkpoints, multicellular propagation and therapeutic windows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中文：cGAS–STING通路与自身免疫性疾病：从自身DNA稳态失衡到疾病内表型与精准靶向</w:t>
      </w:r>
    </w:p>
    <w:p>
      <w:pPr>
        <w:spacing w:after="100"/>
        <w:ind w:firstLine="420"/>
      </w:pPr>
      <w:r>
        <w:rPr>
          <w:rFonts w:ascii="Times New Roman" w:hAnsi="Times New Roman" w:eastAsia="宋体"/>
          <w:b/>
          <w:sz w:val="21"/>
        </w:rPr>
        <w:t>一句话卖点：这不是另一篇“cGAS–STING与疾病”的综述，而是用self-DNA homeostasis、checkpoint failure、intercellular propagation和mechanistic endotypes解释为什么同一通路在不同自身免疫病中产生不同病理输出，并据此提出可检验的精准治疗框架。</w:t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7365D"/>
          <w:sz w:val="30"/>
        </w:rPr>
        <w:t>9. 对标文献（公开资料核对，更新至2026-09）</w:t>
      </w:r>
    </w:p>
    <w:p>
      <w:pPr>
        <w:spacing w:after="40"/>
      </w:pPr>
      <w:r>
        <w:rPr>
          <w:rFonts w:ascii="Times New Roman" w:hAnsi="Times New Roman" w:eastAsia="宋体"/>
          <w:b w:val="0"/>
          <w:sz w:val="18"/>
        </w:rPr>
        <w:t>Zhang Z, Zhang C. Regulation of cGAS–STING signalling and its diversity of cellular outcomes. Nature Reviews Immunology. 2025;25:425–444.</w:t>
      </w:r>
    </w:p>
    <w:p>
      <w:pPr>
        <w:spacing w:after="40"/>
      </w:pPr>
      <w:r>
        <w:rPr>
          <w:rFonts w:ascii="Times New Roman" w:hAnsi="Times New Roman" w:eastAsia="宋体"/>
          <w:b w:val="0"/>
          <w:sz w:val="18"/>
        </w:rPr>
        <w:t>Decout A, Katz JD, Venkatraman S, Ablasser A. The cGAS–STING pathway as a therapeutic target in inflammatory diseases. Nature Reviews Immunology. 2021;21:548–569.</w:t>
      </w:r>
    </w:p>
    <w:p>
      <w:pPr>
        <w:spacing w:after="40"/>
      </w:pPr>
      <w:r>
        <w:rPr>
          <w:rFonts w:ascii="Times New Roman" w:hAnsi="Times New Roman" w:eastAsia="宋体"/>
          <w:b w:val="0"/>
          <w:sz w:val="18"/>
        </w:rPr>
        <w:t>Hopfner KP, Hornung V. Molecular mechanisms and cellular functions of cGAS–STING signalling. Nature Reviews Molecular Cell Biology. 2020;21:501–521.</w:t>
      </w:r>
    </w:p>
    <w:p>
      <w:pPr>
        <w:spacing w:after="40"/>
      </w:pPr>
      <w:r>
        <w:rPr>
          <w:rFonts w:ascii="Times New Roman" w:hAnsi="Times New Roman" w:eastAsia="宋体"/>
          <w:b w:val="0"/>
          <w:sz w:val="18"/>
        </w:rPr>
        <w:t>Motwani M, Pesiridis S, Fitzgerald KA. DNA sensing by the cGAS–STING pathway in health and disease. Nature Reviews Genetics. 2019;20:657–674.</w:t>
      </w:r>
    </w:p>
    <w:p>
      <w:pPr>
        <w:spacing w:after="40"/>
      </w:pPr>
      <w:r>
        <w:rPr>
          <w:rFonts w:ascii="Times New Roman" w:hAnsi="Times New Roman" w:eastAsia="宋体"/>
          <w:b w:val="0"/>
          <w:sz w:val="18"/>
        </w:rPr>
        <w:t>Skopelja-Gardner S, An J, Elkon KB. Role of the cGAS–STING pathway in systemic and organ-specific diseases. Nature Reviews Nephrology. 2022;18:558–572.</w:t>
      </w:r>
    </w:p>
    <w:p>
      <w:pPr>
        <w:spacing w:after="40"/>
      </w:pPr>
      <w:r>
        <w:rPr>
          <w:rFonts w:ascii="Times New Roman" w:hAnsi="Times New Roman" w:eastAsia="宋体"/>
          <w:b w:val="0"/>
          <w:sz w:val="18"/>
        </w:rPr>
        <w:t>Zhang B, Xu P, Ablasser A. Regulation of the cGAS-STING Pathway. Annual Review of Immunology. 2025;43:667–692.</w:t>
      </w:r>
    </w:p>
    <w:p>
      <w:pPr>
        <w:spacing w:after="40"/>
      </w:pPr>
      <w:r>
        <w:rPr>
          <w:rFonts w:ascii="Times New Roman" w:hAnsi="Times New Roman" w:eastAsia="宋体"/>
          <w:b w:val="0"/>
          <w:sz w:val="18"/>
        </w:rPr>
        <w:t>The cGAS-STING pathway: Mechanism and medical implications. Cell. 2026;189:3849–3870.</w:t>
      </w:r>
    </w:p>
    <w:p>
      <w:pPr>
        <w:spacing w:after="40"/>
      </w:pPr>
      <w:r>
        <w:rPr>
          <w:rFonts w:ascii="Times New Roman" w:hAnsi="Times New Roman" w:eastAsia="宋体"/>
          <w:b w:val="0"/>
          <w:sz w:val="18"/>
        </w:rPr>
        <w:t>ClinicalTrials.gov NCT07260877 (AERIS): VENT-03 in active cutaneous lupus erythematosus with or without SLE; Phase 2a, recruiting as of 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cGAS–STING通路与自身免疫性疾病：高影响力综述对标版</dc:title>
  <dc:subject>Review framework, figures and tables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