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40"/>
      </w:pPr>
      <w:r>
        <w:rPr>
          <w:rFonts w:ascii="Times New Roman" w:hAnsi="Times New Roman" w:eastAsia="黑体"/>
          <w:b/>
          <w:color w:val="17365D"/>
          <w:sz w:val="40"/>
        </w:rPr>
        <w:t xml:space="preserve">肠黏膜“空间生态位”与炎症性肠病（IBD）</w:t>
      </w:r>
    </w:p>
    <w:p>
      <w:pPr>
        <w:jc w:val="center"/>
        <w:spacing w:before="0" w:after="40"/>
      </w:pPr>
      <w:r>
        <w:rPr>
          <w:rFonts w:ascii="Times New Roman" w:hAnsi="Times New Roman" w:eastAsia="黑体"/>
          <w:b/>
          <w:color w:val="245B78"/>
          <w:sz w:val="28"/>
        </w:rPr>
        <w:t xml:space="preserve">上皮–成纤维细胞–免疫细胞串扰：高影响力综述思路与提纲</w:t>
      </w:r>
    </w:p>
    <w:p>
      <w:pPr>
        <w:jc w:val="center"/>
        <w:spacing w:before="0" w:after="40"/>
      </w:pPr>
      <w:r>
        <w:rPr>
          <w:rFonts w:ascii="Times New Roman" w:hAnsi="Times New Roman" w:eastAsia="宋体"/>
          <w:color w:val="5B6D7A"/>
          <w:sz w:val="20"/>
        </w:rPr>
        <w:t xml:space="preserve">定位：IF &gt;10；面向 Nature Reviews / Cell Trends / CNS 子刊风格机制综述</w:t>
      </w:r>
    </w:p>
    <w:p>
      <w:pPr>
        <w:jc w:val="center"/>
        <w:spacing w:before="0" w:after="120"/>
      </w:pPr>
      <w:r>
        <w:rPr>
          <w:rFonts w:ascii="Times New Roman" w:hAnsi="Times New Roman" w:eastAsia="宋体"/>
          <w:color w:val="000000"/>
          <w:sz w:val="20"/>
        </w:rPr>
        <w:t xml:space="preserve">建议英文题目：The mucosal spatial niche in inflammatory bowel disease: epithelial–fibroblast–immune crosstalk from injury to failed repair</w:t>
      </w:r>
    </w:p>
    <w:p>
      <w:r>
        <w:br w:type="page"/>
      </w:r>
    </w:p>
    <w:p>
      <w:pPr>
        <w:spacing w:before="180" w:after="90"/>
      </w:pPr>
      <w:r>
        <w:rPr>
          <w:rFonts w:ascii="Times New Roman" w:hAnsi="Times New Roman" w:eastAsia="黑体"/>
          <w:b/>
          <w:color w:val="17365D"/>
          <w:sz w:val="30"/>
        </w:rPr>
        <w:t xml:space="preserve">1. 这篇综述真正应该写什么：核心定位</w:t>
      </w:r>
    </w:p>
    <w:p>
      <w:pPr>
        <w:ind w:firstLine="420"/>
        <w:spacing w:before="0" w:after="80"/>
      </w:pPr>
      <w:r>
        <w:rPr>
          <w:rFonts w:ascii="Times New Roman" w:hAnsi="Times New Roman" w:eastAsia="宋体"/>
          <w:color w:val="000000"/>
          <w:sz w:val="21"/>
        </w:rPr>
        <w:t xml:space="preserve">本综述不建议写成“上皮细胞一节、成纤维细胞一节、免疫细胞一节”的平行综述，也不建议简单总结单细胞研究发现。更有竞争力的组织方式，是把IBD黏膜看成一个具有明确空间层级、动态状态转换和跨细胞反馈的组织生态系统。文章的中心问题不是“有哪些细胞”，而是“这些细胞在什么位置、以什么状态、通过什么信号网络共同决定黏膜是恢复稳态、持续炎症，还是进入纤维化和难治状态”。</w:t>
      </w:r>
    </w:p>
    <w:p>
      <w:pPr>
        <w:spacing w:before="0" w:after="80"/>
      </w:pPr>
      <w:r>
        <w:rPr>
          <w:rFonts w:ascii="Times New Roman" w:hAnsi="Times New Roman" w:eastAsia="黑体"/>
          <w:b/>
          <w:color w:val="000000"/>
          <w:sz w:val="21"/>
        </w:rPr>
        <w:t xml:space="preserve">建议全文唯一主线：</w:t>
      </w:r>
    </w:p>
    <w:p>
      <w:pPr>
        <w:jc w:val="center"/>
        <w:spacing w:before="0" w:after="120"/>
      </w:pPr>
      <w:r>
        <w:rPr>
          <w:rFonts w:ascii="Times New Roman" w:hAnsi="Times New Roman" w:eastAsia="黑体"/>
          <w:b/>
          <w:color w:val="8A3150"/>
          <w:sz w:val="23"/>
        </w:rPr>
        <w:t xml:space="preserve">Homeostatic niche → epithelial injury/barrier breach → inflammatory recruitment → stromal activation → failed resolution → repair versus fibrosis → mechanism-based patient stratification</w:t>
      </w:r>
    </w:p>
    <w:p>
      <w:pPr>
        <w:spacing w:before="180" w:after="90"/>
      </w:pPr>
      <w:r>
        <w:rPr>
          <w:rFonts w:ascii="Times New Roman" w:hAnsi="Times New Roman" w:eastAsia="黑体"/>
          <w:b/>
          <w:color w:val="17365D"/>
          <w:sz w:val="30"/>
        </w:rPr>
        <w:t xml:space="preserve">2. 综述的差异化卖点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从“细胞组成”升级到“空间生态位”：强调 lumen–mucus–epithelium–lamina propria–vascular/perivascular compartment 的空间连续体。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从“细胞类型”升级到“细胞状态”：尤其关注 inflammatory fibroblast、myofibroblast、crypt-supportive stromal cells、repair epithelial states 和 inflammatory myeloid states。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从“炎症机制”升级到“状态转换”：把稳态、急性损伤、慢性炎症、修复、纤维化视为可转换的 mucosal niche states。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从“单细胞关联”升级到“空间因果”：ligand–receptor 分析只能生成假设，必须结合空间共定位、organoid/co-culture 和原位验证。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从“疾病名称分层”升级到“mechanistic endotypes”：提出 epithelial-injury、myeloid-inflammatory、stromal-activated、fibrosis-prone、vascular-remodeling、repair/healing 等生态位内表型。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从“抑炎治疗”升级到“组织稳态重建”：终点不仅是降低炎症，还包括 mucosal healing、barrier restoration、stromal normalization 和 fibrosis prevention。</w:t>
      </w:r>
    </w:p>
    <w:p>
      <w:pPr>
        <w:spacing w:before="180" w:after="90"/>
      </w:pPr>
      <w:r>
        <w:rPr>
          <w:rFonts w:ascii="Times New Roman" w:hAnsi="Times New Roman" w:eastAsia="黑体"/>
          <w:b/>
          <w:color w:val="17365D"/>
          <w:sz w:val="30"/>
        </w:rPr>
        <w:t xml:space="preserve">3. 五个核心科学问题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空间问题：IBD黏膜中不同细胞群位于哪里？它们与 crypt、surface epithelium、blood vessel 及 ECM 之间具有怎样的空间关系？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状态问题：稳态成纤维细胞如何转变为 inflammatory fibroblast 或 myofibroblast？上皮细胞如何从损伤状态进入再生或耗竭？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串扰问题：哪些 epithelial–fibroblast–immune ligand–receptor 轴真正具有驱动性，而不是转录组相关？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时间问题：急性炎症为何在部分患者中顺利消退，而在另一些患者中进入慢性活化、纤维化和难治状态？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转化问题：能否用空间生态位特征预测药物反应、复发、纤维化和手术风险，并据此选择治疗？</w:t>
      </w:r>
    </w:p>
    <w:p>
      <w:pPr>
        <w:spacing w:before="180" w:after="90"/>
      </w:pPr>
      <w:r>
        <w:rPr>
          <w:rFonts w:ascii="Times New Roman" w:hAnsi="Times New Roman" w:eastAsia="黑体"/>
          <w:b/>
          <w:color w:val="17365D"/>
          <w:sz w:val="30"/>
        </w:rPr>
        <w:t xml:space="preserve">4. 推荐正文结构</w:t>
      </w:r>
    </w:p>
    <w:p>
      <w:pPr>
        <w:spacing w:before="130" w:after="70"/>
      </w:pPr>
      <w:r>
        <w:rPr>
          <w:rFonts w:ascii="Times New Roman" w:hAnsi="Times New Roman" w:eastAsia="黑体"/>
          <w:b/>
          <w:color w:val="245B78"/>
          <w:sz w:val="25"/>
        </w:rPr>
        <w:t xml:space="preserve">4.1 Introduction — IBD is a disease of tissue organization, not merely immune activation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概述传统IBD框架：屏障缺陷、菌群失衡、遗传易感与异常免疫。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指出传统框架的缺口：相同炎症通路在不同患者中产生不同结局，提示组织空间背景决定信号效应。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提出 mucosal spatial niche 概念：细胞状态、位置、邻域关系、ECM、血管、微生物与代谢物共同组成动态生态系统。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明确本文重点是上皮–成纤维细胞–免疫细胞三角网络，并将血管、神经和菌群作为调控边界。</w:t>
      </w:r>
    </w:p>
    <w:p>
      <w:pPr>
        <w:spacing w:before="130" w:after="70"/>
      </w:pPr>
      <w:r>
        <w:rPr>
          <w:rFonts w:ascii="Times New Roman" w:hAnsi="Times New Roman" w:eastAsia="黑体"/>
          <w:b/>
          <w:color w:val="245B78"/>
          <w:sz w:val="25"/>
        </w:rPr>
        <w:t xml:space="preserve">4.2 Architecture of the healthy mucosal niche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建立空间层级：microbiota → mucus → surface/crypt epithelium → lamina propria → submucosal vasculature。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上皮细胞：absorptive cells、goblet cells、stem/progenitor cells、secretory states。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稳态间质：crypt-base stromal cells、surface-like fibroblasts、perivascular stromal cells。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免疫稳态：resident macrophages、Tregs、ILCs、dendritic cells 和 IgA-producing plasma cells。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强调 Wnt/R-spondin/BMP modulators、EGF、TGF-β、SCFAs 等共同维持空间稳态。</w:t>
      </w:r>
    </w:p>
    <w:p>
      <w:pPr>
        <w:spacing w:before="130" w:after="70"/>
      </w:pPr>
      <w:r>
        <w:rPr>
          <w:rFonts w:ascii="Times New Roman" w:hAnsi="Times New Roman" w:eastAsia="黑体"/>
          <w:b/>
          <w:color w:val="245B78"/>
          <w:sz w:val="25"/>
        </w:rPr>
        <w:t xml:space="preserve">4.3 Epithelial injury as the entry point of niche collapse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黏液减少、tight-junction破坏、上皮死亡与通透性升高。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微生物 PAMPs 及宿主 DAMPs 进入 lamina propria，触发 myeloid sensing。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损伤上皮释放 alarmins、cytokines 和 growth factors，主动重塑免疫与间质。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重点讨论 stem/progenitor-cell exhaustion、aberrant regeneration 及损伤相关上皮状态。</w:t>
      </w:r>
    </w:p>
    <w:p>
      <w:pPr>
        <w:spacing w:before="130" w:after="70"/>
      </w:pPr>
      <w:r>
        <w:rPr>
          <w:rFonts w:ascii="Times New Roman" w:hAnsi="Times New Roman" w:eastAsia="黑体"/>
          <w:b/>
          <w:color w:val="245B78"/>
          <w:sz w:val="25"/>
        </w:rPr>
        <w:t xml:space="preserve">4.4 Fibroblast heterogeneity and spatial specialization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这是全文核心章节之一，不把 fibroblast 视为单一细胞群。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Crypt-base trophocyte / stem-cell-supportive fibroblast：Wnt、R-spondins、BMP antagonists。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Surface/villus-like fibroblasts：支持成熟上皮和屏障稳态。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Inflammatory fibroblasts：IL-6、IL-11、OSM、CCL2、CXCL8、CXCL12 及 MMPs。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Myofibroblasts：TGF-β 驱动收缩、ECM沉积与组织重塑。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Perivascular fibroblasts/pericyte-like stromal cells：连接血管、免疫细胞迁移与 angiogenesis。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Fibrosis-associated fibroblasts：持续ECM沉积、LOX介导交联、组织僵硬和 stricture 形成。</w:t>
      </w:r>
    </w:p>
    <w:p>
      <w:pPr>
        <w:spacing w:before="130" w:after="70"/>
      </w:pPr>
      <w:r>
        <w:rPr>
          <w:rFonts w:ascii="Times New Roman" w:hAnsi="Times New Roman" w:eastAsia="黑体"/>
          <w:b/>
          <w:color w:val="245B78"/>
          <w:sz w:val="25"/>
        </w:rPr>
        <w:t xml:space="preserve">4.5 Immune cells as niche remodelers rather than isolated effectors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Macrophage/monocyte：炎症放大、efferocytosis 与修复之间的状态转换。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Neutrophil：急性杀菌和组织损伤的双重作用。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DC–T-cell轴：IL-23–Th17/Th1 与 Treg 平衡。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ILCs：将上皮 alarmins、微生物信号和修复程序连接起来。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B/plasma cells：抗体、免疫复合物与慢性黏膜生态。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强调免疫细胞通过 cytokines/chemokines 反过来改变 fibroblast 和 epithelial states。</w:t>
      </w:r>
    </w:p>
    <w:p>
      <w:pPr>
        <w:spacing w:before="130" w:after="70"/>
      </w:pPr>
      <w:r>
        <w:rPr>
          <w:rFonts w:ascii="Times New Roman" w:hAnsi="Times New Roman" w:eastAsia="黑体"/>
          <w:b/>
          <w:color w:val="245B78"/>
          <w:sz w:val="25"/>
        </w:rPr>
        <w:t xml:space="preserve">4.6 Epithelial–fibroblast–immune feedback circuits in active IBD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TNF–TNFR、IL-1β–IL-1R、IL-6–gp130、IL-11–IL-11R、OSM–OSMR、IL-23–IL-23R、IL-17–IL-17R 等炎症轴。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Wnt/R-spondin/BMP/EGF 等再生轴。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CCL2–CCR2、CXCL12–CXCR4、CXCL8 相关髓系招募轴。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integrin–MAdCAM/ICAM/VCAM 介导的空间迁移和滞留。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构建 barrier breach → immune recruitment → fibroblast activation → ECM/cytokine remodeling → persistent epithelial dysfunction 的自我放大环。</w:t>
      </w:r>
    </w:p>
    <w:p>
      <w:pPr>
        <w:spacing w:before="130" w:after="70"/>
      </w:pPr>
      <w:r>
        <w:rPr>
          <w:rFonts w:ascii="Times New Roman" w:hAnsi="Times New Roman" w:eastAsia="黑体"/>
          <w:b/>
          <w:color w:val="245B78"/>
          <w:sz w:val="25"/>
        </w:rPr>
        <w:t xml:space="preserve">4.7 From inflammation to repair or fibrosis: the niche-state transition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把全文从静态机制提升为时间序列。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Stage 1：homeostatic niche。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Stage 2：epithelial-injury / flare niche。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Stage 3：chronic inflammatory niche。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Stage 4A：repair/healing niche。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Stage 4B：stromal-activated / fibrosis-prone niche。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核心问题：决定分叉点的是哪些 resolution checkpoints？包括 Treg/IL-10、pro-resolving macrophages、MMP/TIMP balance、fibroblast deactivation 和 barrier restoration。</w:t>
      </w:r>
    </w:p>
    <w:p>
      <w:pPr>
        <w:spacing w:before="130" w:after="70"/>
      </w:pPr>
      <w:r>
        <w:rPr>
          <w:rFonts w:ascii="Times New Roman" w:hAnsi="Times New Roman" w:eastAsia="黑体"/>
          <w:b/>
          <w:color w:val="245B78"/>
          <w:sz w:val="25"/>
        </w:rPr>
        <w:t xml:space="preserve">4.8 UC versus Crohn’s disease: shared architecture, different spatial outputs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不要把UC和CD完全分开写，而是比较相同 niche 模块在两类疾病中的不同输出。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UC：黏膜浅层炎症、上皮/黏液与表浅间质生态位更突出。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CD：深层组织、transmural inflammation、perivascular/perienteric stroma、fibrosis/stricture 和 fistula 更突出。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将疾病差异转化为空间深度、细胞状态和修复结局的差异。</w:t>
      </w:r>
    </w:p>
    <w:p>
      <w:pPr>
        <w:spacing w:before="130" w:after="70"/>
      </w:pPr>
      <w:r>
        <w:rPr>
          <w:rFonts w:ascii="Times New Roman" w:hAnsi="Times New Roman" w:eastAsia="黑体"/>
          <w:b/>
          <w:color w:val="245B78"/>
          <w:sz w:val="25"/>
        </w:rPr>
        <w:t xml:space="preserve">4.9 Technology section — how to actually resolve the mucosal niche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scRNA-seq：解析状态与稀有细胞，但丢失空间信息。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Spatial transcriptomics：建立细胞状态与组织结构对应关系。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Multiplex imaging：验证细胞邻域和蛋白表达。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Organoid–fibroblast–immune co-culture：做真正的功能扰动和因果验证。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Lineage tracing/fate mapping：回答细胞来源、可塑性和状态转换。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Microbiome/metabolome integration：把腔内环境接到组织生态。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Cell–cell communication algorithms：仅作为 hypothesis-generating 工具。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In situ validation：RNAscope、IHC/IF、PLA 等完成患者组织验证。</w:t>
      </w:r>
    </w:p>
    <w:p>
      <w:pPr>
        <w:spacing w:before="130" w:after="70"/>
      </w:pPr>
      <w:r>
        <w:rPr>
          <w:rFonts w:ascii="Times New Roman" w:hAnsi="Times New Roman" w:eastAsia="黑体"/>
          <w:b/>
          <w:color w:val="245B78"/>
          <w:sz w:val="25"/>
        </w:rPr>
        <w:t xml:space="preserve">4.10 Translational targeting of the mucosal niche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从单靶点免疫抑制转向分层修复：immune control + epithelial repair + stromal normalization + vascular normalization。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现有抗TNF、IL-23、JAK、integrin等治疗可以重新解释为对不同 niche 模块的干预。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未来方向：anti-OSM/OSMR、anti-IL-11、抗纤维化、ECM重塑、上皮再生、细胞治疗和靶向递送。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提出机制分层：不同患者可能需要 epithelial-first、immune-first 或 stroma-first 策略。</w:t>
      </w:r>
    </w:p>
    <w:p>
      <w:pPr>
        <w:spacing w:before="130" w:after="70"/>
      </w:pPr>
      <w:r>
        <w:rPr>
          <w:rFonts w:ascii="Times New Roman" w:hAnsi="Times New Roman" w:eastAsia="黑体"/>
          <w:b/>
          <w:color w:val="245B78"/>
          <w:sz w:val="25"/>
        </w:rPr>
        <w:t xml:space="preserve">4.11 Future perspective — from mucosal healing to niche normalization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终点不应只停留在 endoscopic healing。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未来更高级的目标是恢复细胞比例、空间邻域、ECM结构、血管稳态和屏障功能。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建立可重复的 spatial niche score 与 multi-modal biomarker panel。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最终形成 mechanism-based enrollment 和 niche-directed therapy。</w:t>
      </w:r>
    </w:p>
    <w:p>
      <w:r>
        <w:br w:type="page"/>
      </w:r>
    </w:p>
    <w:p>
      <w:pPr>
        <w:spacing w:before="180" w:after="90"/>
      </w:pPr>
      <w:r>
        <w:rPr>
          <w:rFonts w:ascii="Times New Roman" w:hAnsi="Times New Roman" w:eastAsia="黑体"/>
          <w:b/>
          <w:color w:val="17365D"/>
          <w:sz w:val="30"/>
        </w:rPr>
        <w:t xml:space="preserve">5. 建议的6幅主图</w:t>
      </w:r>
    </w:p>
    <w:tbl>
      <w:tblPr>
        <w:tblW w:w="0" w:type="auto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D0D7DE"/>
          <w:insideV w:val="single" w:sz="4" w:color="D0D7DE"/>
        </w:tblBorders>
      </w:tblPr>
      <w:tr>
        <w:tc>
          <w:tcPr>
            <w:shd w:fill="DCEAF5"/>
            <w:tcW w:w="2200" w:type="dxa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 xml:space="preserve">图号</w:t>
            </w:r>
          </w:p>
        </w:tc>
        <w:tc>
          <w:tcPr>
            <w:shd w:fill="DCEAF5"/>
            <w:tcW w:w="2200" w:type="dxa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 xml:space="preserve">建议标题</w:t>
            </w:r>
          </w:p>
        </w:tc>
        <w:tc>
          <w:tcPr>
            <w:shd w:fill="DCEAF5"/>
            <w:tcW w:w="2200" w:type="dxa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 xml:space="preserve">核心信息</w:t>
            </w:r>
          </w:p>
        </w:tc>
        <w:tc>
          <w:tcPr>
            <w:shd w:fill="DCEAF5"/>
            <w:tcW w:w="2200" w:type="dxa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 xml:space="preserve">插入位置</w:t>
            </w:r>
          </w:p>
        </w:tc>
      </w:tr>
      <w:tr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Figure 1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The mucosal spatial niche in IBD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全文总览：lumen–mucus–epithelium–lamina propria–vascular niche；比较稳态、活动性炎症和修复/纤维化。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Introduction后</w:t>
            </w:r>
          </w:p>
        </w:tc>
      </w:tr>
      <w:tr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Figure 2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Epithelial–fibroblast crosstalk across injury, repair and fibrosis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三联图：homeostasis → acute injury → repair/fibrosis；突出Wnt/R-spondin/BMP、EGF、TGF-β、MMP/ECM。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上皮与fibroblast章节之间</w:t>
            </w:r>
          </w:p>
        </w:tc>
      </w:tr>
      <w:tr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Figure 3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Spatial heterogeneity of fibroblast niches in IBD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crypt-base、surface-like、inflammatory、myofibroblast、perivascular和fibrosis-associated fibroblasts的空间定位。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Fibroblast核心章节后</w:t>
            </w:r>
          </w:p>
        </w:tc>
      </w:tr>
      <w:tr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Figure 4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Epithelial–immune–fibroblast feedback circuits in active colitis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barrier breach → PAMP/DAMP → myeloid/T cell recruitment → fibroblast activation → failed resolution。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串扰章节后</w:t>
            </w:r>
          </w:p>
        </w:tc>
      </w:tr>
      <w:tr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Figure 5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Evolution of the mucosal niche from homeostasis to chronic remodeling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时间轴/状态转换图：homeostasis → flare → chronic active → healing或fibrosis。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疾病进展章节后</w:t>
            </w:r>
          </w:p>
        </w:tc>
      </w:tr>
      <w:tr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Figure 6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Therapeutic and translational targeting of the mucosal spatial niche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microbiota、epithelium、immune、fibroblast、vascular和biomarker六层治疗映射。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治疗与Perspective章节</w:t>
            </w:r>
          </w:p>
        </w:tc>
      </w:tr>
    </w:tbl>
    <w:p>
      <w:pPr>
        <w:spacing w:before="180" w:after="90"/>
      </w:pPr>
      <w:r>
        <w:rPr>
          <w:rFonts w:ascii="Times New Roman" w:hAnsi="Times New Roman" w:eastAsia="黑体"/>
          <w:b/>
          <w:color w:val="17365D"/>
          <w:sz w:val="30"/>
        </w:rPr>
        <w:t xml:space="preserve">6. 建议的4个主表</w:t>
      </w:r>
    </w:p>
    <w:tbl>
      <w:tblPr>
        <w:tblW w:w="0" w:type="auto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D0D7DE"/>
          <w:insideV w:val="single" w:sz="4" w:color="D0D7DE"/>
        </w:tblBorders>
      </w:tblPr>
      <w:tr>
        <w:tc>
          <w:tcPr>
            <w:shd w:fill="DCEAF5"/>
            <w:tcW w:w="2200" w:type="dxa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 xml:space="preserve">表号</w:t>
            </w:r>
          </w:p>
        </w:tc>
        <w:tc>
          <w:tcPr>
            <w:shd w:fill="DCEAF5"/>
            <w:tcW w:w="2200" w:type="dxa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 xml:space="preserve">建议标题</w:t>
            </w:r>
          </w:p>
        </w:tc>
        <w:tc>
          <w:tcPr>
            <w:shd w:fill="DCEAF5"/>
            <w:tcW w:w="2200" w:type="dxa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 xml:space="preserve">建议栏目</w:t>
            </w:r>
          </w:p>
        </w:tc>
        <w:tc>
          <w:tcPr>
            <w:shd w:fill="DCEAF5"/>
            <w:tcW w:w="2200" w:type="dxa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 xml:space="preserve">用途</w:t>
            </w:r>
          </w:p>
        </w:tc>
      </w:tr>
      <w:tr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Table 1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Major cellular components of the mucosal spatial niche in IBD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Cell type；principal location；homeostatic function；pathogenic role；markers/signals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建立全文细胞词典</w:t>
            </w:r>
          </w:p>
        </w:tc>
      </w:tr>
      <w:tr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Table 2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Key epithelial–fibroblast–immune signaling axes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Ligand–receptor；source；target；effect；therapeutic relevance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把机制从细胞描述升级到可干预信号轴</w:t>
            </w:r>
          </w:p>
        </w:tc>
      </w:tr>
      <w:tr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Table 3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Spatial niche states and disease endotypes in IBD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Niche state；spatial features；dominant cells/pathways；clinical correlate；intervention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全篇最具转化价值的表</w:t>
            </w:r>
          </w:p>
        </w:tc>
      </w:tr>
      <w:tr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Table 4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Emerging technologies for studying the mucosal niche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Technology；what it reveals；readouts；strengths；limitations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体现方法学成熟度与未来方向</w:t>
            </w:r>
          </w:p>
        </w:tc>
      </w:tr>
    </w:tbl>
    <w:p>
      <w:pPr>
        <w:spacing w:before="180" w:after="90"/>
      </w:pPr>
      <w:r>
        <w:rPr>
          <w:rFonts w:ascii="Times New Roman" w:hAnsi="Times New Roman" w:eastAsia="黑体"/>
          <w:b/>
          <w:color w:val="17365D"/>
          <w:sz w:val="30"/>
        </w:rPr>
        <w:t xml:space="preserve">7. 建议在正文反复使用的6个概念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Spatial niche：空间生态位，而非单纯 cell type。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Cell state：疾病相关状态比传统细胞分类更重要。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Neighborhood：某细胞周围是谁，往往比该细胞单独表达什么更具解释力。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Niche transition：从稳态到炎症、修复或纤维化的动态转换。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Failed resolution：慢性IBD不是“炎症一直开着”这么简单，而是终止炎症和组织恢复程序失败。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Niche normalization：比 mucosal healing 更高阶的未来治疗终点。</w:t>
      </w:r>
    </w:p>
    <w:p>
      <w:pPr>
        <w:spacing w:before="180" w:after="90"/>
      </w:pPr>
      <w:r>
        <w:rPr>
          <w:rFonts w:ascii="Times New Roman" w:hAnsi="Times New Roman" w:eastAsia="黑体"/>
          <w:b/>
          <w:color w:val="17365D"/>
          <w:sz w:val="30"/>
        </w:rPr>
        <w:t xml:space="preserve">8. 审稿人最容易质疑的地方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不要把单细胞通讯算法预测的 ligand–receptor 关系直接写成已证实的细胞串扰；必须标注为 predicted 或 candidate interaction。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不要把所有 PDGFRα+ 或 COL1A1+ 细胞笼统称为 fibroblast；不同研究的注释体系需要建立跨队列对应关系。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不要把 fibroblast activation 一概等同于纤维化；急性修复中短暂激活可能是必要的。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不要把UC和CD完全混合；应明确空间深度、transmural involvement 和纤维化倾向的差异。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不要把 mucosal healing 等同于真正恢复稳态；临床和内镜缓解后仍可能存在分子/空间异常。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治疗章节需区分已获批机制、临床开发中机制和纯前临床假说，避免把探索性靶点写成临床可用治疗。</w:t>
      </w:r>
    </w:p>
    <w:p>
      <w:pPr>
        <w:spacing w:before="180" w:after="90"/>
      </w:pPr>
      <w:r>
        <w:rPr>
          <w:rFonts w:ascii="Times New Roman" w:hAnsi="Times New Roman" w:eastAsia="黑体"/>
          <w:b/>
          <w:color w:val="17365D"/>
          <w:sz w:val="30"/>
        </w:rPr>
        <w:t xml:space="preserve">9. 写作时建议的篇幅分配</w:t>
      </w:r>
    </w:p>
    <w:tbl>
      <w:tblPr>
        <w:tblW w:w="0" w:type="auto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D0D7DE"/>
          <w:insideV w:val="single" w:sz="4" w:color="D0D7DE"/>
        </w:tblBorders>
      </w:tblPr>
      <w:tr>
        <w:tc>
          <w:tcPr>
            <w:shd w:fill="DCEAF5"/>
            <w:tcW w:w="2200" w:type="dxa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 xml:space="preserve">部分</w:t>
            </w:r>
          </w:p>
        </w:tc>
        <w:tc>
          <w:tcPr>
            <w:shd w:fill="DCEAF5"/>
            <w:tcW w:w="2200" w:type="dxa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 xml:space="preserve">建议占全文比例</w:t>
            </w:r>
          </w:p>
        </w:tc>
        <w:tc>
          <w:tcPr>
            <w:shd w:fill="DCEAF5"/>
            <w:tcW w:w="2200" w:type="dxa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 xml:space="preserve">写作重点</w:t>
            </w:r>
          </w:p>
        </w:tc>
      </w:tr>
      <w:tr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Introduction + conceptual framework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10%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快速提出 spatial niche 与 failed resolution，不做过长背景。</w:t>
            </w:r>
          </w:p>
        </w:tc>
      </w:tr>
      <w:tr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Healthy niche + epithelial injury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15%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建立正常空间结构，再解释最初破坏。</w:t>
            </w:r>
          </w:p>
        </w:tc>
      </w:tr>
      <w:tr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Fibroblast heterogeneity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20%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全文重点，体现差异化。</w:t>
            </w:r>
          </w:p>
        </w:tc>
      </w:tr>
      <w:tr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Immune–stromal–epithelial circuits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20%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避免细胞清单，围绕 feedback circuits 组织。</w:t>
            </w:r>
          </w:p>
        </w:tc>
      </w:tr>
      <w:tr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Niche transition / fibrosis / UC-CD comparison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15%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把静态机制变成疾病演进。</w:t>
            </w:r>
          </w:p>
        </w:tc>
      </w:tr>
      <w:tr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Technology + translation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15%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空间组学方法和精准治疗。</w:t>
            </w:r>
          </w:p>
        </w:tc>
      </w:tr>
      <w:tr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Perspective / conclusion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5%</w:t>
            </w:r>
          </w:p>
        </w:tc>
        <w:tc>
          <w:tcPr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7"/>
              </w:rPr>
              <w:t xml:space="preserve">提出 niche normalization 与未来试验框架。</w:t>
            </w:r>
          </w:p>
        </w:tc>
      </w:tr>
    </w:tbl>
    <w:p>
      <w:pPr>
        <w:spacing w:before="180" w:after="90"/>
      </w:pPr>
      <w:r>
        <w:rPr>
          <w:rFonts w:ascii="Times New Roman" w:hAnsi="Times New Roman" w:eastAsia="黑体"/>
          <w:b/>
          <w:color w:val="17365D"/>
          <w:sz w:val="30"/>
        </w:rPr>
        <w:t xml:space="preserve">10. 题目建议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首选：The mucosal spatial niche in inflammatory bowel disease: epithelial–fibroblast–immune crosstalk from injury to failed repair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更偏机制：Spatial organization of epithelial–stromal–immune circuits in inflammatory bowel disease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更偏转化：From mucosal inflammation to niche normalization: spatial ecosystems and therapeutic vulnerabilities in inflammatory bowel disease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中文：肠黏膜空间生态位与炎症性肠病：上皮–成纤维细胞–免疫细胞串扰、组织重塑与精准治疗</w:t>
      </w:r>
    </w:p>
    <w:p>
      <w:pPr>
        <w:spacing w:before="180" w:after="90"/>
      </w:pPr>
      <w:r>
        <w:rPr>
          <w:rFonts w:ascii="Times New Roman" w:hAnsi="Times New Roman" w:eastAsia="黑体"/>
          <w:b/>
          <w:color w:val="17365D"/>
          <w:sz w:val="30"/>
        </w:rPr>
        <w:t xml:space="preserve">11. 一句话总论点</w:t>
      </w:r>
    </w:p>
    <w:p>
      <w:pPr>
        <w:ind w:firstLine="420"/>
        <w:spacing w:before="0" w:after="80"/>
      </w:pPr>
      <w:r>
        <w:rPr>
          <w:rFonts w:ascii="Times New Roman" w:hAnsi="Times New Roman" w:eastAsia="黑体"/>
          <w:b/>
          <w:color w:val="17365D"/>
          <w:sz w:val="22"/>
        </w:rPr>
        <w:t xml:space="preserve">IBD不应只被理解为异常免疫反应，而应被理解为一个空间组织失衡的黏膜生态系统疾病：上皮损伤改变免疫感知，免疫炎症重编程成纤维细胞与血管生态，间质和ECM进一步限制上皮再生；疾病是否进入缓解、慢性活动或纤维化，取决于这些空间生态位能否完成从炎症到组织稳态的重置。</w:t>
      </w:r>
    </w:p>
    <w:p>
      <w:pPr>
        <w:spacing w:before="180" w:after="90"/>
      </w:pPr>
      <w:r>
        <w:rPr>
          <w:rFonts w:ascii="Times New Roman" w:hAnsi="Times New Roman" w:eastAsia="黑体"/>
          <w:b/>
          <w:color w:val="17365D"/>
          <w:sz w:val="30"/>
        </w:rPr>
        <w:t xml:space="preserve">12. 实际写作顺序建议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第一步：先完成 Figure 1 和 Figure 5 的逻辑，因为这两幅图决定全文叙事。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第二步：建立跨文献 fibroblast taxonomy 表，把不同研究对 stromal subsets 的命名对齐。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第三步：以 Table 2 为核心整理 ligand–receptor 证据，分别标记 human tissue、mouse perturbation、organoid/co-culture 和 computational inference。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第四步：再写正文，不要先按传统小标题机械堆文献。</w:t>
      </w:r>
    </w:p>
    <w:p>
      <w:pPr>
        <w:spacing w:before="0" w:after="35"/>
      </w:pPr>
      <w:r>
        <w:rPr>
          <w:rFonts w:ascii="Times New Roman" w:hAnsi="Times New Roman" w:eastAsia="宋体"/>
          <w:color w:val="000000"/>
          <w:sz w:val="20"/>
        </w:rPr>
        <w:t xml:space="preserve">• 第五步：最后用 Table 3 把 mechanistic niche states 映射到临床表型和治疗反应，形成综述的转化卖点。</w:t>
      </w:r>
    </w:p>
    <w:sectPr>
      <w:pgSz w:w="11906" w:h="16838"/>
      <w:pgMar w:top="1134" w:right="1134" w:bottom="1134" w:left="1247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eastAsia="宋体"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肠黏膜空间生态位与IBD：综述思路提纲</dc:title>
  <dc:subject>上皮–成纤维细胞–免疫细胞串扰</dc:subject>
  <dc:creator>ChatGPT</dc:creator>
  <cp:lastModifiedBy>ChatGPT</cp:lastModifiedBy>
  <dcterms:created xsi:type="dcterms:W3CDTF">2026-09-22T00:00:00Z</dcterms:created>
  <dcterms:modified xsi:type="dcterms:W3CDTF">2026-09-22T00:00:00Z</dcterms:modified>
</cp:coreProperties>
</file>