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17365D"/>
          <w:sz w:val="40"/>
        </w:rPr>
        <w:t>影像组学与眼科疾病</w:t>
      </w:r>
    </w:p>
    <w:p>
      <w:pPr>
        <w:jc w:val="center"/>
      </w:pPr>
      <w:r>
        <w:rPr>
          <w:rFonts w:ascii="Times New Roman" w:hAnsi="Times New Roman" w:eastAsia="黑体"/>
          <w:b/>
          <w:color w:val="245B78"/>
          <w:sz w:val="28"/>
        </w:rPr>
        <w:t>从可计算影像表型到精准眼科与临床转化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sz w:val="22"/>
        </w:rPr>
        <w:t>Ophthalmic radiomics in precision eye care: from computable imaging phenotypes to multimodal biomarkers and clinical translation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19"/>
        </w:rPr>
        <w:t>定位：IF &gt;10 / CNS子刊风格综述框架；含7幅机制/概念图与4个原生可编辑表格。证据更新至2026年10月。</w:t>
      </w:r>
    </w:p>
    <w:p>
      <w:r>
        <w:br w:type="page"/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1. 综述定位：为什么不能再写成“radiomics + 疾病罗列”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2025年发表于 European Radiology 的系统综述已纳入41篇眼科影像组学研究，覆盖5类疾病与7种影像模态；模型AUC多数落在0.7–1.0，但平均Radiomics Quality Score仅11.17/36，主要问题是回顾性单中心设计和外部测试不足。因此，再写一篇按AMD、DR、青光眼、眼肿瘤逐项罗列的综述，很难形成高影响力差异化。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本综述建议把“影像组学”定义为眼科影像从可视征象转化为可计算表型的一层基础设施，并围绕‘表型—生物学—时间—治疗—转化’五个层级组织全文。真正的核心问题不是模型能否分类，而是：这些特征能否稳定表征眼组织的结构、微血管、炎症、纤维化和肿瘤异质性，并在跨设备、跨中心、跨人群中支持可解释的临床决策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核心转变1：从“feature hunting”转向 biologically grounded imaging phenotypes。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核心转变2：从单模态分类转向 OCT/OCTA/FAF/FP/US/MRI/CT 与临床、组学、纵向数据融合。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核心转变3：从横断面诊断转向 progression、treatment response、delta-radiomics 与临床试验终点。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核心转变4：从高AUC转向 external testing、calibration、decision-curve、fairness 与真实工作流价值。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核心转变5：突出眼科特异方法学问题：双眼相关性、患者级数据切分、OCT设备/扫描协议漂移和自动分割误差。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2. 推荐题目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首选：From pixels to phenotypes: radiomics and multimodal imaging intelligence in precision ophthalmology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备选：Ophthalmic radiomics in precision eye care: quantitative phenotypes, multimodal fusion and clinical translation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备选：Radiomics across the eye: from retinal microstructure to orbital and ocular tumor phenotypes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中文：从像素到表型：影像组学驱动的精准眼科疾病分层与临床转化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3. 全文唯一主线</w:t>
      </w:r>
    </w:p>
    <w:p>
      <w:pPr>
        <w:jc w:val="center"/>
      </w:pPr>
      <w:r>
        <w:rPr>
          <w:rFonts w:ascii="Times New Roman" w:hAnsi="Times New Roman" w:eastAsia="宋体"/>
          <w:b/>
          <w:color w:val="8A3150"/>
          <w:sz w:val="24"/>
        </w:rPr>
        <w:t>multimodal ocular imaging → quantitative phenotype → disease endotype → longitudinal risk / response → precision decision → clinical utility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4. 推荐正文框架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4.1 Introduction: ophthalmology as a natural laboratory for quantitative imaging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眼科具有高分辨率、重复性强、纵向随访密集和多模态影像并存的天然优势。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区分radiomics、deep radiomics、multimodal AI和oculomics：前者聚焦高通量影像特征，oculomics更强调由眼部数据推断全身健康。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4.2 From images to computable phenotypes: the radiomics workflow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采集、质量控制、配准、标准化、ROI/VOI分割、特征提取、特征选择、建模、内部测试、外部测试和临床部署。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特征层级：first-order、shape、texture、wavelet/filter、spatial features、delta-radiomics、deep features。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强调IBSI一致性与特征可重复性，而不是盲目扩大特征数量。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4.3 A multimodal map of ophthalmic radiomics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Retina/macula：fundus、OCT、OCTA、FAF、FFA。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Optic nerve/glaucoma：disc photography、OCT RNFL/GCC、OCTA perfusion、visual field。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Whole eye/ocular oncology：US、MRI、CT。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Orbit/adnexa：multiparametric MRI/CT，结合EOM、lacrimal gland、fat、optic nerve与perilesional tissue。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4.4 Retina: radiomics as a quantitative disease-phenotyping layer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AMD：drusen substructure、RPE–Bruch复合体、GA转换与生长；避免只做二分类。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DR/DME：OCTA微血管纹理、血管密度/迂曲度、缺血与渗漏代理表型，OCT液体和视网膜层纹理。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强调影像组学应与可解释的OCT/OCTA生物标志物结合。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4.5 Glaucoma and optic neuropathy: structure–perfusion–time integration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整合optic disc、RNFL/GCC、lamina cribrosa、OCTA灌注和视觉功能。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重点转向早期检测、真正进展与年龄变化区分、纵向风险和治疗强度分层。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4.6 Ocular oncology and orbital disease: where classical radiomics is most mature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Uveal melanoma：鉴别诊断、风险分层、预后、眼球保留、放疗计划与治疗反应。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Thyroid eye disease：whole-orbit multi-region radiomics，预测活动度、DON和糖皮质激素反应。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Orbital lymphoma / idiopathic orbital inflammation / IgG4-related ophthalmic disease：intralesional + perilesional radiomics用于鉴别诊断。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4.7 Beyond single-modality radiomics: multimodal fusion and radiogenomics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影像 + 临床 + 纵向数据 + genomics/transcriptomics/proteomics/metabolomics。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从预测分数升级为影像内表型，并探索影像—分子通路和影像—基因型映射。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区分早期融合、表征层融合和决策层融合。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4.8 Longitudinal radiomics and treatment-response phenotyping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delta-radiomics、动态OCT/OCTA特征、治疗前后MRI异质性变化。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强调response prediction、adaptive treatment和影像替代终点的可能性。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4.9 Translation: from high AUC to trustworthy clinical utility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外部测试、多中心/跨设备测试、校准、decision-curve analysis和silent deployment。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公平性与代表性：设备、种族/人群、年龄、病程和中心差异。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报告与质量：IBSI、CLAIM 2024、TRIPOD+AI、PROBAST+AI。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4.10 Future directions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foundation models与self-supervised learning结合handcrafted radiomics。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federated learning、privacy-preserving multi-center radiomics、synthetic data。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3D whole-eye digital phenotype / digital twin。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从相关性特征向可干预、可解释、可复现的causal imaging biomarker转变。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5. 7幅主图设计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43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43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sz w:val="19"/>
        </w:rPr>
        <w:t>Figure 1 | Ophthalmic radiomics: from imaging to clinical decision</w:t>
      </w:r>
    </w:p>
    <w:p>
      <w:pPr>
        <w:spacing w:after="160"/>
      </w:pPr>
      <w:r>
        <w:rPr>
          <w:rFonts w:ascii="Times New Roman" w:hAnsi="Times New Roman" w:eastAsia="宋体"/>
          <w:b w:val="0"/>
          <w:sz w:val="18"/>
        </w:rPr>
        <w:t>图注：以眼科影像组学全流程为总览，强调最终目标不是AUC，而是形成稳定、可重复、可解释的量化影像表型并进入临床决策。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475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phenotype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4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sz w:val="19"/>
        </w:rPr>
        <w:t>Figure 2 | Multimodal computable ocular phenotype map</w:t>
      </w:r>
    </w:p>
    <w:p>
      <w:pPr>
        <w:spacing w:after="160"/>
      </w:pPr>
      <w:r>
        <w:rPr>
          <w:rFonts w:ascii="Times New Roman" w:hAnsi="Times New Roman" w:eastAsia="宋体"/>
          <w:b w:val="0"/>
          <w:sz w:val="18"/>
        </w:rPr>
        <w:t>图注：以解剖结构为中心，而非疾病为中心，展示retina/macula、choroid、optic nerve、orbit/adnexa和intraocular tumor的可计算表型。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9590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retinal_radiom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5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sz w:val="19"/>
        </w:rPr>
        <w:t>Figure 3 | Retinal radiomics in AMD, DR and DME</w:t>
      </w:r>
    </w:p>
    <w:p>
      <w:pPr>
        <w:spacing w:after="160"/>
      </w:pPr>
      <w:r>
        <w:rPr>
          <w:rFonts w:ascii="Times New Roman" w:hAnsi="Times New Roman" w:eastAsia="宋体"/>
          <w:b w:val="0"/>
          <w:sz w:val="18"/>
        </w:rPr>
        <w:t>图注：展示从OCT/OCTA可见病灶向纹理、微血管和结构异质性量化的转变，并连接风险与治疗反应。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365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glauco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36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sz w:val="19"/>
        </w:rPr>
        <w:t>Figure 4 | Glaucoma radiomics: structure–perfusion–time integration</w:t>
      </w:r>
    </w:p>
    <w:p>
      <w:pPr>
        <w:spacing w:after="160"/>
      </w:pPr>
      <w:r>
        <w:rPr>
          <w:rFonts w:ascii="Times New Roman" w:hAnsi="Times New Roman" w:eastAsia="宋体"/>
          <w:b w:val="0"/>
          <w:sz w:val="18"/>
        </w:rPr>
        <w:t>图注：整合结构OCT、OCTA灌注、视觉功能和纵向变化，突出进展预测而非单次分类。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475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oncology_orb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4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sz w:val="19"/>
        </w:rPr>
        <w:t>Figure 5 | Ocular oncology and orbital radiomics</w:t>
      </w:r>
    </w:p>
    <w:p>
      <w:pPr>
        <w:spacing w:after="160"/>
      </w:pPr>
      <w:r>
        <w:rPr>
          <w:rFonts w:ascii="Times New Roman" w:hAnsi="Times New Roman" w:eastAsia="宋体"/>
          <w:b w:val="0"/>
          <w:sz w:val="18"/>
        </w:rPr>
        <w:t>图注：比较uveal melanoma、TED、orbital lymphoma/IOI和IgG4-ROD，展示传统MRI/CT radiomics最有优势的组织异质性与多区域分析。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0874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6_multimodal_radiogenom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8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sz w:val="19"/>
        </w:rPr>
        <w:t>Figure 6 | Multimodal fusion and radiogenomics</w:t>
      </w:r>
    </w:p>
    <w:p>
      <w:pPr>
        <w:spacing w:after="160"/>
      </w:pPr>
      <w:r>
        <w:rPr>
          <w:rFonts w:ascii="Times New Roman" w:hAnsi="Times New Roman" w:eastAsia="宋体"/>
          <w:b w:val="0"/>
          <w:sz w:val="18"/>
        </w:rPr>
        <w:t>图注：将影像组学、临床、分子组学和纵向数据融合成机制内表型与精准治疗决策。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1398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7_trans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3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 w:eastAsia="宋体"/>
          <w:b/>
          <w:sz w:val="19"/>
        </w:rPr>
        <w:t>Figure 7 | Clinical translation roadmap</w:t>
      </w:r>
    </w:p>
    <w:p>
      <w:pPr>
        <w:spacing w:after="160"/>
      </w:pPr>
      <w:r>
        <w:rPr>
          <w:rFonts w:ascii="Times New Roman" w:hAnsi="Times New Roman" w:eastAsia="宋体"/>
          <w:b w:val="0"/>
          <w:sz w:val="18"/>
        </w:rPr>
        <w:t>图注：系统展示从proof-of-concept到多中心标准化、外部测试、临床效用、前瞻性实施的路线，并特别标注眼科常见数据泄漏和设备漂移问题。</w:t>
      </w:r>
    </w:p>
    <w:p>
      <w:r>
        <w:br w:type="page"/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6. 4个原生可编辑表格</w:t>
      </w:r>
    </w:p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Table 1 | 眼科疾病–影像模态–影像组学任务矩阵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疾病/领域</w:t>
            </w:r>
          </w:p>
        </w:tc>
        <w:tc>
          <w:tcPr>
            <w:tcW w:type="dxa" w:w="199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主要影像模态</w:t>
            </w:r>
          </w:p>
        </w:tc>
        <w:tc>
          <w:tcPr>
            <w:tcW w:type="dxa" w:w="199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最有价值的ROI/表型</w:t>
            </w:r>
          </w:p>
        </w:tc>
        <w:tc>
          <w:tcPr>
            <w:tcW w:type="dxa" w:w="199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适合的临床任务</w:t>
            </w:r>
          </w:p>
        </w:tc>
        <w:tc>
          <w:tcPr>
            <w:tcW w:type="dxa" w:w="199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写作重点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AMD / GA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OCT, FAF, CFP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drusen、RPE–Bruch复合体、GA边缘、choroid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进展风险、GA转换/生长、治疗反应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表型驱动，而非简单AMD二分类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DR / DME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OCTA, OCT, CFP, FFA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SCP/DCP、FAZ、毛细血管纹理、液体、视网膜层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筛查、分期、缺血/渗漏、治疗反应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微血管+结构联合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Glaucoma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OCT, OCTA, fundus, VF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RNFL/GCC、disc、lamina、peripapillary perfusion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早期诊断、进展预测、治疗强度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structure–function–time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Uveal melanoma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MRI, CT, US, fundus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tumor/peritumor、shape、texture、enhancement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鉴别、预后、眼球保留、治疗反应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radiogenomics / planning潜力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Thyroid eye disease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MRI, CT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EOM、fat、lacrimal gland、optic nerve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活动度、DON、IVGC response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whole-orbit multi-region radiomics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Orbital lymphoma / IOI / IgG4-ROD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MRI, CT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lesion + perilesional tissue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鉴别诊断、风险与治疗规划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perilesional radiomics与外部测试</w:t>
            </w:r>
          </w:p>
        </w:tc>
      </w:tr>
    </w:tbl>
    <w:p/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Table 2 | Radiomics特征类别、可能的生物学含义与眼科示例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特征类别</w:t>
            </w:r>
          </w:p>
        </w:tc>
        <w:tc>
          <w:tcPr>
            <w:tcW w:type="dxa" w:w="199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量化对象</w:t>
            </w:r>
          </w:p>
        </w:tc>
        <w:tc>
          <w:tcPr>
            <w:tcW w:type="dxa" w:w="199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潜在生物学含义</w:t>
            </w:r>
          </w:p>
        </w:tc>
        <w:tc>
          <w:tcPr>
            <w:tcW w:type="dxa" w:w="199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眼科示例</w:t>
            </w:r>
          </w:p>
        </w:tc>
        <w:tc>
          <w:tcPr>
            <w:tcW w:type="dxa" w:w="199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主要风险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First-order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强度/灰度分布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组织信号组成与均一性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OCT reflectivity；MRI signal heterogeneity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受设备和预处理影响大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Shape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面积、体积、球形度、边界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病灶生长模式与结构重塑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drusen/tumor morphology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依赖精确分割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Texture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GLCM/GLRLM/GLSZM等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微结构异质性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tumor heterogeneity；retinal texture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可解释性有限、易过拟合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Wavelet/filter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多尺度频率特征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不同空间尺度的纹理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MRI/OCT filtered features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跨平台重现性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Vascular radiomics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密度、迂曲、分形/纹理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微循环损伤与灌注表型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OCTA in DR/glaucoma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分割与阈值敏感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Spatial/perilesional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区域关系与邻域特征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病灶—微环境互作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orbital lymphoma vs inflammation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ROI定义尚未标准化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Delta-radiomics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时间变化率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治疗反应与疾病轨迹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UM/TED/OCT follow-up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需要稳定纵向协议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Deep radiomics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网络学习表征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高阶潜在表型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multimodal ophthalmic AI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可解释性与域漂移</w:t>
            </w:r>
          </w:p>
        </w:tc>
      </w:tr>
    </w:tbl>
    <w:p/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Table 3 | 代表性眼科影像组学证据锚点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研究</w:t>
            </w:r>
          </w:p>
        </w:tc>
        <w:tc>
          <w:tcPr>
            <w:tcW w:type="dxa" w:w="199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疾病/模态</w:t>
            </w:r>
          </w:p>
        </w:tc>
        <w:tc>
          <w:tcPr>
            <w:tcW w:type="dxa" w:w="199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样本/设计</w:t>
            </w:r>
          </w:p>
        </w:tc>
        <w:tc>
          <w:tcPr>
            <w:tcW w:type="dxa" w:w="199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主要结果</w:t>
            </w:r>
          </w:p>
        </w:tc>
        <w:tc>
          <w:tcPr>
            <w:tcW w:type="dxa" w:w="1994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对综述的意义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Zhang et al., Eur Radiol 2025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眼科radiomics系统综述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41篇研究；5类疾病；7种模态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AUC多数0.7–1.0；平均RQS 11.17/36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证明领域已有规模，但临床转化质量不足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Carrera-Escalé et al., Ophthalmol Sci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DR；OCT/OCTA/FP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726眼，439人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DM: OCT AUC 0.82；DR: OCTA 0.77；referable DR: OCTA 0.87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视网膜微血管radiomics的代表性概念验证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Perkins et al., Diagnostics 2025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AMD；OCT drusen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多类drusen与743 OCT scans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drusen分类AUC 0.87–0.95；GA风险预测0.59–0.74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强调phenotype-grounded radiomics而非单纯分类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Su et al., Eur J Radiol 2020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uveal melanoma；MRI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245例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T2WI+CET1WI模型AUC约0.87–0.88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眼肿瘤MRI radiomics的早期高质量例证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Zhang et al., J Transl Med 2024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TED；whole-orbit MRI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127例IVGC治疗患者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多器官/融合区域radiomics用于疗效预测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从single-ROI升级到whole-orbit phenotype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Yedekci et al., Strahlenther Onkol 2026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uveal melanoma；CT+MRI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308例，≥5年随访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预测secondary enucleation AUC 0.90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连接影像异质性与长期临床决策</w:t>
            </w:r>
          </w:p>
        </w:tc>
      </w:tr>
    </w:tbl>
    <w:p/>
    <w:p>
      <w:pPr>
        <w:spacing w:before="120" w:after="100"/>
      </w:pPr>
      <w:r>
        <w:rPr>
          <w:rFonts w:ascii="Times New Roman" w:hAnsi="Times New Roman" w:eastAsia="黑体"/>
          <w:b/>
          <w:color w:val="245B78"/>
          <w:sz w:val="25"/>
        </w:rPr>
        <w:t>Table 4 | 投稿级质量与转化清单：眼科radiomics最容易被审稿人质疑的环节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环节</w:t>
            </w:r>
          </w:p>
        </w:tc>
        <w:tc>
          <w:tcPr>
            <w:tcW w:type="dxa" w:w="2493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必须回答的问题</w:t>
            </w:r>
          </w:p>
        </w:tc>
        <w:tc>
          <w:tcPr>
            <w:tcW w:type="dxa" w:w="2493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眼科特异风险</w:t>
            </w:r>
          </w:p>
        </w:tc>
        <w:tc>
          <w:tcPr>
            <w:tcW w:type="dxa" w:w="2493"/>
            <w:shd w:fill="DCEAF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7365D"/>
                <w:sz w:val="18"/>
              </w:rPr>
              <w:t>建议标准/做法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数据切分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训练、调参、内部测试、外部测试如何划分？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同一患者双眼进入不同集合造成泄漏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必须patient-level split；报告每层级样本量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采集协议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设备和扫描参数是否一致？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OCT vendor、scan size、signal strength差异明显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多设备测试；协议/设备分层分析；harmonization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ROI/分割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ROI由谁、如何定义？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自动分层/液体/肿瘤分割误差会传递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报告ICC/Dice；敏感性分析；人工复核策略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特征计算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特征定义是否可重复？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不同软件/重采样/离散化导致漂移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优先IBSI-compliant实现并公开参数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建模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维度是否远大于事件数？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小样本、高维、重复眼数据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嵌套CV；正则化；避免数据泄漏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性能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是否只报告AUC？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高AUC不等于临床可用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calibration、CI、threshold metrics、DCA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泛化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是否有真正外部测试？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单中心设备特征被模型学习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跨中心/跨设备/跨人群external testing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公平性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不同年龄/种族/设备是否公平？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数据库代表性不足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预设亚组与fairness分析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报告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研究过程是否透明？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“validation”术语含混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CLAIM 2024；TRIPOD+AI；PROBAST+AI；RQS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实施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模型是否改变决策和结局？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缺少workflow与prospective evidence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silent deployment→前瞻评估→影响研究</w:t>
            </w:r>
          </w:p>
        </w:tc>
      </w:tr>
    </w:tbl>
    <w:p/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7. 这篇综述最值得强调的6个创新概念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Computable ocular phenotype：把传统影像征象转化为连续量化表型。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Anatomy-first radiomics：按retina–choroid–optic nerve–orbit–tumor组织，而不是单纯按疾病目录。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Phenotype-grounded radiomics：特征必须与临床可识别结构/病理过程建立联系。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Temporal radiomics：眼科高频随访是其他器官难以复制的优势，应充分利用delta-radiomics。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Radiogenomics / multimodal fusion：连接影像异质性与分子亚型，而不是把AI停留在分类层。</w:t>
      </w:r>
    </w:p>
    <w:p>
      <w:pPr>
        <w:spacing w:after="40"/>
        <w:ind w:left="340" w:hanging="170"/>
      </w:pPr>
      <w:r>
        <w:rPr>
          <w:rFonts w:ascii="Times New Roman" w:hAnsi="Times New Roman" w:eastAsia="宋体"/>
          <w:b w:val="0"/>
          <w:sz w:val="20"/>
        </w:rPr>
        <w:t>• Trustworthy translation：将IBSI、CLAIM 2024、TRIPOD+AI、PROBAST+AI与眼科双眼数据泄漏问题纳入同一转化框架。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8. 结论段建议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眼科影像组学已经从早期的纹理特征与传统机器学习，逐渐扩展为涵盖OCT/OCTA微结构、MRI/CT组织异质性、多区域空间特征、纵向变化和多模态融合的计算影像学体系。其真正价值并不在于不断提高单中心测试集AUC，而在于构建可重复、可解释且能够改变临床决策的定量影像表型。未来高影响力工作应进一步连接影像表型与疾病生物学、分子机制和治疗反应，并通过跨设备、多中心、前瞻性评估证明其临床效用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因此，本综述建议把眼科radiomics重新定义为precision ophthalmology的‘phenotype layer’：它位于原始影像和临床决策之间，并可向下连接组织和分子生物学，向上连接风险预测、治疗选择和真实世界实施。</w:t>
      </w:r>
    </w:p>
    <w:p>
      <w:pPr>
        <w:spacing w:before="200" w:after="100"/>
      </w:pPr>
      <w:r>
        <w:rPr>
          <w:rFonts w:ascii="Times New Roman" w:hAnsi="Times New Roman" w:eastAsia="黑体"/>
          <w:b/>
          <w:color w:val="17365D"/>
          <w:sz w:val="30"/>
        </w:rPr>
        <w:t>9. 关键参考文献与方法学标准</w:t>
      </w:r>
    </w:p>
    <w:p>
      <w:pPr>
        <w:spacing w:after="40"/>
      </w:pPr>
      <w:r>
        <w:rPr>
          <w:rFonts w:ascii="Times New Roman" w:hAnsi="Times New Roman" w:eastAsia="宋体"/>
          <w:b w:val="0"/>
          <w:sz w:val="18"/>
        </w:rPr>
        <w:t>Zhang H, Zhang H, Jiang M, et al. Radiomics in ophthalmology: a systematic review. European Radiology. 2025;35(1):542–557. doi:10.1007/s00330-024-10911-4.</w:t>
      </w:r>
    </w:p>
    <w:p>
      <w:pPr>
        <w:spacing w:after="40"/>
      </w:pPr>
      <w:r>
        <w:rPr>
          <w:rFonts w:ascii="Times New Roman" w:hAnsi="Times New Roman" w:eastAsia="宋体"/>
          <w:b w:val="0"/>
          <w:sz w:val="18"/>
        </w:rPr>
        <w:t>Carrera-Escalé L, Benali A, Rathert AC, et al. Radiomics-Based Assessment of OCT Angiography Images for Diabetic Retinopathy Diagnosis. Ophthalmology Science. 2023;3(2):100259. doi:10.1016/j.xops.2022.100259.</w:t>
      </w:r>
    </w:p>
    <w:p>
      <w:pPr>
        <w:spacing w:after="40"/>
      </w:pPr>
      <w:r>
        <w:rPr>
          <w:rFonts w:ascii="Times New Roman" w:hAnsi="Times New Roman" w:eastAsia="宋体"/>
          <w:b w:val="0"/>
          <w:sz w:val="18"/>
        </w:rPr>
        <w:t>Perkins SW, Shah N, Whitney J, et al. Radiomic Characterization and Automated Classification of Drusen Substructure Phenotype Associated with High-Risk Dry Age-Related Macular Degeneration. Diagnostics. 2025;15(20):2594. doi:10.3390/diagnostics15202594.</w:t>
      </w:r>
    </w:p>
    <w:p>
      <w:pPr>
        <w:spacing w:after="40"/>
      </w:pPr>
      <w:r>
        <w:rPr>
          <w:rFonts w:ascii="Times New Roman" w:hAnsi="Times New Roman" w:eastAsia="宋体"/>
          <w:b w:val="0"/>
          <w:sz w:val="18"/>
        </w:rPr>
        <w:t>Su Y, Xu X, Zuo P, et al. Value of MR-based radiomics in differentiating uveal melanoma from other intraocular masses in adults. European Journal of Radiology. 2020;131:109268.</w:t>
      </w:r>
    </w:p>
    <w:p>
      <w:pPr>
        <w:spacing w:after="40"/>
      </w:pPr>
      <w:r>
        <w:rPr>
          <w:rFonts w:ascii="Times New Roman" w:hAnsi="Times New Roman" w:eastAsia="宋体"/>
          <w:b w:val="0"/>
          <w:sz w:val="18"/>
        </w:rPr>
        <w:t>Zhang H, Jiang M, Chan HC, et al. Whole-orbit radiomics: machine learning-based multi- and fused-region radiomics signatures for intravenous glucocorticoid response prediction in thyroid eye disease. Journal of Translational Medicine. 2024;22:56. doi:10.1186/s12967-023-04792-2.</w:t>
      </w:r>
    </w:p>
    <w:p>
      <w:pPr>
        <w:spacing w:after="40"/>
      </w:pPr>
      <w:r>
        <w:rPr>
          <w:rFonts w:ascii="Times New Roman" w:hAnsi="Times New Roman" w:eastAsia="宋体"/>
          <w:b w:val="0"/>
          <w:sz w:val="18"/>
        </w:rPr>
        <w:t>Yedekci Y, Arimura H, Jin Y, et al. Non-invasive prediction of the secondary enucleation risk in uveal melanoma based on pretreatment CT and MRI prior to stereotactic radiotherapy. Strahlentherapie und Onkologie. 2026;202(5):476–484. doi:10.1007/s00066-025-02449-1.</w:t>
      </w:r>
    </w:p>
    <w:p>
      <w:pPr>
        <w:spacing w:after="40"/>
      </w:pPr>
      <w:r>
        <w:rPr>
          <w:rFonts w:ascii="Times New Roman" w:hAnsi="Times New Roman" w:eastAsia="宋体"/>
          <w:b w:val="0"/>
          <w:sz w:val="18"/>
        </w:rPr>
        <w:t>Wang S, He X, Jian Z, et al. Advances and prospects of multi-modal ophthalmic artificial intelligence based on deep learning: a review. Eye and Vision. 2024;11:38. doi:10.1186/s40662-024-00405-1.</w:t>
      </w:r>
    </w:p>
    <w:p>
      <w:pPr>
        <w:spacing w:after="40"/>
      </w:pPr>
      <w:r>
        <w:rPr>
          <w:rFonts w:ascii="Times New Roman" w:hAnsi="Times New Roman" w:eastAsia="宋体"/>
          <w:b w:val="0"/>
          <w:sz w:val="18"/>
        </w:rPr>
        <w:t>Zwanenburg A, Vallières M, Abdalah MA, et al. The Image Biomarker Standardization Initiative: Standardized Quantitative Radiomics for High-Throughput Image-based Phenotyping. Radiology. 2020;295(2):328–338. doi:10.1148/radiol.2020191145.</w:t>
      </w:r>
    </w:p>
    <w:p>
      <w:pPr>
        <w:spacing w:after="40"/>
      </w:pPr>
      <w:r>
        <w:rPr>
          <w:rFonts w:ascii="Times New Roman" w:hAnsi="Times New Roman" w:eastAsia="宋体"/>
          <w:b w:val="0"/>
          <w:sz w:val="18"/>
        </w:rPr>
        <w:t>Tejani AS, Klontzas ME, Gatti AA, et al. Checklist for Artificial Intelligence in Medical Imaging (CLAIM): 2024 Update. Radiology: Artificial Intelligence. 2024;6(4):e240300.</w:t>
      </w:r>
    </w:p>
    <w:p>
      <w:pPr>
        <w:spacing w:after="40"/>
      </w:pPr>
      <w:r>
        <w:rPr>
          <w:rFonts w:ascii="Times New Roman" w:hAnsi="Times New Roman" w:eastAsia="宋体"/>
          <w:b w:val="0"/>
          <w:sz w:val="18"/>
        </w:rPr>
        <w:t>Collins GS, Moons KGM, Dhiman P, et al. TRIPOD+AI statement: updated guidance for reporting clinical prediction models that use regression or machine learning methods. BMJ. 2024;385:e078378.</w:t>
      </w:r>
    </w:p>
    <w:p>
      <w:pPr>
        <w:spacing w:after="40"/>
      </w:pPr>
      <w:r>
        <w:rPr>
          <w:rFonts w:ascii="Times New Roman" w:hAnsi="Times New Roman" w:eastAsia="宋体"/>
          <w:b w:val="0"/>
          <w:sz w:val="18"/>
        </w:rPr>
        <w:t>Moons KGM, et al. PROBAST+AI: an updated quality, risk of bias, and applicability assessment tool for prediction models using regression or artificial intelligence methods. BMJ. 2025;388:bmj-2024-082505.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影像组学与眼科疾病：高影响力综述框架与图表整合版</dc:title>
  <dc:subject/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