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80" w:after="140" w:line="360" w:lineRule="auto"/>
      </w:pPr>
      <w:r>
        <w:rPr>
          <w:rFonts w:ascii="Times New Roman" w:hAnsi="Times New Roman" w:eastAsia="SimSun"/>
          <w:sz w:val="36"/>
          <w:szCs w:val="36"/>
          <w:b/>
          <w:color w:val="17365D"/>
          <w:lang w:eastAsia="zh-CN"/>
        </w:rPr>
        <w:t xml:space="preserve">cGAS–STING通路与自身免疫性疾病：综述框架、写作思路与机制图表设计</w:t>
      </w:r>
    </w:p>
    <w:p>
      <w:pPr>
        <w:jc w:val="center"/>
        <w:spacing w:before="0" w:after="180" w:line="300" w:lineRule="auto"/>
      </w:pPr>
      <w:r>
        <w:rPr>
          <w:rFonts w:ascii="Times New Roman" w:hAnsi="Times New Roman" w:eastAsia="SimSun"/>
          <w:sz w:val="22"/>
          <w:szCs w:val="22"/>
          <w:i/>
          <w:color w:val="5B6D7A"/>
          <w:lang w:eastAsia="zh-CN"/>
        </w:rPr>
        <w:t xml:space="preserve">定位：影响因子 &gt;10；叙事和图表对标CNS子刊及高水平免疫/风湿病综述</w:t>
      </w:r>
    </w:p>
    <w:p>
      <w:pPr>
        <w:jc w:val="center"/>
        <w:spacing w:before="0" w:after="180" w:line="300" w:lineRule="auto"/>
      </w:pPr>
      <w:r>
        <w:rPr>
          <w:rFonts w:ascii="Times New Roman" w:hAnsi="Times New Roman" w:eastAsia="SimSun"/>
          <w:sz w:val="22"/>
          <w:szCs w:val="22"/>
          <w:b/>
          <w:color w:val="7A3A52"/>
          <w:lang w:eastAsia="zh-CN"/>
        </w:rPr>
        <w:t xml:space="preserve">核心主线：self-DNA稳态失衡 → cGAS–STING持续激活 → I型干扰素与多细胞炎症网络 → 疾病情境依赖性 → 生物标志物分层与精准干预</w:t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1. 综述定位与核心科学问题</w:t>
      </w:r>
    </w:p>
    <w:p>
      <w:pPr>
        <w:jc w:val="left"/>
        <w:spacing w:before="0" w:after="90" w:line="30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本综述不建议写成“cGAS–STING基础通路 + 各疾病逐一罗列”的传统结构，而应围绕一个统一问题组织全文：为什么本应负责抗感染和危险信号识别的DNA感知通路，会在自身免疫背景下转化为持续的干扰素病理和组织损伤驱动器？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核心概念一：self-DNA的来源与可及性决定是否出现异常激活，包括核DNA损伤、微核破裂、mtDNA泄漏、NETs及凋亡残骸清除失败。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核心概念二：疾病并非仅由cGAS或STING表达升高决定，而常源于DNA稳态、线粒体质量控制、核酸酶系统、胞内转运和信号终止等多个检查点同时失效。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核心概念三：cGAS–STING通过树突细胞、髓系细胞、中性粒细胞、B/T细胞、内皮细胞和成纤维细胞形成多细胞放大回路，因此应从“单细胞通路”提升为“组织免疫网络”理解。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核心概念四：不同自身免疫病中的通路依赖程度并不相同，应明确区分最强因果证据、强机制证据和新兴/探索性证据。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核心概念五：治疗转化的关键不是简单抑制STING，而是选择正确疾病、正确组织、正确疾病阶段以及IFN-high/STING-high患者亚群。</w:t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2. 推荐题目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The cGAS–STING pathway in autoimmune disease: from self-DNA sensing to interferonopathy and precision therapeutics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Context-dependent roles of cGAS–STING across autoimmune disorders: mechanisms, biomarkers and translational targeting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中文：cGAS–STING通路与自身免疫性疾病：从内源性DNA感知到干扰素病理与精准治疗</w:t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3. 推荐正文框架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3.1 Introduction：从宿主防御到自身免疫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简述cGAS–STING在抗病毒、细胞质DNA识别及危险信号感知中的生理定位。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提出自身免疫核心悖论：保护性DNA感知如何被self-DNA持续暴露和制动失败劫持。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明确全文将按“DNA来源—检查点—细胞网络—疾病光谱—治疗转化”展开。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3.2 cGAS–STING核心生物学及非经典输出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cGAS识别胞质dsDNA、2′3′-cGAMP生成、STING从ER向ERGIC/Golgi转运。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TBK1–IRF3与IKK–NF-κB驱动IFN-I、趋化因子和炎症因子。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补充自噬、细胞死亡、炎症放大及组织重塑等非经典输出。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3.3 自身免疫中的内源性DNA来源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核DNA损伤、复制压力、染色体不稳定与微核破裂。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线粒体功能障碍、mitophagy缺陷及mtDNA外泄。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凋亡/坏死/焦亡、efferocytosis不足及NETosis造成的DNA暴露。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3.4 防止异常激活的分子检查点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DNA repair、replication fidelity、nuclear envelope integrity及micronuclei control。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线粒体质量控制：PINK1–Parkin、ROS限制、mtDNA containment。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TREX1、RNase H2、DNase II、SAMHD1及溶酶体/自噬清除。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STIM1、COPA、磷酸酶、去泛素化及STING自噬/溶酶体终止。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3.5 从先天感知到适应性自身免疫的多细胞网络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pDC/cDC：IFN放大、抗原呈递和T细胞启动。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monocyte/macrophage与neutrophil：炎症放大、NETosis、组织损伤。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endothelial cell与fibroblast：血管炎症、趋化、纤维化和慢性组织重塑。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B/T细胞：自身抗体产生、Tfh/Th17/Th1等适应性免疫异常。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3.6 疾病情境图谱：不要把所有疾病写成同一种cGAS–STING故事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SAVI/单基因干扰素病：用作“STING持续激活足以致病”的最强人类遗传锚点。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SLE：作为全文疾病主支柱，串联DNA清除障碍、NETs、免疫复合物和IFN signature。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Sjögren’s syndrome、dermatomyositis、systemic sclerosis：强调组织特异性IFN-rich微环境。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RA、vasculitis和autoimmune neuroinflammation：强调亚群、细胞类型及证据边界。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3.7 交叉通路与炎症放大环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TLR7/TLR9–MyD88、NLRP3 inflammasome、JAK–STAT IFN反馈。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DNA damage response、mitochondrial ROS、senescence/SASP及NETosis。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强调正反馈与resolution checkpoints之间的动态平衡。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3.8 靶向cGAS–STING的治疗策略与转化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上游：减少self-DNA/NET负荷并增强DNA清除。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核心轴：cGAS inhibitor、STING antagonist及cGAMP调节。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下游：TBK1、JAK、IFNAR等干预。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提高选择性：组织靶向/纳米递送、联合治疗、IFN signature和遗传/分子标志物分层。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3.9 未解决问题与未来方向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何时STING是保护性，何时转为病理性？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组织和细胞谱系特异性如何拆分？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哪些患者是真正STING-dependent，而不仅是IFN-high？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如何避免长期抑制后抗病毒、抗菌及抗肿瘤免疫受损？</w:t>
      </w:r>
    </w:p>
    <w:p>
      <w:pPr>
        <w:pStyle w:val="Heading2"/>
        <w:jc w:val="left"/>
        <w:spacing w:before="100" w:after="100" w:line="300" w:lineRule="auto"/>
      </w:pPr>
      <w:r>
        <w:rPr>
          <w:rFonts w:ascii="Times New Roman" w:hAnsi="Times New Roman" w:eastAsia="SimSun"/>
          <w:sz w:val="26"/>
          <w:szCs w:val="26"/>
          <w:b/>
          <w:color w:val="245B78"/>
          <w:lang w:eastAsia="zh-CN"/>
        </w:rPr>
        <w:t xml:space="preserve">3.10 Conclusion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将cGAS–STING定义为self-DNA稳态失衡和慢性干扰素病理之间的关键枢纽。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以疾病情境依赖性、机制性生物标志物和精准治疗窗口作为全文收束。</w:t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4. 文献整理与证据分级建议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检索应围绕五类证据分层：人类遗传证据 → 患者组织/单细胞/转录组证据 → 动物模型 → 细胞机制 → 药理扰动。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疾病章节中避免仅列“STING升高/IFN升高”；优先整理是否有遗传变异、DNA来源验证、p-STING/TBK1定位、遗传或药理干预及rescue实验。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建议为每篇关键研究标记：疾病/样本、DNA来源、主导细胞、cGAS–STING证据层级、IFN readout、功能扰动、是否有人体数据、主要局限。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将SAVI作为强因果锚点，将SLE作为机制整合主轴；其余疾病按证据成熟度讨论而非追求篇幅均衡。</w:t>
      </w:r>
    </w:p>
    <w:p>
      <w:r>
        <w:br w:type="page"/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5. 机制图设计</w:t>
      </w:r>
    </w:p>
    <w:p>
      <w:pPr>
        <w:jc w:val="center"/>
        <w:spacing w:before="80" w:after="80"/>
      </w:pPr>
      <w:r>
        <w:drawing>
          <wp:inline distT="0" distB="0" distL="0" distR="0">
            <wp:extent cx="5943600" cy="3714750"/>
            <wp:effectExtent l="0" t="0" r="0" b="0"/>
            <wp:docPr id="10" name="Figure 1"/>
            <wp:cNvGraphicFramePr/>
            <a:graphic>
              <a:graphicData uri="http://schemas.openxmlformats.org/drawingml/2006/picture">
                <pic:pic>
                  <pic:nvPicPr>
                    <pic:cNvPr id="0" name="Figure 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35" w:line="300" w:lineRule="auto"/>
      </w:pPr>
      <w:r>
        <w:rPr>
          <w:rFonts w:ascii="Times New Roman" w:hAnsi="Times New Roman" w:eastAsia="SimSun"/>
          <w:sz w:val="19"/>
          <w:szCs w:val="19"/>
          <w:b/>
          <w:color w:val="17365D"/>
          <w:lang w:eastAsia="zh-CN"/>
        </w:rPr>
        <w:t xml:space="preserve">Figure 1. The cGAS–STING axis at the center of autoimmune pathogenesis.</w:t>
      </w:r>
    </w:p>
    <w:p>
      <w:pPr>
        <w:jc w:val="left"/>
        <w:spacing w:before="0" w:after="100" w:line="300" w:lineRule="auto"/>
      </w:pPr>
      <w:r>
        <w:rPr>
          <w:rFonts w:ascii="Times New Roman" w:hAnsi="Times New Roman" w:eastAsia="SimSun"/>
          <w:sz w:val="18"/>
          <w:szCs w:val="18"/>
          <w:color w:val="536878"/>
          <w:lang w:eastAsia="zh-CN"/>
        </w:rPr>
        <w:t xml:space="preserve">图注：总览图：整合self-DNA来源、核心信号级联、主要效应细胞及疾病光谱，建议作为全文Figure 1。</w:t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5943600" cy="3714750"/>
            <wp:effectExtent l="0" t="0" r="0" b="0"/>
            <wp:docPr id="11" name="Figure 2"/>
            <wp:cNvGraphicFramePr/>
            <a:graphic>
              <a:graphicData uri="http://schemas.openxmlformats.org/drawingml/2006/picture">
                <pic:pic>
                  <pic:nvPicPr>
                    <pic:cNvPr id="0" name="Figure 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35" w:line="300" w:lineRule="auto"/>
      </w:pPr>
      <w:r>
        <w:rPr>
          <w:rFonts w:ascii="Times New Roman" w:hAnsi="Times New Roman" w:eastAsia="SimSun"/>
          <w:sz w:val="19"/>
          <w:szCs w:val="19"/>
          <w:b/>
          <w:color w:val="17365D"/>
          <w:lang w:eastAsia="zh-CN"/>
        </w:rPr>
        <w:t xml:space="preserve">Figure 2. Molecular checkpoints that prevent self-DNA-driven cGAS–STING activation.</w:t>
      </w:r>
    </w:p>
    <w:p>
      <w:pPr>
        <w:jc w:val="left"/>
        <w:spacing w:before="0" w:after="100" w:line="300" w:lineRule="auto"/>
      </w:pPr>
      <w:r>
        <w:rPr>
          <w:rFonts w:ascii="Times New Roman" w:hAnsi="Times New Roman" w:eastAsia="SimSun"/>
          <w:sz w:val="18"/>
          <w:szCs w:val="18"/>
          <w:color w:val="536878"/>
          <w:lang w:eastAsia="zh-CN"/>
        </w:rPr>
        <w:t xml:space="preserve">图注：检查点图：突出基因组、线粒体、核酸酶及STING转运/终止四层制动机制。</w:t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5943600" cy="3714750"/>
            <wp:effectExtent l="0" t="0" r="0" b="0"/>
            <wp:docPr id="12" name="Figure 3"/>
            <wp:cNvGraphicFramePr/>
            <a:graphic>
              <a:graphicData uri="http://schemas.openxmlformats.org/drawingml/2006/picture">
                <pic:pic>
                  <pic:nvPicPr>
                    <pic:cNvPr id="0" name="Figure 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35" w:line="300" w:lineRule="auto"/>
      </w:pPr>
      <w:r>
        <w:rPr>
          <w:rFonts w:ascii="Times New Roman" w:hAnsi="Times New Roman" w:eastAsia="SimSun"/>
          <w:sz w:val="19"/>
          <w:szCs w:val="19"/>
          <w:b/>
          <w:color w:val="17365D"/>
          <w:lang w:eastAsia="zh-CN"/>
        </w:rPr>
        <w:t xml:space="preserve">Figure 3. From innate sensing to adaptive autoimmunity: immune-cell circuits downstream of cGAS–STING.</w:t>
      </w:r>
    </w:p>
    <w:p>
      <w:pPr>
        <w:jc w:val="left"/>
        <w:spacing w:before="0" w:after="100" w:line="300" w:lineRule="auto"/>
      </w:pPr>
      <w:r>
        <w:rPr>
          <w:rFonts w:ascii="Times New Roman" w:hAnsi="Times New Roman" w:eastAsia="SimSun"/>
          <w:sz w:val="18"/>
          <w:szCs w:val="18"/>
          <w:color w:val="536878"/>
          <w:lang w:eastAsia="zh-CN"/>
        </w:rPr>
        <w:t xml:space="preserve">图注：细胞网络图：强调先天DNA感知如何通过多细胞feed-forward loop转化为系统性自身免疫。</w:t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5943600" cy="3714750"/>
            <wp:effectExtent l="0" t="0" r="0" b="0"/>
            <wp:docPr id="13" name="Figure 4"/>
            <wp:cNvGraphicFramePr/>
            <a:graphic>
              <a:graphicData uri="http://schemas.openxmlformats.org/drawingml/2006/picture">
                <pic:pic>
                  <pic:nvPicPr>
                    <pic:cNvPr id="0" name="Figure 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35" w:line="300" w:lineRule="auto"/>
      </w:pPr>
      <w:r>
        <w:rPr>
          <w:rFonts w:ascii="Times New Roman" w:hAnsi="Times New Roman" w:eastAsia="SimSun"/>
          <w:sz w:val="19"/>
          <w:szCs w:val="19"/>
          <w:b/>
          <w:color w:val="17365D"/>
          <w:lang w:eastAsia="zh-CN"/>
        </w:rPr>
        <w:t xml:space="preserve">Figure 4. Disease-context map of the cGAS–STING pathway across autoimmune disorders.</w:t>
      </w:r>
    </w:p>
    <w:p>
      <w:pPr>
        <w:jc w:val="left"/>
        <w:spacing w:before="0" w:after="100" w:line="300" w:lineRule="auto"/>
      </w:pPr>
      <w:r>
        <w:rPr>
          <w:rFonts w:ascii="Times New Roman" w:hAnsi="Times New Roman" w:eastAsia="SimSun"/>
          <w:sz w:val="18"/>
          <w:szCs w:val="18"/>
          <w:color w:val="536878"/>
          <w:lang w:eastAsia="zh-CN"/>
        </w:rPr>
        <w:t xml:space="preserve">图注：疾病比较图：把不同疾病的证据强度、主要触发轴及可观测readout放在同一图谱。</w:t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5943600" cy="3714750"/>
            <wp:effectExtent l="0" t="0" r="0" b="0"/>
            <wp:docPr id="14" name="Figure 5"/>
            <wp:cNvGraphicFramePr/>
            <a:graphic>
              <a:graphicData uri="http://schemas.openxmlformats.org/drawingml/2006/picture">
                <pic:pic>
                  <pic:nvPicPr>
                    <pic:cNvPr id="0" name="Figure 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35" w:line="300" w:lineRule="auto"/>
      </w:pPr>
      <w:r>
        <w:rPr>
          <w:rFonts w:ascii="Times New Roman" w:hAnsi="Times New Roman" w:eastAsia="SimSun"/>
          <w:sz w:val="19"/>
          <w:szCs w:val="19"/>
          <w:b/>
          <w:color w:val="17365D"/>
          <w:lang w:eastAsia="zh-CN"/>
        </w:rPr>
        <w:t xml:space="preserve">Figure 5. Crosstalk and amplification loops surrounding cGAS–STING in autoimmunity.</w:t>
      </w:r>
    </w:p>
    <w:p>
      <w:pPr>
        <w:jc w:val="left"/>
        <w:spacing w:before="0" w:after="100" w:line="300" w:lineRule="auto"/>
      </w:pPr>
      <w:r>
        <w:rPr>
          <w:rFonts w:ascii="Times New Roman" w:hAnsi="Times New Roman" w:eastAsia="SimSun"/>
          <w:sz w:val="18"/>
          <w:szCs w:val="18"/>
          <w:color w:val="536878"/>
          <w:lang w:eastAsia="zh-CN"/>
        </w:rPr>
        <w:t xml:space="preserve">图注：交叉通路图：整合TLR、NLRP3、JAK–STAT、ROS、DNA damage、SASP、NETosis及自噬。</w:t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5943600" cy="3714750"/>
            <wp:effectExtent l="0" t="0" r="0" b="0"/>
            <wp:docPr id="15" name="Figure 6"/>
            <wp:cNvGraphicFramePr/>
            <a:graphic>
              <a:graphicData uri="http://schemas.openxmlformats.org/drawingml/2006/picture">
                <pic:pic>
                  <pic:nvPicPr>
                    <pic:cNvPr id="0" name="Figure 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35" w:line="300" w:lineRule="auto"/>
      </w:pPr>
      <w:r>
        <w:rPr>
          <w:rFonts w:ascii="Times New Roman" w:hAnsi="Times New Roman" w:eastAsia="SimSun"/>
          <w:sz w:val="19"/>
          <w:szCs w:val="19"/>
          <w:b/>
          <w:color w:val="17365D"/>
          <w:lang w:eastAsia="zh-CN"/>
        </w:rPr>
        <w:t xml:space="preserve">Figure 6. Therapeutic targeting of the cGAS–STING axis: intervention points and translational roadmap.</w:t>
      </w:r>
    </w:p>
    <w:p>
      <w:pPr>
        <w:jc w:val="left"/>
        <w:spacing w:before="0" w:after="100" w:line="300" w:lineRule="auto"/>
      </w:pPr>
      <w:r>
        <w:rPr>
          <w:rFonts w:ascii="Times New Roman" w:hAnsi="Times New Roman" w:eastAsia="SimSun"/>
          <w:sz w:val="18"/>
          <w:szCs w:val="18"/>
          <w:color w:val="536878"/>
          <w:lang w:eastAsia="zh-CN"/>
        </w:rPr>
        <w:t xml:space="preserve">图注：转化图：从上游配体到核心通路、下游IFN及组织递送，同时纳入患者分层和安全性。</w:t>
      </w:r>
    </w:p>
    <w:p>
      <w:r>
        <w:br w:type="page"/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6. Table 1 | cGAS–STING通路核心组成、调控与自身免疫意义</w:t>
      </w:r>
    </w:p>
    <w:tbl>
      <w:tblPr>
        <w:tblW w:w="1030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9E2F3"/>
          <w:insideV w:val="single" w:sz="4" w:color="D9E2F3"/>
        </w:tblBorders>
      </w:tblPr>
      <w:tblGrid>
        <w:gridCol w:w="1900"/>
        <w:gridCol w:w="2700"/>
        <w:gridCol w:w="2700"/>
        <w:gridCol w:w="3000"/>
      </w:tblGrid>
      <w:tr>
        <w:tc>
          <w:tcPr>
            <w:tcW w:w="19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模块</w:t>
            </w:r>
          </w:p>
        </w:tc>
        <w:tc>
          <w:tcPr>
            <w:tcW w:w="27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代表分子/过程</w:t>
            </w:r>
          </w:p>
        </w:tc>
        <w:tc>
          <w:tcPr>
            <w:tcW w:w="27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核心功能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自身免疫相关意义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Self-DNA生成/暴露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核DNA、mtDNA、NET DNA、微核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提供内源性免疫刺激配体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推动无菌炎症及I型干扰素反应</w:t>
            </w:r>
          </w:p>
        </w:tc>
      </w:tr>
      <w:tr>
        <w:tc>
          <w:tcPr>
            <w:tcW w:w="19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DNA处理/清除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TREX1、DNase II、RNase H2、SAMHD1、自噬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限制或降解免疫刺激性DNA</w:t>
            </w:r>
          </w:p>
        </w:tc>
        <w:tc>
          <w:tcPr>
            <w:tcW w:w="30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缺陷可导致干扰素病或狼疮样表型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传感器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cGAS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结合胞质dsDNA并生成2′3′-cGAMP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self-DNA感知的近端触发器</w:t>
            </w:r>
          </w:p>
        </w:tc>
      </w:tr>
      <w:tr>
        <w:tc>
          <w:tcPr>
            <w:tcW w:w="19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第二信使/适配体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2′3′-cGAMP、STING/TMEM173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将DNA感知传递至ER–Golgi信号平台</w:t>
            </w:r>
          </w:p>
        </w:tc>
        <w:tc>
          <w:tcPr>
            <w:tcW w:w="30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持续或获得性激活可形成IFN-I病理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激酶/转录因子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TBK1、IKK、IRF3、NF-κB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诱导IFN-I与炎症介质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放大细胞因子网络</w:t>
            </w:r>
          </w:p>
        </w:tc>
      </w:tr>
      <w:tr>
        <w:tc>
          <w:tcPr>
            <w:tcW w:w="19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负调控/检查点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STIM1、COPA、磷酸酶、DUBs、自噬/溶酶体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限制信号强度和持续时间</w:t>
            </w:r>
          </w:p>
        </w:tc>
        <w:tc>
          <w:tcPr>
            <w:tcW w:w="30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制动失败促进慢性自身免疫炎症</w:t>
            </w:r>
          </w:p>
        </w:tc>
      </w:tr>
    </w:tbl>
    <w:p>
      <w:r>
        <w:br w:type="page"/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7. Table 2 | cGAS–STING相关自身免疫疾病证据图谱</w:t>
      </w:r>
    </w:p>
    <w:tbl>
      <w:tblPr>
        <w:tblW w:w="1150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9E2F3"/>
          <w:insideV w:val="single" w:sz="4" w:color="D9E2F3"/>
        </w:tblBorders>
      </w:tblPr>
      <w:tblGrid>
        <w:gridCol w:w="1800"/>
        <w:gridCol w:w="2200"/>
        <w:gridCol w:w="2700"/>
        <w:gridCol w:w="2500"/>
        <w:gridCol w:w="2300"/>
      </w:tblGrid>
      <w:tr>
        <w:tc>
          <w:tcPr>
            <w:tcW w:w="18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疾病</w:t>
            </w:r>
          </w:p>
        </w:tc>
        <w:tc>
          <w:tcPr>
            <w:tcW w:w="22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证据特征</w:t>
            </w:r>
          </w:p>
        </w:tc>
        <w:tc>
          <w:tcPr>
            <w:tcW w:w="27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主要病理轴</w:t>
            </w:r>
          </w:p>
        </w:tc>
        <w:tc>
          <w:tcPr>
            <w:tcW w:w="25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代表性读出</w:t>
            </w:r>
          </w:p>
        </w:tc>
        <w:tc>
          <w:tcPr>
            <w:tcW w:w="23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综述定位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SAVI / 单基因干扰素病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最强人类遗传证据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STING持续激活→IFN-I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IFN signature、血管病、ILD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作为因果锚点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SLE</w:t>
            </w:r>
          </w:p>
        </w:tc>
        <w:tc>
          <w:tcPr>
            <w:tcW w:w="22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强机制证据，多线收敛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清除障碍+self-DNA+免疫复合物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IFN signature、anti-dsDNA、NETs</w:t>
            </w:r>
          </w:p>
        </w:tc>
        <w:tc>
          <w:tcPr>
            <w:tcW w:w="23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作为疾病主支柱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Sjögren’s syndrome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中等/新兴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腺体核酸感知与IFN程序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唾液腺/外周血ISGs、CXCL10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突出组织特异性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Dermatomyositis</w:t>
            </w:r>
          </w:p>
        </w:tc>
        <w:tc>
          <w:tcPr>
            <w:tcW w:w="22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中等/新兴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IFN-rich肌炎/皮肤炎症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MxA、CXCL10、肌炎标志物</w:t>
            </w:r>
          </w:p>
        </w:tc>
        <w:tc>
          <w:tcPr>
            <w:tcW w:w="23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连接核酸感知与肌皮病理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Systemic sclerosis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新兴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血管损伤+纤维炎症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IFN及纤维化程序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讨论STING–fibroblast轴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Rheumatoid arthritis</w:t>
            </w:r>
          </w:p>
        </w:tc>
        <w:tc>
          <w:tcPr>
            <w:tcW w:w="22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亚群/情境依赖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滑膜DNA应激与炎症回路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TNF、IL-6、CXCL10、cfDNA</w:t>
            </w:r>
          </w:p>
        </w:tc>
        <w:tc>
          <w:tcPr>
            <w:tcW w:w="23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避免泛化结论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Vasculitis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新兴</w:t>
            </w:r>
          </w:p>
        </w:tc>
        <w:tc>
          <w:tcPr>
            <w:tcW w:w="27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NETs+内皮损伤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IFN/内皮活化指标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强调亚型差异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Autoimmune neuroinflammation</w:t>
            </w:r>
          </w:p>
        </w:tc>
        <w:tc>
          <w:tcPr>
            <w:tcW w:w="22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探索性/新兴</w:t>
            </w:r>
          </w:p>
        </w:tc>
        <w:tc>
          <w:tcPr>
            <w:tcW w:w="27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胶质细胞DNA感知和CNS IFN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CSF IFN/CXCL10等</w:t>
            </w:r>
          </w:p>
        </w:tc>
        <w:tc>
          <w:tcPr>
            <w:tcW w:w="23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作为未来前沿</w:t>
            </w:r>
          </w:p>
        </w:tc>
      </w:tr>
    </w:tbl>
    <w:p>
      <w:r>
        <w:br w:type="page"/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8. Table 3 | 靶向cGAS–STING的治疗策略与转化挑战</w:t>
      </w:r>
    </w:p>
    <w:tbl>
      <w:tblPr>
        <w:tblW w:w="1170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9E2F3"/>
          <w:insideV w:val="single" w:sz="4" w:color="D9E2F3"/>
        </w:tblBorders>
      </w:tblPr>
      <w:tblGrid>
        <w:gridCol w:w="1800"/>
        <w:gridCol w:w="2500"/>
        <w:gridCol w:w="2500"/>
        <w:gridCol w:w="2400"/>
        <w:gridCol w:w="2500"/>
      </w:tblGrid>
      <w:tr>
        <w:tc>
          <w:tcPr>
            <w:tcW w:w="18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靶点层级</w:t>
            </w:r>
          </w:p>
        </w:tc>
        <w:tc>
          <w:tcPr>
            <w:tcW w:w="25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代表策略</w:t>
            </w:r>
          </w:p>
        </w:tc>
        <w:tc>
          <w:tcPr>
            <w:tcW w:w="25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机制目标</w:t>
            </w:r>
          </w:p>
        </w:tc>
        <w:tc>
          <w:tcPr>
            <w:tcW w:w="24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开发/应用状态（概念性）</w:t>
            </w:r>
          </w:p>
        </w:tc>
        <w:tc>
          <w:tcPr>
            <w:tcW w:w="25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关键挑战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降低self-DNA/NET负荷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抑制NETosis、DNase补充等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减少上游配体负荷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转化/临床探索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冗余机制、感染风险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增强DNA清除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促进efferocytosis、核酸酶、自噬/溶酶体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恢复DNA稳态</w:t>
            </w:r>
          </w:p>
        </w:tc>
        <w:tc>
          <w:tcPr>
            <w:tcW w:w="24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前临床/转化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细胞特异性与长期安全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cGAS抑制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小分子/变构抑制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直接抑制cGAMP生成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前临床为主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胞内递送与宿主防御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STING拮抗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抑制结合、构象变化或ER→Golgi转运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阻断中央适配体激活</w:t>
            </w:r>
          </w:p>
        </w:tc>
        <w:tc>
          <w:tcPr>
            <w:tcW w:w="24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前临床/转化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物种差异、抗病毒免疫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下游IFN通路阻断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TBK1/JAK/IFNAR轴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降低IFN驱动炎症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部分下游策略已有临床经验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非选择性免疫抑制</w:t>
            </w:r>
          </w:p>
        </w:tc>
      </w:tr>
      <w:tr>
        <w:tc>
          <w:tcPr>
            <w:tcW w:w="18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组织定向递送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纳米颗粒、配体/抗体靶向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提高病灶选择性</w:t>
            </w:r>
          </w:p>
        </w:tc>
        <w:tc>
          <w:tcPr>
            <w:tcW w:w="24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前临床/转化</w:t>
            </w:r>
          </w:p>
        </w:tc>
        <w:tc>
          <w:tcPr>
            <w:tcW w:w="25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分布、制造与可重复性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生物标志物分层/联合治疗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IFN signature、遗传变异、cfDNA/cGAMP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匹配患者并优化组合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精准医学方向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标志物标准化与阈值</w:t>
            </w:r>
          </w:p>
        </w:tc>
      </w:tr>
    </w:tbl>
    <w:p>
      <w:r>
        <w:br w:type="page"/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9. 投稿级叙事强化建议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不要把cGAS–STING写成“万能促炎通路”。全文最重要的学术价值应来自：为什么某些疾病高度依赖STING，而另一些疾病仅在特定组织或患者亚群中被激活。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建议把“DNA availability × checkpoint failure × cell context × tissue context”设计成贯穿全文的四维解释框架。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治疗部分避免药物清单式写法，应围绕therapeutic window展开：抑制病理性STING同时保留感染防御与组织稳态。</w:t>
      </w:r>
    </w:p>
    <w:p>
      <w:pPr>
        <w:numPr>
          <w:ilvl w:val="0"/>
          <w:numId w:val="1"/>
        </w:numPr>
        <w:jc w:val="left"/>
        <w:spacing w:before="0" w:after="40" w:line="290" w:lineRule="auto"/>
      </w:pPr>
      <w:r>
        <w:rPr>
          <w:rFonts w:ascii="Times New Roman" w:hAnsi="Times New Roman" w:eastAsia="SimSun"/>
          <w:sz w:val="21"/>
          <w:szCs w:val="21"/>
          <w:color w:val="000000"/>
          <w:lang w:eastAsia="zh-CN"/>
        </w:rPr>
        <w:t xml:space="preserve">建议结尾提出一个可检验的精准医学框架：genotype / IFN signature / cfDNA-cGAMP-pSTING / tissue activity → patient selection → target level → combination strategy → dynamic monitoring。</w:t>
      </w:r>
    </w:p>
    <w:p>
      <w:pPr>
        <w:pStyle w:val="Heading1"/>
        <w:jc w:val="left"/>
        <w:spacing w:before="100" w:after="100" w:line="300" w:lineRule="auto"/>
      </w:pPr>
      <w:r>
        <w:rPr>
          <w:rFonts w:ascii="Times New Roman" w:hAnsi="Times New Roman" w:eastAsia="SimSun"/>
          <w:sz w:val="30"/>
          <w:szCs w:val="30"/>
          <w:b/>
          <w:color w:val="17365D"/>
          <w:lang w:eastAsia="zh-CN"/>
        </w:rPr>
        <w:t xml:space="preserve">10. 推荐写作篇幅与图表放置</w:t>
      </w:r>
    </w:p>
    <w:tbl>
      <w:tblPr>
        <w:tblW w:w="990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9E2F3"/>
          <w:insideV w:val="single" w:sz="4" w:color="D9E2F3"/>
        </w:tblBorders>
      </w:tblPr>
      <w:tblGrid>
        <w:gridCol w:w="2600"/>
        <w:gridCol w:w="2300"/>
        <w:gridCol w:w="5000"/>
      </w:tblGrid>
      <w:tr>
        <w:tc>
          <w:tcPr>
            <w:tcW w:w="26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章节</w:t>
            </w:r>
          </w:p>
        </w:tc>
        <w:tc>
          <w:tcPr>
            <w:tcW w:w="23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建议字数比例</w:t>
            </w:r>
          </w:p>
        </w:tc>
        <w:tc>
          <w:tcPr>
            <w:tcW w:w="5000" w:type="dxa"/>
            <w:shd w:fill="D9EAF7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8"/>
                <w:szCs w:val="18"/>
                <w:b/>
                <w:color w:val="000000"/>
                <w:lang w:eastAsia="zh-CN"/>
              </w:rPr>
              <w:t xml:space="preserve">核心图表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Introduction + pathway biology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15–18%</w:t>
            </w:r>
          </w:p>
        </w:tc>
        <w:tc>
          <w:tcPr>
            <w:tcW w:w="50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Figure 1</w:t>
            </w:r>
          </w:p>
        </w:tc>
      </w:tr>
      <w:tr>
        <w:tc>
          <w:tcPr>
            <w:tcW w:w="26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Self-DNA sources + checkpoints</w:t>
            </w:r>
          </w:p>
        </w:tc>
        <w:tc>
          <w:tcPr>
            <w:tcW w:w="23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18–22%</w:t>
            </w:r>
          </w:p>
        </w:tc>
        <w:tc>
          <w:tcPr>
            <w:tcW w:w="50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Figure 2 + Table 1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Immune-cell circuits + crosstalk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20–22%</w:t>
            </w:r>
          </w:p>
        </w:tc>
        <w:tc>
          <w:tcPr>
            <w:tcW w:w="50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Figure 3 + Figure 5</w:t>
            </w:r>
          </w:p>
        </w:tc>
      </w:tr>
      <w:tr>
        <w:tc>
          <w:tcPr>
            <w:tcW w:w="26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Disease-context map</w:t>
            </w:r>
          </w:p>
        </w:tc>
        <w:tc>
          <w:tcPr>
            <w:tcW w:w="23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22–25%</w:t>
            </w:r>
          </w:p>
        </w:tc>
        <w:tc>
          <w:tcPr>
            <w:tcW w:w="5000" w:type="dxa"/>
            <w:shd w:fill="F8FBFD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Figure 4 + Table 2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Therapeutic targeting + future directions</w:t>
            </w:r>
          </w:p>
        </w:tc>
        <w:tc>
          <w:tcPr>
            <w:tcW w:w="23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18–22%</w:t>
            </w:r>
          </w:p>
        </w:tc>
        <w:tc>
          <w:tcPr>
            <w:tcW w:w="5000" w:type="dxa"/>
            <w:shd w:fill="FFFFFF"/>
            <w:vAlign w:val="center"/>
          </w:tcPr>
          <w:p>
            <w:pPr>
              <w:jc w:val="left"/>
              <w:spacing w:before="0" w:after="30" w:line="240" w:lineRule="auto"/>
            </w:pPr>
            <w:r>
              <w:rPr>
                <w:rFonts w:ascii="Times New Roman" w:hAnsi="Times New Roman" w:eastAsia="SimSun"/>
                <w:sz w:val="17"/>
                <w:szCs w:val="17"/>
                <w:color w:val="000000"/>
                <w:lang w:eastAsia="zh-CN"/>
              </w:rPr>
              <w:t xml:space="preserve">Figure 6 + Table 3</w:t>
            </w:r>
          </w:p>
        </w:tc>
      </w:tr>
    </w:tbl>
    <w:p>
      <w:pPr>
        <w:jc w:val="left"/>
        <w:spacing w:before="120" w:after="0" w:line="300" w:lineRule="auto"/>
      </w:pPr>
      <w:r>
        <w:rPr>
          <w:rFonts w:ascii="Times New Roman" w:hAnsi="Times New Roman" w:eastAsia="SimSun"/>
          <w:sz w:val="18"/>
          <w:szCs w:val="18"/>
          <w:i/>
          <w:color w:val="6B6B6B"/>
          <w:lang w:eastAsia="zh-CN"/>
        </w:rPr>
        <w:t xml:space="preserve">文档说明：本版本重点提供可直接用于一区综述立项和全文写作的框架、机制逻辑、6幅矢量机制图和3个原生Word表格。正式投稿前建议进一步进行系统性文献检索、逐条证据核验以及目标期刊格式适配。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rPr>
      <w:b/>
      <w:color w:val="17365D"/>
      <w:sz w:val="30"/>
    </w:rPr>
  </w:style>
  <w:style w:type="paragraph" w:styleId="Heading2">
    <w:name w:val="heading 2"/>
    <w:basedOn w:val="Normal"/>
    <w:next w:val="Normal"/>
    <w:qFormat/>
    <w:rPr>
      <w:b/>
      <w:color w:val="245B78"/>
      <w:sz w:val="26"/>
    </w:rPr>
  </w:style>
  <w:style w:type="paragraph" w:styleId="Heading3">
    <w:name w:val="heading 3"/>
    <w:basedOn w:val="Normal"/>
    <w:next w:val="Normal"/>
    <w:qFormat/>
    <w:rPr>
      <w:b/>
      <w:color w:val="4F6B7A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1" Type="http://schemas.openxmlformats.org/officeDocument/2006/relationships/image" Target="media/figure1.svg"/><Relationship Id="rId102" Type="http://schemas.openxmlformats.org/officeDocument/2006/relationships/image" Target="media/figure2.svg"/><Relationship Id="rId103" Type="http://schemas.openxmlformats.org/officeDocument/2006/relationships/image" Target="media/figure3.svg"/><Relationship Id="rId104" Type="http://schemas.openxmlformats.org/officeDocument/2006/relationships/image" Target="media/figure4.svg"/><Relationship Id="rId105" Type="http://schemas.openxmlformats.org/officeDocument/2006/relationships/image" Target="media/figure5.svg"/><Relationship Id="rId106" Type="http://schemas.openxmlformats.org/officeDocument/2006/relationships/image" Target="media/figure6.sv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cGAS–STING通路与自身免疫性疾病：综述框架与机制图表</dc:title>
  <dc:creator>ChatGPT</dc:creator>
  <cp:lastModifiedBy>ChatGPT</cp:lastModifiedBy>
  <dcterms:created xsi:type="dcterms:W3CDTF">2026-09-19T13:55:00Z</dcterms:created>
  <dcterms:modified xsi:type="dcterms:W3CDTF">2026-09-19T13:55:00Z</dcterms:modified>
</cp:coreProperties>
</file>