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F2241" w14:textId="42D9C87E" w:rsidR="00FE6E3D" w:rsidRDefault="00FE6E3D" w:rsidP="0068149B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</w:t>
      </w:r>
      <w:r w:rsidRPr="008C351B">
        <w:rPr>
          <w:rFonts w:ascii="Times New Roman" w:eastAsia="Times New Roman" w:hAnsi="Times New Roman" w:cs="Times New Roman"/>
          <w:color w:val="000000"/>
        </w:rPr>
        <w:t xml:space="preserve">etabolic specificity, rather than metabolic flexibility, governs the </w:t>
      </w:r>
      <w:r w:rsidRPr="008C351B">
        <w:rPr>
          <w:rFonts w:ascii="Times New Roman" w:eastAsia="DengXian" w:hAnsi="Times New Roman" w:cs="Times New Roman"/>
        </w:rPr>
        <w:t>anaerobic digestion (</w:t>
      </w:r>
      <w:r w:rsidRPr="008C351B">
        <w:rPr>
          <w:rFonts w:ascii="Times New Roman" w:eastAsia="Times New Roman" w:hAnsi="Times New Roman" w:cs="Times New Roman"/>
          <w:color w:val="000000"/>
        </w:rPr>
        <w:t>AD) ecosystem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="0068149B" w:rsidRPr="0068149B">
        <w:rPr>
          <w:rFonts w:ascii="Times New Roman" w:eastAsia="Times New Roman" w:hAnsi="Times New Roman" w:cs="Times New Roman"/>
          <w:color w:val="000000"/>
        </w:rPr>
        <w:t>The partial segregation of H₂ and formate metabolism helps sustain the coexistence of “H₂-sensitive” syntrophic oxidation and “H₂-tolerant” primary fermentation.</w:t>
      </w:r>
    </w:p>
    <w:p w14:paraId="4A92442D" w14:textId="77777777" w:rsidR="00FE6E3D" w:rsidRDefault="00FE6E3D"/>
    <w:sectPr w:rsidR="00FE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3D"/>
    <w:rsid w:val="00372117"/>
    <w:rsid w:val="0068149B"/>
    <w:rsid w:val="00793D60"/>
    <w:rsid w:val="00A51F56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5B90"/>
  <w15:chartTrackingRefBased/>
  <w15:docId w15:val="{AD52B3E6-788E-447B-BF19-A8F2FA14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yuboer .</dc:creator>
  <cp:keywords/>
  <dc:description/>
  <cp:lastModifiedBy>Yubo Wang</cp:lastModifiedBy>
  <cp:revision>2</cp:revision>
  <dcterms:created xsi:type="dcterms:W3CDTF">2024-11-27T14:30:00Z</dcterms:created>
  <dcterms:modified xsi:type="dcterms:W3CDTF">2025-03-04T15:46:00Z</dcterms:modified>
</cp:coreProperties>
</file>