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media/image2.svg" ContentType="image/sv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pPr>
      <w:r>
        <w:rPr>
          <w:rFonts w:ascii="黑体" w:hAnsi="黑体" w:eastAsia="黑体"/>
          <w:b/>
          <w:sz w:val="48"/>
        </w:rPr>
        <w:t>超市管理系统</w:t>
      </w:r>
    </w:p>
    <w:p>
      <w:pPr>
        <w:jc w:val="center"/>
      </w:pPr>
      <w:r>
        <w:rPr>
          <w:rFonts w:ascii="黑体" w:hAnsi="黑体" w:eastAsia="黑体"/>
          <w:b/>
          <w:sz w:val="36"/>
        </w:rPr>
        <w:t>软件开发与管理课程设计报告</w:t>
      </w:r>
    </w:p>
    <w:p/>
    <w:p>
      <w:pPr>
        <w:pStyle w:val="Heading1"/>
        <w:jc w:val="center"/>
      </w:pPr>
      <w:r>
        <w:rPr>
          <w:rFonts w:ascii="黑体" w:hAnsi="黑体" w:eastAsia="黑体"/>
          <w:b/>
          <w:sz w:val="32"/>
        </w:rPr>
        <w:t>项目代码仓库</w:t>
      </w:r>
    </w:p>
    <w:p>
      <w:pPr>
        <w:jc w:val="center"/>
      </w:pPr>
      <w:r>
        <w:rPr>
          <w:rFonts w:ascii="Arial" w:hAnsi="Arial"/>
          <w:b/>
          <w:color w:val="C00000"/>
          <w:sz w:val="32"/>
        </w:rPr>
        <w:t>https://gitee.com/mystar0923/supermarket-management-system</w:t>
      </w:r>
    </w:p>
    <w:p>
      <w:pPr>
        <w:jc w:val="center"/>
      </w:pPr>
      <w:r>
        <w:rPr>
          <w:b w:val="0"/>
          <w:sz w:val="24"/>
        </w:rPr>
        <w:t>课程名称：《软件开发与管理》课程设计 / 《系统分析与设计》实验报告</w:t>
      </w:r>
    </w:p>
    <w:p>
      <w:pPr>
        <w:jc w:val="center"/>
      </w:pPr>
      <w:r>
        <w:rPr>
          <w:b w:val="0"/>
          <w:sz w:val="24"/>
        </w:rPr>
        <w:t>项目名称：超市管理系统</w:t>
      </w:r>
    </w:p>
    <w:p>
      <w:pPr>
        <w:jc w:val="center"/>
      </w:pPr>
      <w:r>
        <w:rPr>
          <w:b w:val="0"/>
          <w:sz w:val="24"/>
        </w:rPr>
        <w:t>签入用户名：余博涵 yubohann；吴洁 Musubit；张炎冰 张炎冰；孙静静 孙静静</w:t>
      </w:r>
    </w:p>
    <w:p>
      <w:pPr>
        <w:jc w:val="center"/>
      </w:pPr>
      <w:r>
        <w:rPr>
          <w:b w:val="0"/>
          <w:sz w:val="24"/>
        </w:rPr>
        <w:t>本文档说明：正文按照课程要求重新组织为团队情况、工程伦理、需求分析、基本设计、详细设计、代码实现、功能测试、总结心得、运行截图和参考文献。</w:t>
      </w:r>
    </w:p>
    <w:p>
      <w:r>
        <w:br w:type="page"/>
      </w:r>
    </w:p>
    <w:p>
      <w:pPr>
        <w:pStyle w:val="Heading1"/>
        <w:jc w:val="center"/>
      </w:pPr>
      <w:r>
        <w:rPr>
          <w:rFonts w:ascii="黑体" w:hAnsi="黑体" w:eastAsia="黑体"/>
          <w:b/>
          <w:sz w:val="36"/>
        </w:rPr>
        <w:t>目录</w:t>
      </w:r>
    </w:p>
    <w:p>
      <w:pPr>
        <w:ind w:left="283" w:right="283"/>
      </w:pPr>
      <w:r>
        <w:t>一．团队情况</w:t>
        <w:tab/>
        <w:t>3</w:t>
      </w:r>
    </w:p>
    <w:p>
      <w:pPr>
        <w:ind w:left="283" w:right="283"/>
      </w:pPr>
      <w:r>
        <w:t>二．工程伦理</w:t>
        <w:tab/>
        <w:t>12</w:t>
      </w:r>
    </w:p>
    <w:p>
      <w:pPr>
        <w:ind w:left="283" w:right="283"/>
      </w:pPr>
      <w:r>
        <w:t>三．需求分析</w:t>
        <w:tab/>
        <w:t>15</w:t>
      </w:r>
    </w:p>
    <w:p>
      <w:pPr>
        <w:ind w:left="283" w:right="283"/>
      </w:pPr>
      <w:r>
        <w:t>四．基本设计</w:t>
        <w:tab/>
        <w:t>42</w:t>
      </w:r>
    </w:p>
    <w:p>
      <w:pPr>
        <w:ind w:left="283" w:right="283"/>
      </w:pPr>
      <w:r>
        <w:t>五．详细设计</w:t>
        <w:tab/>
        <w:t>57</w:t>
      </w:r>
    </w:p>
    <w:p>
      <w:pPr>
        <w:ind w:left="283" w:right="283"/>
      </w:pPr>
      <w:r>
        <w:t>六．代码实现</w:t>
        <w:tab/>
        <w:t>76</w:t>
      </w:r>
    </w:p>
    <w:p>
      <w:pPr>
        <w:ind w:left="283" w:right="283"/>
      </w:pPr>
      <w:r>
        <w:t>七．功能测试</w:t>
        <w:tab/>
        <w:t>83</w:t>
      </w:r>
    </w:p>
    <w:p>
      <w:pPr>
        <w:ind w:left="283" w:right="283"/>
      </w:pPr>
      <w:r>
        <w:t>八．总结与心得体会</w:t>
        <w:tab/>
        <w:t>86</w:t>
      </w:r>
    </w:p>
    <w:p>
      <w:pPr>
        <w:ind w:left="283" w:right="283"/>
      </w:pPr>
      <w:r>
        <w:t>九．系统运行界面截图与功能说明</w:t>
        <w:tab/>
        <w:t>91</w:t>
      </w:r>
    </w:p>
    <w:p>
      <w:pPr>
        <w:ind w:left="283" w:right="283"/>
      </w:pPr>
      <w:r>
        <w:t>十．参考文献</w:t>
        <w:tab/>
        <w:t>107</w:t>
      </w:r>
    </w:p>
    <w:p>
      <w:r>
        <w:br w:type="page"/>
      </w:r>
    </w:p>
    <w:p>
      <w:pPr>
        <w:pStyle w:val="Heading1"/>
        <w:spacing w:before="240" w:after="200"/>
      </w:pPr>
      <w:r>
        <w:rPr>
          <w:rFonts w:ascii="黑体" w:hAnsi="黑体" w:eastAsia="黑体"/>
          <w:b/>
        </w:rPr>
        <w:t>一．团队情况</w:t>
      </w:r>
    </w:p>
    <w:p>
      <w:r>
        <w:rPr>
          <w:b w:val="0"/>
        </w:rPr>
        <w:t>本项目按照课程设计的团队分工开展，每名成员承担与系统模块直接对应的职责。分工不是单纯列名，而是与后续需求建模、数据建模、界面设计、后端实现和功能测试保持一致，保证设计内容和实现内容能够互相对应。</w:t>
      </w:r>
    </w:p>
    <w:p>
      <w:pPr>
        <w:pStyle w:val="Heading2"/>
        <w:spacing w:before="160" w:after="120"/>
      </w:pPr>
      <w:r>
        <w:rPr>
          <w:rFonts w:ascii="黑体" w:hAnsi="黑体" w:eastAsia="黑体"/>
          <w:b/>
        </w:rPr>
        <w:t>1.1 组队情况说明表</w:t>
      </w:r>
    </w:p>
    <w:tbl>
      <w:tblPr>
        <w:tblW w:type="auto" w:w="0"/>
        <w:jc w:val="center"/>
        <w:tblLook w:firstColumn="1" w:firstRow="1" w:lastColumn="0" w:lastRow="0" w:noHBand="0" w:noVBand="1" w:val="04A0"/>
      </w:tblPr>
      <w:tblGrid>
        <w:gridCol w:w="2268"/>
        <w:gridCol w:w="2268"/>
        <w:gridCol w:w="2268"/>
        <w:gridCol w:w="2268"/>
      </w:tblGrid>
      <w:tr>
        <w:tc>
          <w:tcPr>
            <w:tcW w:type="dxa" w:w="2268"/>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jc w:val="center"/>
            </w:pPr>
            <w:r>
              <w:rPr>
                <w:b/>
              </w:rPr>
              <w:t>成员</w:t>
            </w:r>
          </w:p>
        </w:tc>
        <w:tc>
          <w:tcPr>
            <w:tcW w:type="dxa" w:w="2268"/>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jc w:val="center"/>
            </w:pPr>
            <w:r>
              <w:rPr>
                <w:b/>
              </w:rPr>
              <w:t>团队身份</w:t>
            </w:r>
          </w:p>
        </w:tc>
        <w:tc>
          <w:tcPr>
            <w:tcW w:type="dxa" w:w="2268"/>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jc w:val="center"/>
            </w:pPr>
            <w:r>
              <w:rPr>
                <w:b/>
              </w:rPr>
              <w:t>主要职责</w:t>
            </w:r>
          </w:p>
        </w:tc>
        <w:tc>
          <w:tcPr>
            <w:tcW w:type="dxa" w:w="2268"/>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jc w:val="center"/>
            </w:pPr>
            <w:r>
              <w:rPr>
                <w:b/>
              </w:rPr>
              <w:t>成果落点</w:t>
            </w:r>
          </w:p>
        </w:tc>
      </w:tr>
      <w:tr>
        <w:tc>
          <w:tcPr>
            <w:tcW w:type="dxa" w:w="2268"/>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r>
              <w:t>张炎冰</w:t>
            </w:r>
          </w:p>
        </w:tc>
        <w:tc>
          <w:tcPr>
            <w:tcW w:type="dxa" w:w="2268"/>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r>
              <w:t>组长</w:t>
            </w:r>
          </w:p>
        </w:tc>
        <w:tc>
          <w:tcPr>
            <w:tcW w:type="dxa" w:w="2268"/>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r>
              <w:t>需求建模，需求负责人 / 系统分析负责人</w:t>
            </w:r>
          </w:p>
        </w:tc>
        <w:tc>
          <w:tcPr>
            <w:tcW w:type="dxa" w:w="2268"/>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r>
              <w:t>业务流程、用例分析、需求边界、系统分析材料</w:t>
            </w:r>
          </w:p>
        </w:tc>
      </w:tr>
      <w:tr>
        <w:tc>
          <w:tcPr>
            <w:tcW w:type="dxa" w:w="2268"/>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r>
              <w:t>余博涵</w:t>
            </w:r>
          </w:p>
        </w:tc>
        <w:tc>
          <w:tcPr>
            <w:tcW w:type="dxa" w:w="2268"/>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r>
              <w:t>数据建模负责人 / 后端负责人，开发负责人</w:t>
            </w:r>
          </w:p>
        </w:tc>
        <w:tc>
          <w:tcPr>
            <w:tcW w:type="dxa" w:w="2268"/>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r>
              <w:t>数据库建模、后端服务、接口实现、数据初始化、核心业务一致性</w:t>
            </w:r>
          </w:p>
        </w:tc>
        <w:tc>
          <w:tcPr>
            <w:tcW w:type="dxa" w:w="2268"/>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r>
              <w:t>模型文件、服务层函数、路由接口、自动化测试支撑</w:t>
            </w:r>
          </w:p>
        </w:tc>
      </w:tr>
      <w:tr>
        <w:tc>
          <w:tcPr>
            <w:tcW w:type="dxa" w:w="2268"/>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r>
              <w:t>吴洁</w:t>
            </w:r>
          </w:p>
        </w:tc>
        <w:tc>
          <w:tcPr>
            <w:tcW w:type="dxa" w:w="2268"/>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r>
              <w:t>前端负责人 / UI 设计负责人，开发负责人</w:t>
            </w:r>
          </w:p>
        </w:tc>
        <w:tc>
          <w:tcPr>
            <w:tcW w:type="dxa" w:w="2268"/>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r>
              <w:t>页面布局、交互设计、模板与静态脚本、运行界面完善</w:t>
            </w:r>
          </w:p>
        </w:tc>
        <w:tc>
          <w:tcPr>
            <w:tcW w:type="dxa" w:w="2268"/>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r>
              <w:t>Jinja2 模板、CSS/JS、页面截图与界面说明</w:t>
            </w:r>
          </w:p>
        </w:tc>
      </w:tr>
      <w:tr>
        <w:tc>
          <w:tcPr>
            <w:tcW w:type="dxa" w:w="2268"/>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r>
              <w:t>孙静静</w:t>
            </w:r>
          </w:p>
        </w:tc>
        <w:tc>
          <w:tcPr>
            <w:tcW w:type="dxa" w:w="2268"/>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r>
              <w:t>测试负责人 / 质量负责人</w:t>
            </w:r>
          </w:p>
        </w:tc>
        <w:tc>
          <w:tcPr>
            <w:tcW w:type="dxa" w:w="2268"/>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r>
              <w:t>测试用例、功能测试、异常路径检查、质量记录</w:t>
            </w:r>
          </w:p>
        </w:tc>
        <w:tc>
          <w:tcPr>
            <w:tcW w:type="dxa" w:w="2268"/>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r>
              <w:t>测试矩阵、pytest 用例、覆盖率结果、代码审查记录</w:t>
            </w:r>
          </w:p>
        </w:tc>
      </w:tr>
    </w:tbl>
    <w:p>
      <w:r>
        <w:rPr>
          <w:b w:val="0"/>
        </w:rPr>
        <w:t>团队协作的核心原则是：需求负责人先明确业务场景和功能边界，数据建模与后端负责人把业务对象落实为数据表、模型和服务函数，前端负责人把业务操作组织为可用页面，测试负责人再从正常流程、异常输入、权限控制和数据结果四个角度进行验证。</w:t>
      </w:r>
    </w:p>
    <w:p>
      <w:pPr>
        <w:pStyle w:val="Heading2"/>
        <w:spacing w:before="160" w:after="120"/>
      </w:pPr>
      <w:r>
        <w:rPr>
          <w:rFonts w:ascii="黑体" w:hAnsi="黑体" w:eastAsia="黑体"/>
          <w:b/>
        </w:rPr>
        <w:t>1.2 项目仓库与签入信息</w:t>
      </w:r>
    </w:p>
    <w:p>
      <w:r>
        <w:rPr>
          <w:b/>
          <w:color w:val="C00000"/>
          <w:sz w:val="24"/>
        </w:rPr>
        <w:t>项目代码仓库地址：https://gitee.com/mystar0923/supermarket-management-system</w:t>
      </w:r>
    </w:p>
    <w:p>
      <w:r>
        <w:rPr>
          <w:b w:val="0"/>
        </w:rPr>
        <w:t>签入用户名说明：余博涵使用 yubohann 进行主要后端和数据建模提交；吴洁使用 Musubit 提交前端与界面相关内容；张炎冰和孙静静分别以本人姓名提交需求分析、测试和质量材料。</w:t>
      </w:r>
    </w:p>
    <w:p w14:paraId="3682FBB7">
      <w:pPr>
        <w:pStyle w:val="Heading2"/>
        <w:keepNext/>
        <w:shd w:val="clear" w:fill="1F4E79"/>
        <w:spacing w:before="220" w:after="160" w:line="360" w:lineRule="auto"/>
        <w:outlineLvl w:val="0"/>
        <w:rPr>
          <w:rFonts w:hint="eastAsia" w:ascii="宋体" w:hAnsi="宋体" w:eastAsia="宋体" w:cs="宋体"/>
        </w:rPr>
      </w:pPr>
      <w:r>
        <w:rPr>
          <w:rFonts w:hint="eastAsia" w:ascii="宋体" w:hAnsi="宋体" w:eastAsia="宋体" w:cs="宋体"/>
          <w:b/>
          <w:bCs/>
          <w:color w:val="FFFFFF"/>
          <w:sz w:val="28"/>
          <w:szCs w:val="28"/>
        </w:rPr>
        <w:t>1.3 项目背景、范围与启动调研</w:t>
      </w:r>
    </w:p>
    <w:p w14:paraId="384C9F77">
      <w:pPr>
        <w:pStyle w:val="Heading3"/>
        <w:spacing w:after="120" w:line="324" w:lineRule="auto"/>
        <w:ind w:firstLine="420"/>
        <w:rPr>
          <w:rFonts w:hint="eastAsia" w:ascii="宋体" w:hAnsi="宋体" w:eastAsia="宋体" w:cs="宋体"/>
        </w:rPr>
      </w:pPr>
      <w:r>
        <w:rPr>
          <w:rFonts w:hint="eastAsia" w:ascii="宋体" w:hAnsi="宋体" w:eastAsia="宋体" w:cs="宋体"/>
          <w:b/>
          <w:sz w:val="21"/>
        </w:rPr>
        <w:t>1.3.1 项目综述与启动调研</w:t>
      </w:r>
    </w:p>
    <w:p w14:paraId="52DF11A9">
      <w:pPr>
        <w:spacing w:after="120" w:line="360" w:lineRule="auto"/>
        <w:ind w:firstLine="440"/>
        <w:rPr>
          <w:rFonts w:hint="eastAsia" w:ascii="宋体" w:hAnsi="宋体" w:eastAsia="宋体" w:cs="宋体"/>
        </w:rPr>
      </w:pPr>
      <w:r>
        <w:rPr>
          <w:rFonts w:ascii="宋体" w:hAnsi="宋体" w:eastAsia="宋体"/>
          <w:b w:val="0"/>
          <w:sz w:val="22"/>
        </w:rPr>
        <w:t>本项目的建设对象是面向中小型超市门店的管理系统，系统目标不是单独完成某一个页面或某一个功能按钮，而是把门店日常经营中最核心的商品、库存、销售、财务和人员协作串成一条可追溯的数据链路。超市业务的特点是数据发生频率高、金额和数量都需要准确、不同岗位之间存在明显交接关系。商品资料维护错误会影响收银检索，库存记录滞后会影响销售判断，销售金额不准确会影响日结对账，财务记录缺失又会影响经营分析。因此，本系统在分析阶段重点关注业务闭环：商品主数据要能支撑收银，销售结果要能影响库存和财务，财务数据要能反映门店经营状态。</w:t>
      </w:r>
    </w:p>
    <w:p w14:paraId="17394816">
      <w:pPr>
        <w:spacing w:after="120" w:line="360" w:lineRule="auto"/>
        <w:ind w:firstLine="440"/>
        <w:rPr>
          <w:rFonts w:hint="eastAsia" w:ascii="宋体" w:hAnsi="宋体" w:eastAsia="宋体" w:cs="宋体"/>
        </w:rPr>
      </w:pPr>
      <w:r>
        <w:rPr>
          <w:rFonts w:ascii="宋体" w:hAnsi="宋体" w:eastAsia="宋体"/>
          <w:b w:val="0"/>
          <w:sz w:val="22"/>
        </w:rPr>
        <w:t>从系统边界看，本项目面向单门店超市的日常经营管理，浏览器作为用户操作入口，Flask 应用作为业务处理中心，SQLite 数据库作为本地持久化存储。系统暂不引入多门店分布式部署、复杂促销引擎和外部支付平台直连，而是优先保证商品主数据、库存流水、收银结算、销售查询、财务日结、公告通知、经营分析和二期主数据管理等核心功能稳定可用。这样的边界设置能够控制系统规模，也能让业务流程、数据结构和代码实现保持清晰。</w:t>
      </w:r>
    </w:p>
    <w:p w14:paraId="15BBDC02">
      <w:pPr>
        <w:spacing w:after="120" w:line="324" w:lineRule="auto"/>
        <w:ind w:firstLine="420"/>
        <w:rPr>
          <w:rFonts w:hint="eastAsia" w:ascii="宋体" w:hAnsi="宋体" w:eastAsia="宋体" w:cs="宋体"/>
        </w:rPr>
      </w:pPr>
      <w:r>
        <w:rPr>
          <w:rFonts w:hint="eastAsia" w:ascii="宋体" w:hAnsi="宋体" w:eastAsia="宋体" w:cs="宋体"/>
          <w:b w:val="0"/>
          <w:sz w:val="21"/>
        </w:rPr>
        <w:t>调研方法采用“角色访谈 + 场景拆解 + 数据追踪”的方式。角色访谈用于确认不同用户真正关心的内容：管理员关注商品、库存、财务、公告、系统参数和权限；收银员关注商品快速检索、购物车、库存是否足够、支付方式和结算反馈；店长关注销售趋势、热销商品、低库存风险和日结差异；采购或库管关注供应商、入库、盘点和库存调整。场景拆解用于把这些关注点拆成流程，例如销售收银、采购入库、库存盘点、退货退款、低库存补货、会员积分、班次交接、商品调价、管理员注册审核、商品批量导入、财务日结和公告阅读。数据追踪用于继续向下分析每个流程会影响哪些表、哪些服务函数、哪些页面状态和哪些测试用例。</w:t>
      </w:r>
    </w:p>
    <w:p w14:paraId="39F23D63">
      <w:pPr>
        <w:spacing w:after="120" w:line="324" w:lineRule="auto"/>
        <w:ind w:firstLine="420"/>
        <w:rPr>
          <w:rFonts w:hint="eastAsia" w:ascii="宋体" w:hAnsi="宋体" w:eastAsia="宋体" w:cs="宋体"/>
        </w:rPr>
      </w:pPr>
      <w:r>
        <w:rPr>
          <w:rFonts w:hint="eastAsia" w:ascii="宋体" w:hAnsi="宋体" w:eastAsia="宋体" w:cs="宋体"/>
          <w:b w:val="0"/>
          <w:sz w:val="21"/>
        </w:rPr>
        <w:t>在项目范围控制上，本系统采用“先核心链路，后二期扩展”的策略。一期核心链路包括商品管理、库存管理、收银台、销售管理、财务管理、经营分析、公告管理和智能助手。选择这些模块优先实现，是因为它们构成超市经营最基本的数据闭环：商品被维护后进入库存，库存被收银结算扣减，销售单形成收入依据，收入进入财务对账，经营分析再从销售和库存数据中提取趋势。二期扩展包括会员管理、员工管理、供应商管理和系统管理，用于覆盖《软件开发与管理》课程设计要求，也让系统从单纯的商品库存工具扩展为更完整的门店管理系统。</w:t>
      </w:r>
    </w:p>
    <w:p w14:paraId="5296E6C7">
      <w:pPr>
        <w:spacing w:after="120" w:line="360" w:lineRule="auto"/>
        <w:ind w:firstLine="440"/>
        <w:rPr>
          <w:rFonts w:hint="eastAsia" w:ascii="宋体" w:hAnsi="宋体" w:eastAsia="宋体" w:cs="宋体"/>
        </w:rPr>
      </w:pPr>
      <w:r>
        <w:rPr>
          <w:rFonts w:ascii="宋体" w:hAnsi="宋体" w:eastAsia="宋体"/>
          <w:b w:val="0"/>
          <w:sz w:val="22"/>
        </w:rPr>
        <w:t>团队分工围绕系统功能展开。项目经理负责计划统筹、核心业务服务和数据库一致性；系统分析师负责需求建模、用例说明和测试场景梳理；系统构架师负责技术方案、页面结构、前端脚本和运行说明；业务调研角色负责流程梳理、报告材料和界面设计。这样的分工不是为了形式化填写角色表，而是为了让需求、数据、后端、前端和测试之间保持对应关系，减少后期出现流程描述、页面实现和服务逻辑不一致的情况。</w:t>
      </w:r>
    </w:p>
    <w:p w14:paraId="195C5DD2">
      <w:pPr>
        <w:spacing w:after="120" w:line="360" w:lineRule="auto"/>
        <w:ind w:firstLine="440"/>
        <w:rPr>
          <w:rFonts w:hint="eastAsia" w:ascii="宋体" w:hAnsi="宋体" w:eastAsia="宋体" w:cs="宋体"/>
        </w:rPr>
      </w:pPr>
      <w:r>
        <w:rPr>
          <w:rFonts w:ascii="宋体" w:hAnsi="宋体" w:eastAsia="宋体"/>
          <w:b w:val="0"/>
          <w:sz w:val="22"/>
        </w:rPr>
        <w:t>可行性分析方面，技术可行性来自 Flask、SQLAlchemy、SQLite、Jinja2 和静态 JavaScript 的组合。Flask 足够轻量，适合课程项目快速搭建；SQLAlchemy 能把数据表映射为模型，方便说明数据建模与代码实现的关系；SQLite 不需要额外数据库服务器，适合本地运行；Jinja2 模板可以复用基础布局，保证页面风格一致；静态 JavaScript 能处理搜索、弹窗、表单提交、购物车和图表交互。经济可行性方面，项目使用开源技术和本机环境，没有额外采购成本。操作可行性方面，系统通过浏览器访问，管理员和收银员账号区分清楚，页面操作以表格、筛选、按钮和弹窗为主，符合门店管理人员的使用习惯。</w:t>
      </w:r>
    </w:p>
    <w:p w14:paraId="3D13A858">
      <w:pPr>
        <w:spacing w:after="120" w:line="360" w:lineRule="auto"/>
        <w:ind w:firstLine="440"/>
        <w:rPr>
          <w:rFonts w:hint="eastAsia" w:ascii="宋体" w:hAnsi="宋体" w:eastAsia="宋体" w:cs="宋体"/>
        </w:rPr>
      </w:pPr>
      <w:r>
        <w:rPr>
          <w:rFonts w:ascii="宋体" w:hAnsi="宋体" w:eastAsia="宋体"/>
          <w:b w:val="0"/>
          <w:sz w:val="22"/>
        </w:rPr>
        <w:t>风险控制主要分为需求风险、实现风险、测试风险和维护风险。需求风险表现为业务流程与实际页面不一致，因此每个核心模块都尽量映射到页面、路由、服务和模型文件；实现风险表现为库存、销售、财务之间的数据不一致，因此收银结算、库存调整和财务对账都放到服务层处理，并通过事务和测试验证；测试风险表现为只做页面操作但缺少服务层验证，因此项目补充了 tests 目录，并把 coverage fail_under 设置为 100；维护风险表现为图表、代码和说明材料分散，因此项目按 reports、docs、tests、supermarket-management-diagrams 和 drawio 可编辑目录分类保存。</w:t>
      </w:r>
    </w:p>
    <w:p w14:paraId="646D5A91">
      <w:pPr>
        <w:spacing w:after="120" w:line="360" w:lineRule="auto"/>
        <w:ind w:firstLine="440"/>
        <w:rPr>
          <w:rFonts w:hint="eastAsia" w:ascii="宋体" w:hAnsi="宋体" w:eastAsia="宋体" w:cs="宋体"/>
        </w:rPr>
      </w:pPr>
      <w:r>
        <w:rPr>
          <w:rFonts w:ascii="宋体" w:hAnsi="宋体" w:eastAsia="宋体"/>
          <w:b w:val="0"/>
          <w:sz w:val="22"/>
        </w:rPr>
        <w:t>项目启动阶段还需要说明为什么不把所有功能一次性做复杂。课程项目的关键不是堆叠功能数量，而是说明系统分析、系统设计和系统实施之间存在一致链路。例如会员积分流程如果只画图但没有会员模型和积分服务，就会停留在纸面设计；供应商管理如果只有页面但没有数据表和服务函数，也无法支撑真实业务。因此本项目在补充二期模块时同步补了模型、服务、路由、页面、脚本和测试，使一个功能能够从需求描述延伸到数据库、接口、界面和验证结果。</w:t>
      </w:r>
    </w:p>
    <w:p w14:paraId="26B356CE">
      <w:pPr>
        <w:spacing w:after="120" w:line="360" w:lineRule="auto"/>
        <w:ind w:firstLine="440"/>
        <w:rPr>
          <w:rFonts w:hint="eastAsia" w:ascii="宋体" w:hAnsi="宋体" w:eastAsia="宋体" w:cs="宋体"/>
        </w:rPr>
      </w:pPr>
      <w:r>
        <w:t>综合来看，本系统的启动管理结论是：项目目标明确，技术路线可执行，团队分工能够覆盖主要建设任务，核心业务链路具备实现和验证基础。后续系统设计围绕这一结论展开，不只描述系统有哪些图和页面，还要说明每一类图为什么存在、每个模块如何落地、异常条件如何处理、测试如何保证结果可靠。这样报告的论述重点才会从“列清单”提升到“讲清系统分析与设计过程”。</w:t>
      </w:r>
    </w:p>
    <w:p w14:paraId="75143AFD">
      <w:pPr>
        <w:spacing w:before="0" w:after="105" w:line="330" w:lineRule="auto"/>
        <w:ind w:firstLine="420"/>
        <w:rPr>
          <w:rFonts w:hint="eastAsia" w:ascii="宋体" w:hAnsi="宋体" w:eastAsia="宋体" w:cs="宋体"/>
        </w:rPr>
      </w:pPr>
      <w:r>
        <w:rPr>
          <w:rFonts w:hint="eastAsia" w:ascii="宋体" w:hAnsi="宋体" w:eastAsia="宋体" w:cs="宋体"/>
          <w:sz w:val="22"/>
          <w:szCs w:val="22"/>
        </w:rPr>
        <w:t>本系统面向超市门店后台管理和收银业务，当前仓库实现了账号权限、商品、库存、收银、销售、财务、经营分析、公告和智能助手等模块。报告正文只写仓库中有源码、SQL、页面模板或图表支撑的内容。</w:t>
      </w:r>
    </w:p>
    <w:tbl>
      <w:tblPr>
        <w:tblStyle w:val="2"/>
        <w:tblW w:w="9026" w:type="dxa"/>
        <w:tblInd w:w="0" w:type="dxa"/>
        <w:tblBorders>
          <w:top w:val="single" w:color="999999" w:sz="4" w:space="0"/>
          <w:left w:val="single" w:color="999999" w:sz="4" w:space="0"/>
          <w:bottom w:val="single" w:color="999999" w:sz="4" w:space="0"/>
          <w:right w:val="single" w:color="999999" w:sz="4" w:space="0"/>
          <w:insideH w:val="single" w:color="BBBBBB" w:sz="4" w:space="0"/>
          <w:insideV w:val="single" w:color="BBBBBB" w:sz="4" w:space="0"/>
        </w:tblBorders>
        <w:tblLayout w:type="autofit"/>
        <w:tblCellMar>
          <w:top w:w="70" w:type="dxa"/>
          <w:left w:w="90" w:type="dxa"/>
          <w:bottom w:w="70" w:type="dxa"/>
          <w:right w:w="90" w:type="dxa"/>
        </w:tblCellMar>
      </w:tblPr>
      <w:tblGrid>
        <w:gridCol w:w="1905"/>
        <w:gridCol w:w="7121"/>
      </w:tblGrid>
      <w:tr w14:paraId="02F94B98">
        <w:tblPrEx>
          <w:tblBorders>
            <w:top w:val="single" w:color="999999" w:sz="4" w:space="0"/>
            <w:left w:val="single" w:color="999999" w:sz="4" w:space="0"/>
            <w:bottom w:val="single" w:color="999999" w:sz="4" w:space="0"/>
            <w:right w:val="single" w:color="999999" w:sz="4" w:space="0"/>
            <w:insideH w:val="single" w:color="BBBBBB" w:sz="4" w:space="0"/>
            <w:insideV w:val="single" w:color="BBBBBB" w:sz="4" w:space="0"/>
          </w:tblBorders>
          <w:tblCellMar>
            <w:top w:w="70" w:type="dxa"/>
            <w:left w:w="90" w:type="dxa"/>
            <w:bottom w:w="70" w:type="dxa"/>
            <w:right w:w="90" w:type="dxa"/>
          </w:tblCellMar>
        </w:tblPrEx>
        <w:tc>
          <w:tcPr>
            <w:tcW w:w="1900" w:type="dxa"/>
            <w:shd w:val="clear" w:color="auto" w:fill="D9EAF7"/>
          </w:tcPr>
          <w:p w14:paraId="0A7E45ED">
            <w:pPr>
              <w:spacing w:before="0" w:after="35" w:line="270" w:lineRule="auto"/>
              <w:rPr>
                <w:rFonts w:hint="eastAsia" w:ascii="宋体" w:hAnsi="宋体" w:eastAsia="宋体" w:cs="宋体"/>
              </w:rPr>
            </w:pPr>
            <w:r>
              <w:rPr>
                <w:rFonts w:hint="eastAsia" w:ascii="宋体" w:hAnsi="宋体" w:eastAsia="宋体" w:cs="宋体"/>
                <w:b/>
                <w:bCs/>
                <w:color w:val="1F4E79"/>
                <w:sz w:val="18"/>
                <w:szCs w:val="18"/>
              </w:rPr>
              <w:t>调查项</w:t>
            </w:r>
          </w:p>
        </w:tc>
        <w:tc>
          <w:tcPr>
            <w:tcW w:w="7100" w:type="dxa"/>
            <w:shd w:val="clear" w:color="auto" w:fill="D9EAF7"/>
          </w:tcPr>
          <w:p w14:paraId="686C0A40">
            <w:pPr>
              <w:spacing w:before="0" w:after="35" w:line="270" w:lineRule="auto"/>
              <w:rPr>
                <w:rFonts w:hint="eastAsia" w:ascii="宋体" w:hAnsi="宋体" w:eastAsia="宋体" w:cs="宋体"/>
              </w:rPr>
            </w:pPr>
            <w:r>
              <w:rPr>
                <w:rFonts w:hint="eastAsia" w:ascii="宋体" w:hAnsi="宋体" w:eastAsia="宋体" w:cs="宋体"/>
                <w:b/>
                <w:bCs/>
                <w:color w:val="1F4E79"/>
                <w:sz w:val="18"/>
                <w:szCs w:val="18"/>
              </w:rPr>
              <w:t>结论</w:t>
            </w:r>
          </w:p>
        </w:tc>
      </w:tr>
      <w:tr w14:paraId="65B3BF3B">
        <w:tblPrEx>
          <w:tblBorders>
            <w:top w:val="single" w:color="999999" w:sz="4" w:space="0"/>
            <w:left w:val="single" w:color="999999" w:sz="4" w:space="0"/>
            <w:bottom w:val="single" w:color="999999" w:sz="4" w:space="0"/>
            <w:right w:val="single" w:color="999999" w:sz="4" w:space="0"/>
            <w:insideH w:val="single" w:color="BBBBBB" w:sz="4" w:space="0"/>
            <w:insideV w:val="single" w:color="BBBBBB" w:sz="4" w:space="0"/>
          </w:tblBorders>
          <w:tblCellMar>
            <w:top w:w="70" w:type="dxa"/>
            <w:left w:w="90" w:type="dxa"/>
            <w:bottom w:w="70" w:type="dxa"/>
            <w:right w:w="90" w:type="dxa"/>
          </w:tblCellMar>
        </w:tblPrEx>
        <w:tc>
          <w:tcPr>
            <w:tcW w:w="1900" w:type="dxa"/>
          </w:tcPr>
          <w:p w14:paraId="6C179239">
            <w:pPr>
              <w:spacing w:before="0" w:after="35" w:line="270" w:lineRule="auto"/>
              <w:rPr>
                <w:rFonts w:hint="eastAsia" w:ascii="宋体" w:hAnsi="宋体" w:eastAsia="宋体" w:cs="宋体"/>
              </w:rPr>
            </w:pPr>
            <w:r>
              <w:rPr>
                <w:rFonts w:hint="eastAsia" w:ascii="宋体" w:hAnsi="宋体" w:eastAsia="宋体" w:cs="宋体"/>
                <w:sz w:val="18"/>
                <w:szCs w:val="18"/>
              </w:rPr>
              <w:t>系统边界</w:t>
            </w:r>
          </w:p>
        </w:tc>
        <w:tc>
          <w:tcPr>
            <w:tcW w:w="7100" w:type="dxa"/>
          </w:tcPr>
          <w:p w14:paraId="0996C73E">
            <w:pPr>
              <w:spacing w:before="0" w:after="35" w:line="270" w:lineRule="auto"/>
              <w:rPr>
                <w:rFonts w:hint="eastAsia" w:ascii="宋体" w:hAnsi="宋体" w:eastAsia="宋体" w:cs="宋体"/>
              </w:rPr>
            </w:pPr>
            <w:r>
              <w:rPr>
                <w:rFonts w:hint="eastAsia" w:ascii="宋体" w:hAnsi="宋体" w:eastAsia="宋体" w:cs="宋体"/>
                <w:sz w:val="18"/>
                <w:szCs w:val="18"/>
              </w:rPr>
              <w:t>门店员工通过浏览器访问 Flask/Jinja2 页面，后端使用 SQLAlchemy 操作 SQLite 数据库，可选接入 LLM 智能助手。</w:t>
            </w:r>
          </w:p>
        </w:tc>
      </w:tr>
      <w:tr w14:paraId="5BB3933A">
        <w:tblPrEx>
          <w:tblBorders>
            <w:top w:val="single" w:color="999999" w:sz="4" w:space="0"/>
            <w:left w:val="single" w:color="999999" w:sz="4" w:space="0"/>
            <w:bottom w:val="single" w:color="999999" w:sz="4" w:space="0"/>
            <w:right w:val="single" w:color="999999" w:sz="4" w:space="0"/>
            <w:insideH w:val="single" w:color="BBBBBB" w:sz="4" w:space="0"/>
            <w:insideV w:val="single" w:color="BBBBBB" w:sz="4" w:space="0"/>
          </w:tblBorders>
          <w:tblCellMar>
            <w:top w:w="70" w:type="dxa"/>
            <w:left w:w="90" w:type="dxa"/>
            <w:bottom w:w="70" w:type="dxa"/>
            <w:right w:w="90" w:type="dxa"/>
          </w:tblCellMar>
        </w:tblPrEx>
        <w:tc>
          <w:tcPr>
            <w:tcW w:w="1900" w:type="dxa"/>
            <w:shd w:val="clear" w:color="auto" w:fill="F7FBFF"/>
          </w:tcPr>
          <w:p w14:paraId="2AFAB561">
            <w:pPr>
              <w:spacing w:before="0" w:after="35" w:line="270" w:lineRule="auto"/>
              <w:rPr>
                <w:rFonts w:hint="eastAsia" w:ascii="宋体" w:hAnsi="宋体" w:eastAsia="宋体" w:cs="宋体"/>
              </w:rPr>
            </w:pPr>
            <w:r>
              <w:rPr>
                <w:rFonts w:hint="eastAsia" w:ascii="宋体" w:hAnsi="宋体" w:eastAsia="宋体" w:cs="宋体"/>
                <w:sz w:val="18"/>
                <w:szCs w:val="18"/>
              </w:rPr>
              <w:t>核心角色</w:t>
            </w:r>
          </w:p>
        </w:tc>
        <w:tc>
          <w:tcPr>
            <w:tcW w:w="7100" w:type="dxa"/>
            <w:shd w:val="clear" w:color="auto" w:fill="F7FBFF"/>
          </w:tcPr>
          <w:p w14:paraId="78CB460C">
            <w:pPr>
              <w:spacing w:before="0" w:after="35" w:line="270" w:lineRule="auto"/>
              <w:rPr>
                <w:rFonts w:hint="eastAsia" w:ascii="宋体" w:hAnsi="宋体" w:eastAsia="宋体" w:cs="宋体"/>
              </w:rPr>
            </w:pPr>
            <w:r>
              <w:rPr>
                <w:rFonts w:hint="eastAsia" w:ascii="宋体" w:hAnsi="宋体" w:eastAsia="宋体" w:cs="宋体"/>
                <w:sz w:val="18"/>
                <w:szCs w:val="18"/>
              </w:rPr>
              <w:t>管理员负责商品、库存、销售、财务、公告、分析和权限；收银员负责收银台与销售单据；设计图中补充采购员、库管员、店长等业务角色。</w:t>
            </w:r>
          </w:p>
        </w:tc>
      </w:tr>
      <w:tr w14:paraId="1DC5D961">
        <w:tblPrEx>
          <w:tblBorders>
            <w:top w:val="single" w:color="999999" w:sz="4" w:space="0"/>
            <w:left w:val="single" w:color="999999" w:sz="4" w:space="0"/>
            <w:bottom w:val="single" w:color="999999" w:sz="4" w:space="0"/>
            <w:right w:val="single" w:color="999999" w:sz="4" w:space="0"/>
            <w:insideH w:val="single" w:color="BBBBBB" w:sz="4" w:space="0"/>
            <w:insideV w:val="single" w:color="BBBBBB" w:sz="4" w:space="0"/>
          </w:tblBorders>
          <w:tblCellMar>
            <w:top w:w="70" w:type="dxa"/>
            <w:left w:w="90" w:type="dxa"/>
            <w:bottom w:w="70" w:type="dxa"/>
            <w:right w:w="90" w:type="dxa"/>
          </w:tblCellMar>
        </w:tblPrEx>
        <w:tc>
          <w:tcPr>
            <w:tcW w:w="1900" w:type="dxa"/>
          </w:tcPr>
          <w:p w14:paraId="3A7A2548">
            <w:pPr>
              <w:spacing w:before="0" w:after="35" w:line="270" w:lineRule="auto"/>
              <w:rPr>
                <w:rFonts w:hint="eastAsia" w:ascii="宋体" w:hAnsi="宋体" w:eastAsia="宋体" w:cs="宋体"/>
              </w:rPr>
            </w:pPr>
            <w:r>
              <w:rPr>
                <w:rFonts w:hint="eastAsia" w:ascii="宋体" w:hAnsi="宋体" w:eastAsia="宋体" w:cs="宋体"/>
                <w:sz w:val="18"/>
                <w:szCs w:val="18"/>
              </w:rPr>
              <w:t>主要业务</w:t>
            </w:r>
          </w:p>
        </w:tc>
        <w:tc>
          <w:tcPr>
            <w:tcW w:w="7100" w:type="dxa"/>
          </w:tcPr>
          <w:p w14:paraId="1F3C7B71">
            <w:pPr>
              <w:spacing w:before="0" w:after="35" w:line="270" w:lineRule="auto"/>
              <w:rPr>
                <w:rFonts w:hint="eastAsia" w:ascii="宋体" w:hAnsi="宋体" w:eastAsia="宋体" w:cs="宋体"/>
              </w:rPr>
            </w:pPr>
            <w:r>
              <w:rPr>
                <w:rFonts w:hint="eastAsia" w:ascii="宋体" w:hAnsi="宋体" w:eastAsia="宋体" w:cs="宋体"/>
                <w:sz w:val="18"/>
                <w:szCs w:val="18"/>
              </w:rPr>
              <w:t>商品维护、库存预警、收银结算、销售查询、财务日结、公告通知、经营分析、智能问答。</w:t>
            </w:r>
          </w:p>
        </w:tc>
      </w:tr>
      <w:tr w14:paraId="08C02E6B">
        <w:tblPrEx>
          <w:tblBorders>
            <w:top w:val="single" w:color="999999" w:sz="4" w:space="0"/>
            <w:left w:val="single" w:color="999999" w:sz="4" w:space="0"/>
            <w:bottom w:val="single" w:color="999999" w:sz="4" w:space="0"/>
            <w:right w:val="single" w:color="999999" w:sz="4" w:space="0"/>
            <w:insideH w:val="single" w:color="BBBBBB" w:sz="4" w:space="0"/>
            <w:insideV w:val="single" w:color="BBBBBB" w:sz="4" w:space="0"/>
          </w:tblBorders>
          <w:tblCellMar>
            <w:top w:w="70" w:type="dxa"/>
            <w:left w:w="90" w:type="dxa"/>
            <w:bottom w:w="70" w:type="dxa"/>
            <w:right w:w="90" w:type="dxa"/>
          </w:tblCellMar>
        </w:tblPrEx>
        <w:tc>
          <w:tcPr>
            <w:tcW w:w="1900" w:type="dxa"/>
            <w:shd w:val="clear" w:color="auto" w:fill="F7FBFF"/>
          </w:tcPr>
          <w:p w14:paraId="4A33E18E">
            <w:pPr>
              <w:spacing w:before="0" w:after="35" w:line="270" w:lineRule="auto"/>
              <w:rPr>
                <w:rFonts w:hint="eastAsia" w:ascii="宋体" w:hAnsi="宋体" w:eastAsia="宋体" w:cs="宋体"/>
              </w:rPr>
            </w:pPr>
            <w:r>
              <w:rPr>
                <w:rFonts w:hint="eastAsia" w:ascii="宋体" w:hAnsi="宋体" w:eastAsia="宋体" w:cs="宋体"/>
                <w:sz w:val="18"/>
                <w:szCs w:val="18"/>
              </w:rPr>
              <w:t>约束条件</w:t>
            </w:r>
          </w:p>
        </w:tc>
        <w:tc>
          <w:tcPr>
            <w:tcW w:w="7100" w:type="dxa"/>
            <w:shd w:val="clear" w:color="auto" w:fill="F7FBFF"/>
          </w:tcPr>
          <w:p w14:paraId="192CE027">
            <w:pPr>
              <w:spacing w:before="0" w:after="35" w:line="270" w:lineRule="auto"/>
              <w:rPr>
                <w:rFonts w:hint="eastAsia" w:ascii="宋体" w:hAnsi="宋体" w:eastAsia="宋体" w:cs="宋体"/>
              </w:rPr>
            </w:pPr>
            <w:r>
              <w:rPr>
                <w:rFonts w:hint="eastAsia" w:ascii="宋体" w:hAnsi="宋体" w:eastAsia="宋体" w:cs="宋体"/>
                <w:sz w:val="18"/>
                <w:szCs w:val="18"/>
              </w:rPr>
              <w:t>仓库未提交自动化单元测试与功能测试源码，因此测试部分按测试用例设计和覆盖矩阵呈现，不伪造不存在的测试代码。</w:t>
            </w:r>
          </w:p>
        </w:tc>
      </w:tr>
    </w:tbl>
    <w:p w14:paraId="5F991F41">
      <w:pPr>
        <w:spacing w:before="0" w:after="70" w:line="360" w:lineRule="auto"/>
        <w:rPr>
          <w:rFonts w:hint="eastAsia" w:ascii="宋体" w:hAnsi="宋体" w:eastAsia="宋体" w:cs="宋体"/>
        </w:rPr>
      </w:pPr>
    </w:p>
    <w:p w14:paraId="744D5771">
      <w:pPr>
        <w:spacing w:before="75" w:after="30"/>
        <w:jc w:val="center"/>
        <w:rPr>
          <w:rFonts w:hint="eastAsia" w:ascii="宋体" w:hAnsi="宋体" w:eastAsia="宋体" w:cs="宋体"/>
        </w:rPr>
      </w:pPr>
      <w:r>
        <w:rPr>
          <w:rFonts w:hint="eastAsia" w:ascii="宋体" w:hAnsi="宋体" w:eastAsia="宋体" w:cs="宋体"/>
        </w:rPr>
        <w:drawing>
          <wp:inline distT="0" distB="0" distL="0" distR="0">
            <wp:extent cx="6035040" cy="3822065"/>
            <wp:effectExtent l="0" t="0" r="0" b="0"/>
            <wp:docPr id="1" name="report_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eport_image1.png"/>
                    <pic:cNvPicPr>
                      <a:picLocks noChangeAspect="1"/>
                    </pic:cNvPicPr>
                  </pic:nvPicPr>
                  <pic:blipFill>
                    <a:blip r:embed="rId6"/>
                    <a:stretch>
                      <a:fillRect/>
                    </a:stretch>
                  </pic:blipFill>
                  <pic:spPr>
                    <a:xfrm>
                      <a:off x="0" y="0"/>
                      <a:ext cx="6035040" cy="3822118"/>
                    </a:xfrm>
                    <a:prstGeom prst="rect">
                      <a:avLst/>
                    </a:prstGeom>
                  </pic:spPr>
                </pic:pic>
              </a:graphicData>
            </a:graphic>
          </wp:inline>
        </w:drawing>
      </w:r>
    </w:p>
    <w:p w14:paraId="7F7A3686">
      <w:pPr>
        <w:spacing w:before="0" w:after="110" w:line="250" w:lineRule="auto"/>
        <w:jc w:val="center"/>
        <w:rPr>
          <w:rFonts w:hint="eastAsia" w:ascii="宋体" w:hAnsi="宋体" w:eastAsia="宋体" w:cs="宋体"/>
        </w:rPr>
      </w:pPr>
      <w:r>
        <w:rPr>
          <w:rFonts w:hint="eastAsia" w:ascii="宋体" w:hAnsi="宋体" w:eastAsia="宋体" w:cs="宋体"/>
          <w:i/>
          <w:iCs/>
          <w:sz w:val="17"/>
          <w:szCs w:val="17"/>
        </w:rPr>
        <w:t>图1  系统上下文图</w:t>
      </w:r>
    </w:p>
    <w:p w14:paraId="0C04FA1D">
      <w:pPr>
        <w:spacing w:before="75" w:after="30"/>
        <w:jc w:val="center"/>
        <w:rPr>
          <w:rFonts w:hint="eastAsia" w:ascii="宋体" w:hAnsi="宋体" w:eastAsia="宋体" w:cs="宋体"/>
        </w:rPr>
      </w:pPr>
      <w:r>
        <w:rPr>
          <w:rFonts w:hint="eastAsia" w:ascii="宋体" w:hAnsi="宋体" w:eastAsia="宋体" w:cs="宋体"/>
        </w:rPr>
        <w:drawing>
          <wp:inline distT="0" distB="0" distL="0" distR="0">
            <wp:extent cx="6035040" cy="3435985"/>
            <wp:effectExtent l="0" t="0" r="0" b="0"/>
            <wp:docPr id="2" name="report_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eport_image2.png"/>
                    <pic:cNvPicPr>
                      <a:picLocks noChangeAspect="1"/>
                    </pic:cNvPicPr>
                  </pic:nvPicPr>
                  <pic:blipFill>
                    <a:blip r:embed="rId7"/>
                    <a:stretch>
                      <a:fillRect/>
                    </a:stretch>
                  </pic:blipFill>
                  <pic:spPr>
                    <a:xfrm>
                      <a:off x="0" y="0"/>
                      <a:ext cx="6035040" cy="3436189"/>
                    </a:xfrm>
                    <a:prstGeom prst="rect">
                      <a:avLst/>
                    </a:prstGeom>
                  </pic:spPr>
                </pic:pic>
              </a:graphicData>
            </a:graphic>
          </wp:inline>
        </w:drawing>
      </w:r>
    </w:p>
    <w:p w14:paraId="6D5A744A">
      <w:pPr>
        <w:spacing w:before="0" w:after="110" w:line="250" w:lineRule="auto"/>
        <w:jc w:val="center"/>
        <w:rPr>
          <w:rFonts w:hint="eastAsia" w:ascii="宋体" w:hAnsi="宋体" w:eastAsia="宋体" w:cs="宋体"/>
        </w:rPr>
      </w:pPr>
      <w:r>
        <w:rPr>
          <w:rFonts w:hint="eastAsia" w:ascii="宋体" w:hAnsi="宋体" w:eastAsia="宋体" w:cs="宋体"/>
          <w:i/>
          <w:iCs/>
          <w:sz w:val="17"/>
          <w:szCs w:val="17"/>
        </w:rPr>
        <w:t>图2  角色与职责图</w:t>
      </w:r>
    </w:p>
    <w:p w14:paraId="3F1BA9D9">
      <w:pPr>
        <w:pStyle w:val="Heading2"/>
        <w:keepNext/>
        <w:pBdr>
          <w:left w:val="single" w:color="2F75B5" w:sz="12" w:space="6"/>
        </w:pBdr>
        <w:spacing w:before="220" w:after="100" w:line="360" w:lineRule="auto"/>
        <w:outlineLvl w:val="1"/>
        <w:rPr>
          <w:rFonts w:hint="eastAsia" w:ascii="宋体" w:hAnsi="宋体" w:eastAsia="宋体" w:cs="宋体"/>
        </w:rPr>
      </w:pPr>
      <w:r>
        <w:rPr>
          <w:rFonts w:hint="eastAsia" w:ascii="宋体" w:hAnsi="宋体" w:eastAsia="宋体" w:cs="宋体"/>
          <w:b/>
          <w:bCs/>
          <w:color w:val="1F4E79"/>
          <w:sz w:val="25"/>
          <w:szCs w:val="25"/>
        </w:rPr>
        <w:t>1.4 团队角色与职责补充说明</w:t>
      </w:r>
    </w:p>
    <w:tbl>
      <w:tblPr>
        <w:tblStyle w:val="2"/>
        <w:tblW w:w="9026" w:type="dxa"/>
        <w:tblInd w:w="0" w:type="dxa"/>
        <w:tblBorders>
          <w:top w:val="single" w:color="999999" w:sz="4" w:space="0"/>
          <w:left w:val="single" w:color="999999" w:sz="4" w:space="0"/>
          <w:bottom w:val="single" w:color="999999" w:sz="4" w:space="0"/>
          <w:right w:val="single" w:color="999999" w:sz="4" w:space="0"/>
          <w:insideH w:val="single" w:color="BBBBBB" w:sz="4" w:space="0"/>
          <w:insideV w:val="single" w:color="BBBBBB" w:sz="4" w:space="0"/>
        </w:tblBorders>
        <w:tblLayout w:type="autofit"/>
        <w:tblCellMar>
          <w:top w:w="70" w:type="dxa"/>
          <w:left w:w="90" w:type="dxa"/>
          <w:bottom w:w="70" w:type="dxa"/>
          <w:right w:w="90" w:type="dxa"/>
        </w:tblCellMar>
      </w:tblPr>
      <w:tblGrid>
        <w:gridCol w:w="1805"/>
        <w:gridCol w:w="3410"/>
        <w:gridCol w:w="3811"/>
      </w:tblGrid>
      <w:tr w14:paraId="3BBFFBFC">
        <w:tblPrEx>
          <w:tblBorders>
            <w:top w:val="single" w:color="999999" w:sz="4" w:space="0"/>
            <w:left w:val="single" w:color="999999" w:sz="4" w:space="0"/>
            <w:bottom w:val="single" w:color="999999" w:sz="4" w:space="0"/>
            <w:right w:val="single" w:color="999999" w:sz="4" w:space="0"/>
            <w:insideH w:val="single" w:color="BBBBBB" w:sz="4" w:space="0"/>
            <w:insideV w:val="single" w:color="BBBBBB" w:sz="4" w:space="0"/>
          </w:tblBorders>
          <w:tblCellMar>
            <w:top w:w="70" w:type="dxa"/>
            <w:left w:w="90" w:type="dxa"/>
            <w:bottom w:w="70" w:type="dxa"/>
            <w:right w:w="90" w:type="dxa"/>
          </w:tblCellMar>
        </w:tblPrEx>
        <w:tc>
          <w:tcPr>
            <w:tcW w:w="1800" w:type="dxa"/>
            <w:shd w:val="clear" w:color="auto" w:fill="D9EAF7"/>
          </w:tcPr>
          <w:p w14:paraId="7483D8D5">
            <w:pPr>
              <w:spacing w:before="0" w:after="35" w:line="270" w:lineRule="auto"/>
              <w:rPr>
                <w:rFonts w:hint="eastAsia" w:ascii="宋体" w:hAnsi="宋体" w:eastAsia="宋体" w:cs="宋体"/>
              </w:rPr>
            </w:pPr>
            <w:r>
              <w:rPr>
                <w:rFonts w:hint="eastAsia" w:ascii="宋体" w:hAnsi="宋体" w:eastAsia="宋体" w:cs="宋体"/>
                <w:b/>
                <w:bCs/>
                <w:color w:val="1F4E79"/>
                <w:sz w:val="18"/>
                <w:szCs w:val="18"/>
              </w:rPr>
              <w:t>角色</w:t>
            </w:r>
          </w:p>
        </w:tc>
        <w:tc>
          <w:tcPr>
            <w:tcW w:w="3400" w:type="dxa"/>
            <w:shd w:val="clear" w:color="auto" w:fill="D9EAF7"/>
          </w:tcPr>
          <w:p w14:paraId="6140A204">
            <w:pPr>
              <w:spacing w:before="0" w:after="35" w:line="270" w:lineRule="auto"/>
              <w:rPr>
                <w:rFonts w:hint="eastAsia" w:ascii="宋体" w:hAnsi="宋体" w:eastAsia="宋体" w:cs="宋体"/>
              </w:rPr>
            </w:pPr>
            <w:r>
              <w:rPr>
                <w:rFonts w:hint="eastAsia" w:ascii="宋体" w:hAnsi="宋体" w:eastAsia="宋体" w:cs="宋体"/>
                <w:b/>
                <w:bCs/>
                <w:color w:val="1F4E79"/>
                <w:sz w:val="18"/>
                <w:szCs w:val="18"/>
              </w:rPr>
              <w:t>职责</w:t>
            </w:r>
          </w:p>
        </w:tc>
        <w:tc>
          <w:tcPr>
            <w:tcW w:w="3800" w:type="dxa"/>
            <w:shd w:val="clear" w:color="auto" w:fill="D9EAF7"/>
          </w:tcPr>
          <w:p w14:paraId="7E9DE917">
            <w:pPr>
              <w:spacing w:before="0" w:after="35" w:line="270" w:lineRule="auto"/>
              <w:rPr>
                <w:rFonts w:hint="eastAsia" w:ascii="宋体" w:hAnsi="宋体" w:eastAsia="宋体" w:cs="宋体"/>
              </w:rPr>
            </w:pPr>
            <w:r>
              <w:rPr>
                <w:rFonts w:hint="eastAsia" w:ascii="宋体" w:hAnsi="宋体" w:eastAsia="宋体" w:cs="宋体"/>
                <w:b/>
                <w:bCs/>
                <w:color w:val="1F4E79"/>
                <w:sz w:val="18"/>
                <w:szCs w:val="18"/>
              </w:rPr>
              <w:t>仓库证据</w:t>
            </w:r>
          </w:p>
        </w:tc>
      </w:tr>
      <w:tr w14:paraId="675264EF">
        <w:tblPrEx>
          <w:tblBorders>
            <w:top w:val="single" w:color="999999" w:sz="4" w:space="0"/>
            <w:left w:val="single" w:color="999999" w:sz="4" w:space="0"/>
            <w:bottom w:val="single" w:color="999999" w:sz="4" w:space="0"/>
            <w:right w:val="single" w:color="999999" w:sz="4" w:space="0"/>
            <w:insideH w:val="single" w:color="BBBBBB" w:sz="4" w:space="0"/>
            <w:insideV w:val="single" w:color="BBBBBB" w:sz="4" w:space="0"/>
          </w:tblBorders>
          <w:tblCellMar>
            <w:top w:w="70" w:type="dxa"/>
            <w:left w:w="90" w:type="dxa"/>
            <w:bottom w:w="70" w:type="dxa"/>
            <w:right w:w="90" w:type="dxa"/>
          </w:tblCellMar>
        </w:tblPrEx>
        <w:tc>
          <w:tcPr>
            <w:tcW w:w="1800" w:type="dxa"/>
          </w:tcPr>
          <w:p w14:paraId="6F222DD5">
            <w:pPr>
              <w:spacing w:before="0" w:after="35" w:line="270" w:lineRule="auto"/>
              <w:rPr>
                <w:rFonts w:hint="eastAsia" w:ascii="宋体" w:hAnsi="宋体" w:eastAsia="宋体" w:cs="宋体"/>
              </w:rPr>
            </w:pPr>
            <w:r>
              <w:rPr>
                <w:rFonts w:hint="eastAsia" w:ascii="宋体" w:hAnsi="宋体" w:eastAsia="宋体" w:cs="宋体"/>
                <w:sz w:val="18"/>
                <w:szCs w:val="18"/>
              </w:rPr>
              <w:t>系统分析与设计</w:t>
            </w:r>
          </w:p>
        </w:tc>
        <w:tc>
          <w:tcPr>
            <w:tcW w:w="3400" w:type="dxa"/>
          </w:tcPr>
          <w:p w14:paraId="04DBD4F9">
            <w:pPr>
              <w:spacing w:before="0" w:after="35" w:line="270" w:lineRule="auto"/>
              <w:rPr>
                <w:rFonts w:hint="eastAsia" w:ascii="宋体" w:hAnsi="宋体" w:eastAsia="宋体" w:cs="宋体"/>
              </w:rPr>
            </w:pPr>
            <w:r>
              <w:rPr>
                <w:rFonts w:hint="eastAsia" w:ascii="宋体" w:hAnsi="宋体" w:eastAsia="宋体" w:cs="宋体"/>
                <w:sz w:val="18"/>
                <w:szCs w:val="18"/>
              </w:rPr>
              <w:t>梳理系统边界、角色、用例、流程、数据模型和架构图</w:t>
            </w:r>
          </w:p>
        </w:tc>
        <w:tc>
          <w:tcPr>
            <w:tcW w:w="3800" w:type="dxa"/>
          </w:tcPr>
          <w:p w14:paraId="73B5AFCE">
            <w:pPr>
              <w:spacing w:before="0" w:after="35" w:line="270" w:lineRule="auto"/>
              <w:rPr>
                <w:rFonts w:hint="eastAsia" w:ascii="宋体" w:hAnsi="宋体" w:eastAsia="宋体" w:cs="宋体"/>
              </w:rPr>
            </w:pPr>
            <w:r>
              <w:rPr>
                <w:rFonts w:hint="eastAsia" w:ascii="宋体" w:hAnsi="宋体" w:eastAsia="宋体" w:cs="宋体"/>
                <w:sz w:val="18"/>
                <w:szCs w:val="18"/>
              </w:rPr>
              <w:t>supermarket-management-diagrams</w:t>
            </w:r>
          </w:p>
        </w:tc>
      </w:tr>
      <w:tr w14:paraId="5EE79CFA">
        <w:tblPrEx>
          <w:tblBorders>
            <w:top w:val="single" w:color="999999" w:sz="4" w:space="0"/>
            <w:left w:val="single" w:color="999999" w:sz="4" w:space="0"/>
            <w:bottom w:val="single" w:color="999999" w:sz="4" w:space="0"/>
            <w:right w:val="single" w:color="999999" w:sz="4" w:space="0"/>
            <w:insideH w:val="single" w:color="BBBBBB" w:sz="4" w:space="0"/>
            <w:insideV w:val="single" w:color="BBBBBB" w:sz="4" w:space="0"/>
          </w:tblBorders>
          <w:tblCellMar>
            <w:top w:w="70" w:type="dxa"/>
            <w:left w:w="90" w:type="dxa"/>
            <w:bottom w:w="70" w:type="dxa"/>
            <w:right w:w="90" w:type="dxa"/>
          </w:tblCellMar>
        </w:tblPrEx>
        <w:tc>
          <w:tcPr>
            <w:tcW w:w="1800" w:type="dxa"/>
            <w:shd w:val="clear" w:color="auto" w:fill="F7FBFF"/>
          </w:tcPr>
          <w:p w14:paraId="5F4D66EE">
            <w:pPr>
              <w:spacing w:before="0" w:after="35" w:line="270" w:lineRule="auto"/>
              <w:rPr>
                <w:rFonts w:hint="eastAsia" w:ascii="宋体" w:hAnsi="宋体" w:eastAsia="宋体" w:cs="宋体"/>
              </w:rPr>
            </w:pPr>
            <w:r>
              <w:rPr>
                <w:rFonts w:hint="eastAsia" w:ascii="宋体" w:hAnsi="宋体" w:eastAsia="宋体" w:cs="宋体"/>
                <w:sz w:val="18"/>
                <w:szCs w:val="18"/>
              </w:rPr>
              <w:t>后端开发</w:t>
            </w:r>
          </w:p>
        </w:tc>
        <w:tc>
          <w:tcPr>
            <w:tcW w:w="3400" w:type="dxa"/>
            <w:shd w:val="clear" w:color="auto" w:fill="F7FBFF"/>
          </w:tcPr>
          <w:p w14:paraId="7295F078">
            <w:pPr>
              <w:spacing w:before="0" w:after="35" w:line="270" w:lineRule="auto"/>
              <w:rPr>
                <w:rFonts w:hint="eastAsia" w:ascii="宋体" w:hAnsi="宋体" w:eastAsia="宋体" w:cs="宋体"/>
              </w:rPr>
            </w:pPr>
            <w:r>
              <w:rPr>
                <w:rFonts w:hint="eastAsia" w:ascii="宋体" w:hAnsi="宋体" w:eastAsia="宋体" w:cs="宋体"/>
                <w:sz w:val="18"/>
                <w:szCs w:val="18"/>
              </w:rPr>
              <w:t>实现 Flask 路由、服务层、ORM 模型、初始化数据和日志</w:t>
            </w:r>
          </w:p>
        </w:tc>
        <w:tc>
          <w:tcPr>
            <w:tcW w:w="3800" w:type="dxa"/>
            <w:shd w:val="clear" w:color="auto" w:fill="F7FBFF"/>
          </w:tcPr>
          <w:p w14:paraId="47881496">
            <w:pPr>
              <w:spacing w:before="0" w:after="35" w:line="270" w:lineRule="auto"/>
              <w:rPr>
                <w:rFonts w:hint="eastAsia" w:ascii="宋体" w:hAnsi="宋体" w:eastAsia="宋体" w:cs="宋体"/>
              </w:rPr>
            </w:pPr>
            <w:r>
              <w:rPr>
                <w:rFonts w:hint="eastAsia" w:ascii="宋体" w:hAnsi="宋体" w:eastAsia="宋体" w:cs="宋体"/>
                <w:sz w:val="18"/>
                <w:szCs w:val="18"/>
              </w:rPr>
              <w:t>app/routes、app/services、app/models、app/__init__.py</w:t>
            </w:r>
          </w:p>
        </w:tc>
      </w:tr>
      <w:tr w14:paraId="79E294F9">
        <w:tblPrEx>
          <w:tblBorders>
            <w:top w:val="single" w:color="999999" w:sz="4" w:space="0"/>
            <w:left w:val="single" w:color="999999" w:sz="4" w:space="0"/>
            <w:bottom w:val="single" w:color="999999" w:sz="4" w:space="0"/>
            <w:right w:val="single" w:color="999999" w:sz="4" w:space="0"/>
            <w:insideH w:val="single" w:color="BBBBBB" w:sz="4" w:space="0"/>
            <w:insideV w:val="single" w:color="BBBBBB" w:sz="4" w:space="0"/>
          </w:tblBorders>
          <w:tblCellMar>
            <w:top w:w="70" w:type="dxa"/>
            <w:left w:w="90" w:type="dxa"/>
            <w:bottom w:w="70" w:type="dxa"/>
            <w:right w:w="90" w:type="dxa"/>
          </w:tblCellMar>
        </w:tblPrEx>
        <w:tc>
          <w:tcPr>
            <w:tcW w:w="1800" w:type="dxa"/>
          </w:tcPr>
          <w:p w14:paraId="0AECEB9E">
            <w:pPr>
              <w:spacing w:before="0" w:after="35" w:line="270" w:lineRule="auto"/>
              <w:rPr>
                <w:rFonts w:hint="eastAsia" w:ascii="宋体" w:hAnsi="宋体" w:eastAsia="宋体" w:cs="宋体"/>
              </w:rPr>
            </w:pPr>
            <w:r>
              <w:rPr>
                <w:rFonts w:hint="eastAsia" w:ascii="宋体" w:hAnsi="宋体" w:eastAsia="宋体" w:cs="宋体"/>
                <w:sz w:val="18"/>
                <w:szCs w:val="18"/>
              </w:rPr>
              <w:t>前端开发</w:t>
            </w:r>
          </w:p>
        </w:tc>
        <w:tc>
          <w:tcPr>
            <w:tcW w:w="3400" w:type="dxa"/>
          </w:tcPr>
          <w:p w14:paraId="1A33B1AA">
            <w:pPr>
              <w:spacing w:before="0" w:after="35" w:line="270" w:lineRule="auto"/>
              <w:rPr>
                <w:rFonts w:hint="eastAsia" w:ascii="宋体" w:hAnsi="宋体" w:eastAsia="宋体" w:cs="宋体"/>
              </w:rPr>
            </w:pPr>
            <w:r>
              <w:rPr>
                <w:rFonts w:hint="eastAsia" w:ascii="宋体" w:hAnsi="宋体" w:eastAsia="宋体" w:cs="宋体"/>
                <w:sz w:val="18"/>
                <w:szCs w:val="18"/>
              </w:rPr>
              <w:t>实现 Jinja 模板、静态 JS、主题、图表和交互</w:t>
            </w:r>
          </w:p>
        </w:tc>
        <w:tc>
          <w:tcPr>
            <w:tcW w:w="3800" w:type="dxa"/>
          </w:tcPr>
          <w:p w14:paraId="51FFDC09">
            <w:pPr>
              <w:spacing w:before="0" w:after="35" w:line="270" w:lineRule="auto"/>
              <w:rPr>
                <w:rFonts w:hint="eastAsia" w:ascii="宋体" w:hAnsi="宋体" w:eastAsia="宋体" w:cs="宋体"/>
              </w:rPr>
            </w:pPr>
            <w:r>
              <w:rPr>
                <w:rFonts w:hint="eastAsia" w:ascii="宋体" w:hAnsi="宋体" w:eastAsia="宋体" w:cs="宋体"/>
                <w:sz w:val="18"/>
                <w:szCs w:val="18"/>
              </w:rPr>
              <w:t>app/templates、app/static/js、app/static/css</w:t>
            </w:r>
          </w:p>
        </w:tc>
      </w:tr>
      <w:tr w14:paraId="08D90658">
        <w:tblPrEx>
          <w:tblBorders>
            <w:top w:val="single" w:color="999999" w:sz="4" w:space="0"/>
            <w:left w:val="single" w:color="999999" w:sz="4" w:space="0"/>
            <w:bottom w:val="single" w:color="999999" w:sz="4" w:space="0"/>
            <w:right w:val="single" w:color="999999" w:sz="4" w:space="0"/>
            <w:insideH w:val="single" w:color="BBBBBB" w:sz="4" w:space="0"/>
            <w:insideV w:val="single" w:color="BBBBBB" w:sz="4" w:space="0"/>
          </w:tblBorders>
          <w:tblCellMar>
            <w:top w:w="70" w:type="dxa"/>
            <w:left w:w="90" w:type="dxa"/>
            <w:bottom w:w="70" w:type="dxa"/>
            <w:right w:w="90" w:type="dxa"/>
          </w:tblCellMar>
        </w:tblPrEx>
        <w:tc>
          <w:tcPr>
            <w:tcW w:w="1800" w:type="dxa"/>
            <w:shd w:val="clear" w:color="auto" w:fill="F7FBFF"/>
          </w:tcPr>
          <w:p w14:paraId="316C8898">
            <w:pPr>
              <w:spacing w:before="0" w:after="35" w:line="270" w:lineRule="auto"/>
              <w:rPr>
                <w:rFonts w:hint="eastAsia" w:ascii="宋体" w:hAnsi="宋体" w:eastAsia="宋体" w:cs="宋体"/>
              </w:rPr>
            </w:pPr>
            <w:r>
              <w:rPr>
                <w:rFonts w:hint="eastAsia" w:ascii="宋体" w:hAnsi="宋体" w:eastAsia="宋体" w:cs="宋体"/>
                <w:sz w:val="18"/>
                <w:szCs w:val="18"/>
              </w:rPr>
              <w:t>数据库设计</w:t>
            </w:r>
          </w:p>
        </w:tc>
        <w:tc>
          <w:tcPr>
            <w:tcW w:w="3400" w:type="dxa"/>
            <w:shd w:val="clear" w:color="auto" w:fill="F7FBFF"/>
          </w:tcPr>
          <w:p w14:paraId="790439A1">
            <w:pPr>
              <w:spacing w:before="0" w:after="35" w:line="270" w:lineRule="auto"/>
              <w:rPr>
                <w:rFonts w:hint="eastAsia" w:ascii="宋体" w:hAnsi="宋体" w:eastAsia="宋体" w:cs="宋体"/>
              </w:rPr>
            </w:pPr>
            <w:r>
              <w:rPr>
                <w:rFonts w:hint="eastAsia" w:ascii="宋体" w:hAnsi="宋体" w:eastAsia="宋体" w:cs="宋体"/>
                <w:sz w:val="18"/>
                <w:szCs w:val="18"/>
              </w:rPr>
              <w:t>定义 SQLite schema、种子数据和 SQLAlchemy 模型</w:t>
            </w:r>
          </w:p>
        </w:tc>
        <w:tc>
          <w:tcPr>
            <w:tcW w:w="3800" w:type="dxa"/>
            <w:shd w:val="clear" w:color="auto" w:fill="F7FBFF"/>
          </w:tcPr>
          <w:p w14:paraId="34547039">
            <w:pPr>
              <w:spacing w:before="0" w:after="35" w:line="270" w:lineRule="auto"/>
              <w:rPr>
                <w:rFonts w:hint="eastAsia" w:ascii="宋体" w:hAnsi="宋体" w:eastAsia="宋体" w:cs="宋体"/>
              </w:rPr>
            </w:pPr>
            <w:r>
              <w:rPr>
                <w:rFonts w:hint="eastAsia" w:ascii="宋体" w:hAnsi="宋体" w:eastAsia="宋体" w:cs="宋体"/>
                <w:sz w:val="18"/>
                <w:szCs w:val="18"/>
              </w:rPr>
              <w:t>data/SQL、app/models</w:t>
            </w:r>
          </w:p>
        </w:tc>
      </w:tr>
      <w:tr w14:paraId="1621B33A">
        <w:tblPrEx>
          <w:tblBorders>
            <w:top w:val="single" w:color="999999" w:sz="4" w:space="0"/>
            <w:left w:val="single" w:color="999999" w:sz="4" w:space="0"/>
            <w:bottom w:val="single" w:color="999999" w:sz="4" w:space="0"/>
            <w:right w:val="single" w:color="999999" w:sz="4" w:space="0"/>
            <w:insideH w:val="single" w:color="BBBBBB" w:sz="4" w:space="0"/>
            <w:insideV w:val="single" w:color="BBBBBB" w:sz="4" w:space="0"/>
          </w:tblBorders>
          <w:tblCellMar>
            <w:top w:w="70" w:type="dxa"/>
            <w:left w:w="90" w:type="dxa"/>
            <w:bottom w:w="70" w:type="dxa"/>
            <w:right w:w="90" w:type="dxa"/>
          </w:tblCellMar>
        </w:tblPrEx>
        <w:tc>
          <w:tcPr>
            <w:tcW w:w="1800" w:type="dxa"/>
          </w:tcPr>
          <w:p w14:paraId="53D6B17A">
            <w:pPr>
              <w:spacing w:before="0" w:after="35" w:line="270" w:lineRule="auto"/>
              <w:rPr>
                <w:rFonts w:hint="eastAsia" w:ascii="宋体" w:hAnsi="宋体" w:eastAsia="宋体" w:cs="宋体"/>
              </w:rPr>
            </w:pPr>
            <w:r>
              <w:rPr>
                <w:rFonts w:hint="eastAsia" w:ascii="宋体" w:hAnsi="宋体" w:eastAsia="宋体" w:cs="宋体"/>
                <w:sz w:val="18"/>
                <w:szCs w:val="18"/>
              </w:rPr>
              <w:t>质量与交付</w:t>
            </w:r>
          </w:p>
        </w:tc>
        <w:tc>
          <w:tcPr>
            <w:tcW w:w="3400" w:type="dxa"/>
          </w:tcPr>
          <w:p w14:paraId="6678DCD7">
            <w:pPr>
              <w:spacing w:before="0" w:after="35" w:line="270" w:lineRule="auto"/>
              <w:rPr>
                <w:rFonts w:hint="eastAsia" w:ascii="宋体" w:hAnsi="宋体" w:eastAsia="宋体" w:cs="宋体"/>
              </w:rPr>
            </w:pPr>
            <w:r>
              <w:rPr>
                <w:rFonts w:hint="eastAsia" w:ascii="宋体" w:hAnsi="宋体" w:eastAsia="宋体" w:cs="宋体"/>
                <w:sz w:val="18"/>
                <w:szCs w:val="18"/>
              </w:rPr>
              <w:t>整理测试覆盖矩阵、部署图、审计日志和交付物结构</w:t>
            </w:r>
          </w:p>
        </w:tc>
        <w:tc>
          <w:tcPr>
            <w:tcW w:w="3800" w:type="dxa"/>
          </w:tcPr>
          <w:p w14:paraId="62C544D1">
            <w:pPr>
              <w:spacing w:before="0" w:after="35" w:line="270" w:lineRule="auto"/>
              <w:rPr>
                <w:rFonts w:hint="eastAsia" w:ascii="宋体" w:hAnsi="宋体" w:eastAsia="宋体" w:cs="宋体"/>
              </w:rPr>
            </w:pPr>
            <w:r>
              <w:rPr>
                <w:rFonts w:hint="eastAsia" w:ascii="宋体" w:hAnsi="宋体" w:eastAsia="宋体" w:cs="宋体"/>
                <w:sz w:val="18"/>
                <w:szCs w:val="18"/>
              </w:rPr>
              <w:t>图 48-53</w:t>
            </w:r>
          </w:p>
        </w:tc>
      </w:tr>
    </w:tbl>
    <w:p w14:paraId="154B8C31">
      <w:pPr>
        <w:spacing w:before="0" w:after="70" w:line="360" w:lineRule="auto"/>
        <w:rPr>
          <w:rFonts w:hint="eastAsia" w:ascii="宋体" w:hAnsi="宋体" w:eastAsia="宋体" w:cs="宋体"/>
        </w:rPr>
      </w:pPr>
    </w:p>
    <w:p w14:paraId="137DD6DC">
      <w:pPr>
        <w:pStyle w:val="Heading2"/>
        <w:keepNext/>
        <w:pBdr>
          <w:left w:val="single" w:color="2F75B5" w:sz="12" w:space="6"/>
        </w:pBdr>
        <w:spacing w:before="220" w:after="100" w:line="360" w:lineRule="auto"/>
        <w:outlineLvl w:val="1"/>
        <w:rPr>
          <w:rFonts w:hint="eastAsia" w:ascii="宋体" w:hAnsi="宋体" w:eastAsia="宋体" w:cs="宋体"/>
        </w:rPr>
      </w:pPr>
      <w:r>
        <w:rPr>
          <w:rFonts w:hint="eastAsia" w:ascii="宋体" w:hAnsi="宋体" w:eastAsia="宋体" w:cs="宋体"/>
          <w:b/>
          <w:bCs/>
          <w:color w:val="1F4E79"/>
          <w:sz w:val="25"/>
          <w:szCs w:val="25"/>
        </w:rPr>
        <w:t>1.5 SWOT 分析</w:t>
      </w:r>
    </w:p>
    <w:tbl>
      <w:tblPr>
        <w:tblStyle w:val="2"/>
        <w:tblW w:w="9026" w:type="dxa"/>
        <w:tblInd w:w="0" w:type="dxa"/>
        <w:tblBorders>
          <w:top w:val="single" w:color="999999" w:sz="4" w:space="0"/>
          <w:left w:val="single" w:color="999999" w:sz="4" w:space="0"/>
          <w:bottom w:val="single" w:color="999999" w:sz="4" w:space="0"/>
          <w:right w:val="single" w:color="999999" w:sz="4" w:space="0"/>
          <w:insideH w:val="single" w:color="BBBBBB" w:sz="4" w:space="0"/>
          <w:insideV w:val="single" w:color="BBBBBB" w:sz="4" w:space="0"/>
        </w:tblBorders>
        <w:tblLayout w:type="autofit"/>
        <w:tblCellMar>
          <w:top w:w="70" w:type="dxa"/>
          <w:left w:w="90" w:type="dxa"/>
          <w:bottom w:w="70" w:type="dxa"/>
          <w:right w:w="90" w:type="dxa"/>
        </w:tblCellMar>
      </w:tblPr>
      <w:tblGrid>
        <w:gridCol w:w="1705"/>
        <w:gridCol w:w="7321"/>
      </w:tblGrid>
      <w:tr w14:paraId="4125D57C">
        <w:tblPrEx>
          <w:tblBorders>
            <w:top w:val="single" w:color="999999" w:sz="4" w:space="0"/>
            <w:left w:val="single" w:color="999999" w:sz="4" w:space="0"/>
            <w:bottom w:val="single" w:color="999999" w:sz="4" w:space="0"/>
            <w:right w:val="single" w:color="999999" w:sz="4" w:space="0"/>
            <w:insideH w:val="single" w:color="BBBBBB" w:sz="4" w:space="0"/>
            <w:insideV w:val="single" w:color="BBBBBB" w:sz="4" w:space="0"/>
          </w:tblBorders>
          <w:tblCellMar>
            <w:top w:w="70" w:type="dxa"/>
            <w:left w:w="90" w:type="dxa"/>
            <w:bottom w:w="70" w:type="dxa"/>
            <w:right w:w="90" w:type="dxa"/>
          </w:tblCellMar>
        </w:tblPrEx>
        <w:tc>
          <w:tcPr>
            <w:tcW w:w="1700" w:type="dxa"/>
            <w:shd w:val="clear" w:color="auto" w:fill="D9EAF7"/>
          </w:tcPr>
          <w:p w14:paraId="5759E59D">
            <w:pPr>
              <w:spacing w:before="0" w:after="35" w:line="270" w:lineRule="auto"/>
              <w:rPr>
                <w:rFonts w:hint="eastAsia" w:ascii="宋体" w:hAnsi="宋体" w:eastAsia="宋体" w:cs="宋体"/>
              </w:rPr>
            </w:pPr>
            <w:r>
              <w:rPr>
                <w:rFonts w:hint="eastAsia" w:ascii="宋体" w:hAnsi="宋体" w:eastAsia="宋体" w:cs="宋体"/>
                <w:b/>
                <w:bCs/>
                <w:color w:val="1F4E79"/>
                <w:sz w:val="18"/>
                <w:szCs w:val="18"/>
              </w:rPr>
              <w:t>维度</w:t>
            </w:r>
          </w:p>
        </w:tc>
        <w:tc>
          <w:tcPr>
            <w:tcW w:w="7300" w:type="dxa"/>
            <w:shd w:val="clear" w:color="auto" w:fill="D9EAF7"/>
          </w:tcPr>
          <w:p w14:paraId="74678EEF">
            <w:pPr>
              <w:spacing w:before="0" w:after="35" w:line="270" w:lineRule="auto"/>
              <w:rPr>
                <w:rFonts w:hint="eastAsia" w:ascii="宋体" w:hAnsi="宋体" w:eastAsia="宋体" w:cs="宋体"/>
              </w:rPr>
            </w:pPr>
            <w:r>
              <w:rPr>
                <w:rFonts w:hint="eastAsia" w:ascii="宋体" w:hAnsi="宋体" w:eastAsia="宋体" w:cs="宋体"/>
                <w:b/>
                <w:bCs/>
                <w:color w:val="1F4E79"/>
                <w:sz w:val="18"/>
                <w:szCs w:val="18"/>
              </w:rPr>
              <w:t>内容</w:t>
            </w:r>
          </w:p>
        </w:tc>
      </w:tr>
      <w:tr w14:paraId="1D7EA6EA">
        <w:tblPrEx>
          <w:tblBorders>
            <w:top w:val="single" w:color="999999" w:sz="4" w:space="0"/>
            <w:left w:val="single" w:color="999999" w:sz="4" w:space="0"/>
            <w:bottom w:val="single" w:color="999999" w:sz="4" w:space="0"/>
            <w:right w:val="single" w:color="999999" w:sz="4" w:space="0"/>
            <w:insideH w:val="single" w:color="BBBBBB" w:sz="4" w:space="0"/>
            <w:insideV w:val="single" w:color="BBBBBB" w:sz="4" w:space="0"/>
          </w:tblBorders>
          <w:tblCellMar>
            <w:top w:w="70" w:type="dxa"/>
            <w:left w:w="90" w:type="dxa"/>
            <w:bottom w:w="70" w:type="dxa"/>
            <w:right w:w="90" w:type="dxa"/>
          </w:tblCellMar>
        </w:tblPrEx>
        <w:tc>
          <w:tcPr>
            <w:tcW w:w="1700" w:type="dxa"/>
          </w:tcPr>
          <w:p w14:paraId="53FF3DA6">
            <w:pPr>
              <w:spacing w:before="0" w:after="35" w:line="270" w:lineRule="auto"/>
              <w:rPr>
                <w:rFonts w:hint="eastAsia" w:ascii="宋体" w:hAnsi="宋体" w:eastAsia="宋体" w:cs="宋体"/>
              </w:rPr>
            </w:pPr>
            <w:r>
              <w:rPr>
                <w:rFonts w:hint="eastAsia" w:ascii="宋体" w:hAnsi="宋体" w:eastAsia="宋体" w:cs="宋体"/>
                <w:sz w:val="18"/>
                <w:szCs w:val="18"/>
              </w:rPr>
              <w:t>优势</w:t>
            </w:r>
          </w:p>
        </w:tc>
        <w:tc>
          <w:tcPr>
            <w:tcW w:w="7300" w:type="dxa"/>
          </w:tcPr>
          <w:p w14:paraId="4EAAAC3B">
            <w:pPr>
              <w:spacing w:before="0" w:after="35" w:line="270" w:lineRule="auto"/>
              <w:rPr>
                <w:rFonts w:hint="eastAsia" w:ascii="宋体" w:hAnsi="宋体" w:eastAsia="宋体" w:cs="宋体"/>
              </w:rPr>
            </w:pPr>
            <w:r>
              <w:rPr>
                <w:rFonts w:hint="eastAsia" w:ascii="宋体" w:hAnsi="宋体" w:eastAsia="宋体" w:cs="宋体"/>
                <w:sz w:val="18"/>
                <w:szCs w:val="18"/>
              </w:rPr>
              <w:t>模块覆盖完整，商品、库存、收银、销售、财务和分析之间有清晰的数据闭环；Flask 分层结构便于维护。</w:t>
            </w:r>
          </w:p>
        </w:tc>
      </w:tr>
      <w:tr w14:paraId="62BEE6D2">
        <w:tblPrEx>
          <w:tblBorders>
            <w:top w:val="single" w:color="999999" w:sz="4" w:space="0"/>
            <w:left w:val="single" w:color="999999" w:sz="4" w:space="0"/>
            <w:bottom w:val="single" w:color="999999" w:sz="4" w:space="0"/>
            <w:right w:val="single" w:color="999999" w:sz="4" w:space="0"/>
            <w:insideH w:val="single" w:color="BBBBBB" w:sz="4" w:space="0"/>
            <w:insideV w:val="single" w:color="BBBBBB" w:sz="4" w:space="0"/>
          </w:tblBorders>
          <w:tblCellMar>
            <w:top w:w="70" w:type="dxa"/>
            <w:left w:w="90" w:type="dxa"/>
            <w:bottom w:w="70" w:type="dxa"/>
            <w:right w:w="90" w:type="dxa"/>
          </w:tblCellMar>
        </w:tblPrEx>
        <w:tc>
          <w:tcPr>
            <w:tcW w:w="1700" w:type="dxa"/>
            <w:shd w:val="clear" w:color="auto" w:fill="F7FBFF"/>
          </w:tcPr>
          <w:p w14:paraId="082DB30E">
            <w:pPr>
              <w:spacing w:before="0" w:after="35" w:line="270" w:lineRule="auto"/>
              <w:rPr>
                <w:rFonts w:hint="eastAsia" w:ascii="宋体" w:hAnsi="宋体" w:eastAsia="宋体" w:cs="宋体"/>
              </w:rPr>
            </w:pPr>
            <w:r>
              <w:rPr>
                <w:rFonts w:hint="eastAsia" w:ascii="宋体" w:hAnsi="宋体" w:eastAsia="宋体" w:cs="宋体"/>
                <w:sz w:val="18"/>
                <w:szCs w:val="18"/>
              </w:rPr>
              <w:t>劣势</w:t>
            </w:r>
          </w:p>
        </w:tc>
        <w:tc>
          <w:tcPr>
            <w:tcW w:w="7300" w:type="dxa"/>
            <w:shd w:val="clear" w:color="auto" w:fill="F7FBFF"/>
          </w:tcPr>
          <w:p w14:paraId="4CAC302E">
            <w:pPr>
              <w:spacing w:before="0" w:after="35" w:line="270" w:lineRule="auto"/>
              <w:rPr>
                <w:rFonts w:hint="eastAsia" w:ascii="宋体" w:hAnsi="宋体" w:eastAsia="宋体" w:cs="宋体"/>
              </w:rPr>
            </w:pPr>
            <w:r>
              <w:rPr>
                <w:rFonts w:hint="eastAsia" w:ascii="宋体" w:hAnsi="宋体" w:eastAsia="宋体" w:cs="宋体"/>
                <w:sz w:val="18"/>
                <w:szCs w:val="18"/>
              </w:rPr>
              <w:t>仓库以课程设计和单机演示为主，当前数据库为 SQLite，尚未提交自动化测试套件。</w:t>
            </w:r>
          </w:p>
        </w:tc>
      </w:tr>
      <w:tr w14:paraId="213FB652">
        <w:tblPrEx>
          <w:tblBorders>
            <w:top w:val="single" w:color="999999" w:sz="4" w:space="0"/>
            <w:left w:val="single" w:color="999999" w:sz="4" w:space="0"/>
            <w:bottom w:val="single" w:color="999999" w:sz="4" w:space="0"/>
            <w:right w:val="single" w:color="999999" w:sz="4" w:space="0"/>
            <w:insideH w:val="single" w:color="BBBBBB" w:sz="4" w:space="0"/>
            <w:insideV w:val="single" w:color="BBBBBB" w:sz="4" w:space="0"/>
          </w:tblBorders>
          <w:tblCellMar>
            <w:top w:w="70" w:type="dxa"/>
            <w:left w:w="90" w:type="dxa"/>
            <w:bottom w:w="70" w:type="dxa"/>
            <w:right w:w="90" w:type="dxa"/>
          </w:tblCellMar>
        </w:tblPrEx>
        <w:tc>
          <w:tcPr>
            <w:tcW w:w="1700" w:type="dxa"/>
          </w:tcPr>
          <w:p w14:paraId="1E3FBF78">
            <w:pPr>
              <w:spacing w:before="0" w:after="35" w:line="270" w:lineRule="auto"/>
              <w:rPr>
                <w:rFonts w:hint="eastAsia" w:ascii="宋体" w:hAnsi="宋体" w:eastAsia="宋体" w:cs="宋体"/>
              </w:rPr>
            </w:pPr>
            <w:r>
              <w:rPr>
                <w:rFonts w:hint="eastAsia" w:ascii="宋体" w:hAnsi="宋体" w:eastAsia="宋体" w:cs="宋体"/>
                <w:sz w:val="18"/>
                <w:szCs w:val="18"/>
              </w:rPr>
              <w:t>机会</w:t>
            </w:r>
          </w:p>
        </w:tc>
        <w:tc>
          <w:tcPr>
            <w:tcW w:w="7300" w:type="dxa"/>
          </w:tcPr>
          <w:p w14:paraId="2CA1E274">
            <w:pPr>
              <w:spacing w:before="0" w:after="35" w:line="270" w:lineRule="auto"/>
              <w:rPr>
                <w:rFonts w:hint="eastAsia" w:ascii="宋体" w:hAnsi="宋体" w:eastAsia="宋体" w:cs="宋体"/>
              </w:rPr>
            </w:pPr>
            <w:r>
              <w:rPr>
                <w:rFonts w:hint="eastAsia" w:ascii="宋体" w:hAnsi="宋体" w:eastAsia="宋体" w:cs="宋体"/>
                <w:sz w:val="18"/>
                <w:szCs w:val="18"/>
              </w:rPr>
              <w:t>可继续扩展采购、会员、供应商、报表导出、移动端和门店设备集成。</w:t>
            </w:r>
          </w:p>
        </w:tc>
      </w:tr>
      <w:tr w14:paraId="1325A33B">
        <w:tblPrEx>
          <w:tblBorders>
            <w:top w:val="single" w:color="999999" w:sz="4" w:space="0"/>
            <w:left w:val="single" w:color="999999" w:sz="4" w:space="0"/>
            <w:bottom w:val="single" w:color="999999" w:sz="4" w:space="0"/>
            <w:right w:val="single" w:color="999999" w:sz="4" w:space="0"/>
            <w:insideH w:val="single" w:color="BBBBBB" w:sz="4" w:space="0"/>
            <w:insideV w:val="single" w:color="BBBBBB" w:sz="4" w:space="0"/>
          </w:tblBorders>
          <w:tblCellMar>
            <w:top w:w="70" w:type="dxa"/>
            <w:left w:w="90" w:type="dxa"/>
            <w:bottom w:w="70" w:type="dxa"/>
            <w:right w:w="90" w:type="dxa"/>
          </w:tblCellMar>
        </w:tblPrEx>
        <w:tc>
          <w:tcPr>
            <w:tcW w:w="1700" w:type="dxa"/>
            <w:shd w:val="clear" w:color="auto" w:fill="F7FBFF"/>
          </w:tcPr>
          <w:p w14:paraId="276C8C90">
            <w:pPr>
              <w:spacing w:before="0" w:after="35" w:line="270" w:lineRule="auto"/>
              <w:rPr>
                <w:rFonts w:hint="eastAsia" w:ascii="宋体" w:hAnsi="宋体" w:eastAsia="宋体" w:cs="宋体"/>
              </w:rPr>
            </w:pPr>
            <w:r>
              <w:rPr>
                <w:rFonts w:hint="eastAsia" w:ascii="宋体" w:hAnsi="宋体" w:eastAsia="宋体" w:cs="宋体"/>
                <w:sz w:val="18"/>
                <w:szCs w:val="18"/>
              </w:rPr>
              <w:t>风险</w:t>
            </w:r>
          </w:p>
        </w:tc>
        <w:tc>
          <w:tcPr>
            <w:tcW w:w="7300" w:type="dxa"/>
            <w:shd w:val="clear" w:color="auto" w:fill="F7FBFF"/>
          </w:tcPr>
          <w:p w14:paraId="6A8D4B08">
            <w:pPr>
              <w:spacing w:before="0" w:after="35" w:line="270" w:lineRule="auto"/>
              <w:rPr>
                <w:rFonts w:hint="eastAsia" w:ascii="宋体" w:hAnsi="宋体" w:eastAsia="宋体" w:cs="宋体"/>
              </w:rPr>
            </w:pPr>
            <w:r>
              <w:rPr>
                <w:rFonts w:hint="eastAsia" w:ascii="宋体" w:hAnsi="宋体" w:eastAsia="宋体" w:cs="宋体"/>
                <w:sz w:val="18"/>
                <w:szCs w:val="18"/>
              </w:rPr>
              <w:t>如果进入多人或生产部署，需要补充权限审计、备份策略、并发控制和测试流水线。</w:t>
            </w:r>
          </w:p>
        </w:tc>
      </w:tr>
    </w:tbl>
    <w:p w14:paraId="083C90E4">
      <w:pPr>
        <w:spacing w:before="0" w:after="70" w:line="360" w:lineRule="auto"/>
        <w:rPr>
          <w:rFonts w:hint="eastAsia" w:ascii="宋体" w:hAnsi="宋体" w:eastAsia="宋体" w:cs="宋体"/>
        </w:rPr>
      </w:pPr>
    </w:p>
    <w:p w14:paraId="5D4E4640">
      <w:pPr>
        <w:spacing w:before="75" w:after="30"/>
        <w:jc w:val="center"/>
        <w:rPr>
          <w:rFonts w:hint="eastAsia" w:ascii="宋体" w:hAnsi="宋体" w:eastAsia="宋体" w:cs="宋体"/>
        </w:rPr>
      </w:pPr>
      <w:r>
        <w:rPr>
          <w:rFonts w:hint="eastAsia" w:ascii="宋体" w:hAnsi="宋体" w:eastAsia="宋体" w:cs="宋体"/>
        </w:rPr>
        <w:drawing>
          <wp:inline distT="0" distB="0" distL="0" distR="0">
            <wp:extent cx="6035040" cy="3258185"/>
            <wp:effectExtent l="0" t="0" r="0" b="0"/>
            <wp:docPr id="3" name="report_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report_image3.png"/>
                    <pic:cNvPicPr>
                      <a:picLocks noChangeAspect="1"/>
                    </pic:cNvPicPr>
                  </pic:nvPicPr>
                  <pic:blipFill>
                    <a:blip r:embed="rId8"/>
                    <a:stretch>
                      <a:fillRect/>
                    </a:stretch>
                  </pic:blipFill>
                  <pic:spPr>
                    <a:xfrm>
                      <a:off x="0" y="0"/>
                      <a:ext cx="6035040" cy="3258365"/>
                    </a:xfrm>
                    <a:prstGeom prst="rect">
                      <a:avLst/>
                    </a:prstGeom>
                  </pic:spPr>
                </pic:pic>
              </a:graphicData>
            </a:graphic>
          </wp:inline>
        </w:drawing>
      </w:r>
    </w:p>
    <w:p w14:paraId="4D0A73C0">
      <w:pPr>
        <w:spacing w:before="0" w:after="110" w:line="250" w:lineRule="auto"/>
        <w:jc w:val="center"/>
        <w:rPr>
          <w:rFonts w:hint="eastAsia" w:ascii="宋体" w:hAnsi="宋体" w:eastAsia="宋体" w:cs="宋体"/>
        </w:rPr>
      </w:pPr>
      <w:r>
        <w:rPr>
          <w:rFonts w:hint="eastAsia" w:ascii="宋体" w:hAnsi="宋体" w:eastAsia="宋体" w:cs="宋体"/>
          <w:i/>
          <w:iCs/>
          <w:sz w:val="17"/>
          <w:szCs w:val="17"/>
        </w:rPr>
        <w:t>图3  功能分解图</w:t>
      </w:r>
    </w:p>
    <w:p w14:paraId="2E23174B">
      <w:pPr>
        <w:spacing w:before="75" w:after="30"/>
        <w:jc w:val="center"/>
        <w:rPr>
          <w:rFonts w:hint="eastAsia" w:ascii="宋体" w:hAnsi="宋体" w:eastAsia="宋体" w:cs="宋体"/>
        </w:rPr>
      </w:pPr>
      <w:r>
        <w:rPr>
          <w:rFonts w:hint="eastAsia" w:ascii="宋体" w:hAnsi="宋体" w:eastAsia="宋体" w:cs="宋体"/>
        </w:rPr>
        <w:drawing>
          <wp:inline distT="0" distB="0" distL="0" distR="0">
            <wp:extent cx="6035040" cy="3435985"/>
            <wp:effectExtent l="0" t="0" r="0" b="0"/>
            <wp:docPr id="4" name="report_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report_image4.png"/>
                    <pic:cNvPicPr>
                      <a:picLocks noChangeAspect="1"/>
                    </pic:cNvPicPr>
                  </pic:nvPicPr>
                  <pic:blipFill>
                    <a:blip r:embed="rId9"/>
                    <a:stretch>
                      <a:fillRect/>
                    </a:stretch>
                  </pic:blipFill>
                  <pic:spPr>
                    <a:xfrm>
                      <a:off x="0" y="0"/>
                      <a:ext cx="6035040" cy="3436189"/>
                    </a:xfrm>
                    <a:prstGeom prst="rect">
                      <a:avLst/>
                    </a:prstGeom>
                  </pic:spPr>
                </pic:pic>
              </a:graphicData>
            </a:graphic>
          </wp:inline>
        </w:drawing>
      </w:r>
    </w:p>
    <w:p w14:paraId="27E3B005">
      <w:pPr>
        <w:spacing w:before="0" w:after="110" w:line="250" w:lineRule="auto"/>
        <w:jc w:val="center"/>
        <w:rPr>
          <w:rFonts w:hint="eastAsia" w:ascii="宋体" w:hAnsi="宋体" w:eastAsia="宋体" w:cs="宋体"/>
        </w:rPr>
      </w:pPr>
      <w:r>
        <w:rPr>
          <w:rFonts w:hint="eastAsia" w:ascii="宋体" w:hAnsi="宋体" w:eastAsia="宋体" w:cs="宋体"/>
          <w:i/>
          <w:iCs/>
          <w:sz w:val="17"/>
          <w:szCs w:val="17"/>
        </w:rPr>
        <w:t>图4  业务能力地图</w:t>
      </w:r>
    </w:p>
    <w:p w14:paraId="0CAE5303">
      <w:pPr>
        <w:spacing w:before="0" w:after="0" w:line="360" w:lineRule="auto"/>
        <w:rPr>
          <w:rFonts w:hint="eastAsia" w:ascii="宋体" w:hAnsi="宋体" w:eastAsia="宋体" w:cs="宋体"/>
        </w:rPr>
      </w:pPr>
      <w:r>
        <w:rPr>
          <w:rFonts w:hint="eastAsia" w:ascii="宋体" w:hAnsi="宋体" w:eastAsia="宋体" w:cs="宋体"/>
          <w:sz w:val="22"/>
          <w:szCs w:val="22"/>
        </w:rPr>
        <w:br w:type="page"/>
      </w:r>
    </w:p>
    <w:p w14:paraId="2134D66B">
      <w:pPr>
        <w:pStyle w:val="Heading2"/>
        <w:spacing w:before="160" w:after="80"/>
        <w:jc w:val="left"/>
      </w:pPr>
      <w:r>
        <w:rPr>
          <w:rFonts w:ascii="黑体" w:hAnsi="黑体" w:eastAsia="黑体"/>
          <w:b/>
          <w:sz w:val="24"/>
        </w:rPr>
        <w:t>1.6 源码实现范围补充说明</w:t>
      </w:r>
    </w:p>
    <w:p w14:paraId="22B04A09">
      <w:pPr>
        <w:spacing w:after="120" w:line="360" w:lineRule="auto"/>
        <w:ind w:firstLine="440"/>
      </w:pPr>
      <w:r>
        <w:rPr>
          <w:rFonts w:ascii="宋体" w:hAnsi="宋体" w:eastAsia="宋体"/>
          <w:b w:val="0"/>
          <w:sz w:val="22"/>
        </w:rPr>
        <w:t>结合当前仓库源代码重新核对后，项目实际实现范围已经超过早期调研时的简单商品库存管理。系统代码按 app/routes、app/services、app/models、app/templates 和 app/static/js 分层组织，已经落地账号认证、商品管理、库存管理、收银结算、销售查询、财务管理、经营分析、公告管理、智能助手，以及会员、员工、供应商、系统参数等二期主数据模块。因此第 1 章中的项目目标应理解为一个覆盖门店经营闭环的管理系统，而不是只完成若干静态页面。</w:t>
      </w:r>
    </w:p>
    <w:p w14:paraId="0CFE683D">
      <w:pPr>
        <w:spacing w:after="120" w:line="360" w:lineRule="auto"/>
        <w:ind w:firstLine="440"/>
      </w:pPr>
      <w:r>
        <w:rPr>
          <w:rFonts w:ascii="宋体" w:hAnsi="宋体" w:eastAsia="宋体"/>
          <w:b w:val="0"/>
          <w:sz w:val="22"/>
        </w:rPr>
        <w:t>从角色角度看，管理员不仅维护商品，还负责管理员注册审核、公告发布、财务对账、应付账款、月结、二期主数据和系统参数；收银员主要使用收银台、查看公告并完成销售结算；店长或财务人员关注经营分析、销售趋势、热销商品、日结差异和供应商应付。这个角色划分能够对应到代码中的 admin_required、cashier_required 和 role_required 等权限装饰器，说明调研结果已经转化成了可执行的访问控制。</w:t>
      </w:r>
    </w:p>
    <w:p w14:paraId="3FAE523D">
      <w:pPr>
        <w:spacing w:after="120" w:line="360" w:lineRule="auto"/>
        <w:ind w:firstLine="440"/>
      </w:pPr>
      <w:r>
        <w:rPr>
          <w:rFonts w:ascii="宋体" w:hAnsi="宋体" w:eastAsia="宋体"/>
          <w:b w:val="0"/>
          <w:sz w:val="22"/>
        </w:rPr>
        <w:t>源码还体现了系统可复现运行的要求。应用启动时会初始化日志、数据库表、默认管理员、默认收银员、默认分类和二期演示数据，并在商品表为空时导入 seed_data.sql。这样设计的目的，是让系统第一次启动后就具备基础业务数据，能够直接展示商品、库存、销售、财务和主数据管理等功能，避免只有空页面而无法体现真实业务过程。</w:t>
      </w:r>
    </w:p>
    <w:p w14:paraId="08F49E59">
      <w:pPr>
        <w:pStyle w:val="Heading2"/>
        <w:spacing w:before="160" w:after="80"/>
        <w:jc w:val="left"/>
      </w:pPr>
      <w:r>
        <w:rPr>
          <w:rFonts w:ascii="黑体" w:hAnsi="黑体" w:eastAsia="黑体"/>
          <w:b/>
          <w:sz w:val="24"/>
        </w:rPr>
        <w:t>1.7 源码职责落点与实现范围补充说明</w:t>
      </w:r>
    </w:p>
    <w:p w14:paraId="35E607D6">
      <w:pPr>
        <w:spacing w:after="120" w:line="360" w:lineRule="auto"/>
        <w:ind w:firstLine="440"/>
      </w:pPr>
      <w:r>
        <w:rPr>
          <w:rFonts w:ascii="宋体" w:hAnsi="宋体" w:eastAsia="宋体"/>
          <w:b w:val="0"/>
          <w:sz w:val="22"/>
        </w:rPr>
        <w:t>启动阶段补充核对后，本项目的角色职责已经能够落到源码文件。管理员职责主要对应 auth、product、inventory、finance、announcements、assistant、second_phase 等路由和服务；收银员职责主要对应 cashier、sales、announcements 等路由和服务；店长或财务负责人职责主要对应 analytics、finance 与报表类服务。报告中描述角色分工时，可以直接说明每个角色不是抽象参与者，而是通过 common.py 中的 login_required、role_required、admin_required、cashier_required 等权限装饰器落实到页面和 API 访问边界。</w:t>
      </w:r>
    </w:p>
    <w:p w14:paraId="1E7AB2CE">
      <w:pPr>
        <w:spacing w:after="120" w:line="360" w:lineRule="auto"/>
        <w:ind w:firstLine="440"/>
      </w:pPr>
      <w:r>
        <w:rPr>
          <w:rFonts w:ascii="宋体" w:hAnsi="宋体" w:eastAsia="宋体"/>
          <w:b w:val="0"/>
          <w:sz w:val="22"/>
        </w:rPr>
        <w:t>智能助手需要在第 1 章作为项目完成范围的扩展功能说明。源码中 /assistant 页面不是公开入口，而是管理员权限页面；/api/assistant/chat 也需要登录与管理员权限，避免普通收银员越权访问经营分析类问答。从实现过程看，该模块把库存、销售、商品和帮助类问题封装成统一问答入口，并通过 generate_assistant_reply 函数把用户问题分流到 FAQ、本地规则、业务服务或外部大模型调用，从而体现系统在传统业务管理功能之外的辅助决策能力。</w:t>
      </w:r>
    </w:p>
    <w:p>
      <w:r>
        <w:br w:type="page"/>
      </w:r>
    </w:p>
    <w:p>
      <w:pPr>
        <w:pStyle w:val="Heading1"/>
        <w:spacing w:before="240" w:after="200"/>
      </w:pPr>
      <w:r>
        <w:rPr>
          <w:rFonts w:ascii="黑体" w:hAnsi="黑体" w:eastAsia="黑体"/>
          <w:b/>
        </w:rPr>
        <w:t>二．工程伦理</w:t>
      </w:r>
    </w:p>
    <w:p>
      <w:r>
        <w:rPr>
          <w:b w:val="0"/>
        </w:rPr>
        <w:t>软件工程中的工程伦理不是附加说明，而是影响系统设计取舍的基本约束。本项目虽然是课程系统，但业务对象涉及账号、销售金额、库存数量、会员积分、供应商往来和财务对账，这些数据如果处理不当，会直接影响经营判断和用户权益。因此系统在需求分析、数据库设计、权限控制、测试验证和运行说明中都需要体现安全、真实、可追溯和可维护的原则。</w:t>
      </w:r>
    </w:p>
    <w:p>
      <w:pPr>
        <w:pStyle w:val="Heading2"/>
        <w:spacing w:before="160" w:after="120"/>
      </w:pPr>
      <w:r>
        <w:rPr>
          <w:rFonts w:ascii="黑体" w:hAnsi="黑体" w:eastAsia="黑体"/>
          <w:b/>
        </w:rPr>
        <w:t>2.1 开发中可能面临的伦理问题</w:t>
      </w:r>
    </w:p>
    <w:tbl>
      <w:tblPr>
        <w:tblW w:type="auto" w:w="0"/>
        <w:jc w:val="center"/>
        <w:tblLook w:firstColumn="1" w:firstRow="1" w:lastColumn="0" w:lastRow="0" w:noHBand="0" w:noVBand="1" w:val="04A0"/>
      </w:tblPr>
      <w:tblGrid>
        <w:gridCol w:w="3024"/>
        <w:gridCol w:w="3024"/>
        <w:gridCol w:w="3024"/>
      </w:tblGrid>
      <w:tr>
        <w:tc>
          <w:tcPr>
            <w:tcW w:type="dxa" w:w="3024"/>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jc w:val="center"/>
            </w:pPr>
            <w:r>
              <w:rPr>
                <w:b/>
              </w:rPr>
              <w:t>伦理问题</w:t>
            </w:r>
          </w:p>
        </w:tc>
        <w:tc>
          <w:tcPr>
            <w:tcW w:type="dxa" w:w="3024"/>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jc w:val="center"/>
            </w:pPr>
            <w:r>
              <w:rPr>
                <w:b/>
              </w:rPr>
              <w:t>风险表现</w:t>
            </w:r>
          </w:p>
        </w:tc>
        <w:tc>
          <w:tcPr>
            <w:tcW w:type="dxa" w:w="3024"/>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jc w:val="center"/>
            </w:pPr>
            <w:r>
              <w:rPr>
                <w:b/>
              </w:rPr>
              <w:t>解决方案</w:t>
            </w:r>
          </w:p>
        </w:tc>
      </w:tr>
      <w:tr>
        <w:tc>
          <w:tcPr>
            <w:tcW w:type="dxa" w:w="3024"/>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r>
              <w:t>账号与权限滥用</w:t>
            </w:r>
          </w:p>
        </w:tc>
        <w:tc>
          <w:tcPr>
            <w:tcW w:type="dxa" w:w="3024"/>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r>
              <w:t>管理员、收银员、店长等角色权限不同，如果页面或接口没有限制，普通用户可能越权查看财务、员工或系统参数。</w:t>
            </w:r>
          </w:p>
        </w:tc>
        <w:tc>
          <w:tcPr>
            <w:tcW w:type="dxa" w:w="3024"/>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r>
              <w:t>后端路由使用登录态和角色校验，管理员页面限制访问；测试用例覆盖未登录访问、普通用户访问管理员接口等场景。</w:t>
            </w:r>
          </w:p>
        </w:tc>
      </w:tr>
      <w:tr>
        <w:tc>
          <w:tcPr>
            <w:tcW w:type="dxa" w:w="3024"/>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r>
              <w:t>经营数据失真</w:t>
            </w:r>
          </w:p>
        </w:tc>
        <w:tc>
          <w:tcPr>
            <w:tcW w:type="dxa" w:w="3024"/>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r>
              <w:t>商品库存、销售单和财务对账一旦出现不一致，会导致补货、结算和经营分析失真。</w:t>
            </w:r>
          </w:p>
        </w:tc>
        <w:tc>
          <w:tcPr>
            <w:tcW w:type="dxa" w:w="3024"/>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r>
              <w:t>收银结算在服务层统一处理销售明细、库存扣减和销售金额；库存调整记录日志；财务日结按销售数据汇总，避免手工重复录入。</w:t>
            </w:r>
          </w:p>
        </w:tc>
      </w:tr>
      <w:tr>
        <w:tc>
          <w:tcPr>
            <w:tcW w:type="dxa" w:w="3024"/>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r>
              <w:t>会员与个人信息保护</w:t>
            </w:r>
          </w:p>
        </w:tc>
        <w:tc>
          <w:tcPr>
            <w:tcW w:type="dxa" w:w="3024"/>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r>
              <w:t>会员电话、积分和消费记录属于敏感经营数据，不能被无关角色随意查看或修改。</w:t>
            </w:r>
          </w:p>
        </w:tc>
        <w:tc>
          <w:tcPr>
            <w:tcW w:type="dxa" w:w="3024"/>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r>
              <w:t>会员模块只在授权页面展示必要字段；积分调整通过服务函数处理并保留业务原因；测试覆盖会员启停和积分调整异常路径。</w:t>
            </w:r>
          </w:p>
        </w:tc>
      </w:tr>
      <w:tr>
        <w:tc>
          <w:tcPr>
            <w:tcW w:type="dxa" w:w="3024"/>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r>
              <w:t>供应商与应付账款责任</w:t>
            </w:r>
          </w:p>
        </w:tc>
        <w:tc>
          <w:tcPr>
            <w:tcW w:type="dxa" w:w="3024"/>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r>
              <w:t>供应商资料、应付账款和付款登记涉及商业往来，错误记录可能造成欠款或重复付款。</w:t>
            </w:r>
          </w:p>
        </w:tc>
        <w:tc>
          <w:tcPr>
            <w:tcW w:type="dxa" w:w="3024"/>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r>
              <w:t>供应商、应付账款、付款登记和月结快照分别建模；付款时校验金额范围和账款状态；月结结果单独保存，便于后续核对。</w:t>
            </w:r>
          </w:p>
        </w:tc>
      </w:tr>
      <w:tr>
        <w:tc>
          <w:tcPr>
            <w:tcW w:type="dxa" w:w="3024"/>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r>
              <w:t>智能助手误导</w:t>
            </w:r>
          </w:p>
        </w:tc>
        <w:tc>
          <w:tcPr>
            <w:tcW w:type="dxa" w:w="3024"/>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r>
              <w:t>智能助手如果直接给出未经验证的经营建议，可能影响库存和销售决策。</w:t>
            </w:r>
          </w:p>
        </w:tc>
        <w:tc>
          <w:tcPr>
            <w:tcW w:type="dxa" w:w="3024"/>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r>
              <w:t>系统优先使用本地 FAQ 和业务服务结果回答；未配置外部大模型时降级为规则回复；回答内容围绕库存、销售、商品和帮助信息，不替代人工审批。</w:t>
            </w:r>
          </w:p>
        </w:tc>
      </w:tr>
      <w:tr>
        <w:tc>
          <w:tcPr>
            <w:tcW w:type="dxa" w:w="3024"/>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r>
              <w:t>测试数据与真实数据混淆</w:t>
            </w:r>
          </w:p>
        </w:tc>
        <w:tc>
          <w:tcPr>
            <w:tcW w:type="dxa" w:w="3024"/>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r>
              <w:t>演示数据如果被当成真实经营数据使用，会导致错误判断。</w:t>
            </w:r>
          </w:p>
        </w:tc>
        <w:tc>
          <w:tcPr>
            <w:tcW w:type="dxa" w:w="3024"/>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r>
              <w:t>初始化数据、seed_data.sql 和测试数据库分开使用；README 和报告中说明启动、初始化和测试命令，降低误用风险。</w:t>
            </w:r>
          </w:p>
        </w:tc>
      </w:tr>
      <w:tr>
        <w:tc>
          <w:tcPr>
            <w:tcW w:type="dxa" w:w="3024"/>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r>
              <w:t>开源与引用规范</w:t>
            </w:r>
          </w:p>
        </w:tc>
        <w:tc>
          <w:tcPr>
            <w:tcW w:type="dxa" w:w="3024"/>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r>
              <w:t>使用 Flask、SQLAlchemy、pytest 等开源组件时，需要尊重组件许可和技术文档来源。</w:t>
            </w:r>
          </w:p>
        </w:tc>
        <w:tc>
          <w:tcPr>
            <w:tcW w:type="dxa" w:w="3024"/>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r>
              <w:t>在参考文献列出主要框架与文档来源；代码中不复制无来源的大段第三方实现；依赖通过 pyproject.toml 和 uv.lock 管理。</w:t>
            </w:r>
          </w:p>
        </w:tc>
      </w:tr>
    </w:tbl>
    <w:p>
      <w:pPr>
        <w:pStyle w:val="Heading2"/>
        <w:spacing w:before="160" w:after="120"/>
      </w:pPr>
      <w:r>
        <w:rPr>
          <w:rFonts w:ascii="黑体" w:hAnsi="黑体" w:eastAsia="黑体"/>
          <w:b/>
        </w:rPr>
        <w:t>2.2 工程伦理在本系统中的落地</w:t>
      </w:r>
    </w:p>
    <w:p>
      <w:r>
        <w:rPr>
          <w:b w:val="0"/>
        </w:rPr>
        <w:t>第一，系统把权限控制放在后端路由和服务层，而不是只依赖前端隐藏按钮。前端隐藏只能改善界面体验，不能防止用户直接访问接口；后端校验才能保证未授权请求不会绕过页面进入业务逻辑。</w:t>
      </w:r>
    </w:p>
    <w:p>
      <w:r>
        <w:rPr>
          <w:b w:val="0"/>
        </w:rPr>
        <w:t>第二，系统把库存、销售和财务视为一条数据链路。商品销售后必须同步扣减库存，销售金额必须能进入财务日结，库存调整必须形成日志。这样设计的目的不是让流程复杂，而是保证每一笔关键数据都有来源、有去向、可解释。</w:t>
      </w:r>
    </w:p>
    <w:p>
      <w:r>
        <w:rPr>
          <w:b w:val="0"/>
        </w:rPr>
        <w:t>第三，系统把智能助手设计成辅助入口。它可以查询低库存、销售概览、热销商品和常见帮助问题，但不能替代管理员审批、财务确认或人工盘点。涉及经营判断的内容必须来源于系统已有服务函数或明确标注为建议。</w:t>
      </w:r>
    </w:p>
    <w:p>
      <w:r>
        <w:rPr>
          <w:b w:val="0"/>
        </w:rPr>
        <w:t>第四，系统把测试视为质量责任的一部分。功能测试不只验证页面能打开，还验证输入为空、重复编码、库存不足、权限不足、付款金额异常等情况。测试结果与覆盖率能够说明系统对正常路径和异常路径都有处理。</w:t>
      </w:r>
    </w:p>
    <w:p>
      <w:r>
        <w:br w:type="page"/>
      </w:r>
    </w:p>
    <w:p>
      <w:pPr>
        <w:pStyle w:val="Heading1"/>
        <w:spacing w:before="240" w:after="200"/>
      </w:pPr>
      <w:r>
        <w:rPr>
          <w:rFonts w:ascii="黑体" w:hAnsi="黑体" w:eastAsia="黑体"/>
          <w:b/>
        </w:rPr>
        <w:t>三．需求分析</w:t>
      </w:r>
    </w:p>
    <w:p>
      <w:r>
        <w:rPr>
          <w:b w:val="0"/>
        </w:rPr>
        <w:t>本章合并《需求分析》中的需求建模和数据建模内容。需求建模说明系统面向哪些角色、支持哪些业务流程和异常规则；数据建模说明这些业务如何落到实体、字段、关系和服务函数中。</w:t>
      </w:r>
    </w:p>
    <w:p w14:paraId="2DB05061">
      <w:pPr>
        <w:pStyle w:val="Heading2"/>
        <w:keepNext/>
        <w:shd w:val="clear" w:fill="1F4E79"/>
        <w:spacing w:before="220" w:after="160" w:line="360" w:lineRule="auto"/>
        <w:outlineLvl w:val="0"/>
        <w:rPr>
          <w:rFonts w:hint="eastAsia" w:ascii="宋体" w:hAnsi="宋体" w:eastAsia="宋体" w:cs="宋体"/>
        </w:rPr>
      </w:pPr>
      <w:r>
        <w:rPr>
          <w:rFonts w:hint="eastAsia" w:ascii="宋体" w:hAnsi="宋体" w:eastAsia="宋体" w:cs="宋体"/>
          <w:b/>
          <w:bCs/>
          <w:color w:val="FFFFFF"/>
          <w:sz w:val="28"/>
          <w:szCs w:val="28"/>
        </w:rPr>
        <w:t>3.1 需求建模</w:t>
      </w:r>
    </w:p>
    <w:p w14:paraId="28B9882F">
      <w:pPr>
        <w:pStyle w:val="Heading3"/>
        <w:spacing w:after="120" w:line="324" w:lineRule="auto"/>
        <w:ind w:firstLine="420"/>
        <w:rPr>
          <w:rFonts w:hint="eastAsia" w:ascii="宋体" w:hAnsi="宋体" w:eastAsia="宋体" w:cs="宋体"/>
        </w:rPr>
      </w:pPr>
      <w:r>
        <w:rPr>
          <w:rFonts w:hint="eastAsia" w:ascii="宋体" w:hAnsi="宋体" w:eastAsia="宋体" w:cs="宋体"/>
          <w:b/>
          <w:sz w:val="21"/>
        </w:rPr>
        <w:t>3.1.1 需求建模与业务规则详细论述</w:t>
      </w:r>
    </w:p>
    <w:p w14:paraId="610D303F">
      <w:pPr>
        <w:spacing w:after="120" w:line="360" w:lineRule="auto"/>
        <w:ind w:firstLine="440"/>
        <w:rPr>
          <w:rFonts w:hint="eastAsia" w:ascii="宋体" w:hAnsi="宋体" w:eastAsia="宋体" w:cs="宋体"/>
        </w:rPr>
      </w:pPr>
      <w:r>
        <w:rPr>
          <w:rFonts w:ascii="宋体" w:hAnsi="宋体" w:eastAsia="宋体"/>
          <w:b w:val="0"/>
          <w:sz w:val="22"/>
        </w:rPr>
        <w:t>需求建模阶段的目标是把调研中得到的业务语言转化为系统可以实现和测试的模型。超市管理系统涉及多个岗位、多个业务事件和多类数据对象，不能只用一句“实现商品库存销售管理”概括。本项目采用用例图、业务流程图、数据流图和状态分析相结合的方法：用例图回答“谁使用系统、使用系统做什么”，流程图回答“一项业务按什么顺序发生”，数据流图回答“数据从哪里来、到哪里去、经过哪些处理”，状态图回答“业务对象在生命周期中如何变化”。</w:t>
      </w:r>
    </w:p>
    <w:p w14:paraId="50EC4395">
      <w:pPr>
        <w:spacing w:after="120" w:line="324" w:lineRule="auto"/>
        <w:ind w:firstLine="420"/>
        <w:rPr>
          <w:rFonts w:hint="eastAsia" w:ascii="宋体" w:hAnsi="宋体" w:eastAsia="宋体" w:cs="宋体"/>
        </w:rPr>
      </w:pPr>
      <w:r>
        <w:rPr>
          <w:rFonts w:hint="eastAsia" w:ascii="宋体" w:hAnsi="宋体" w:eastAsia="宋体" w:cs="宋体"/>
          <w:b w:val="0"/>
          <w:sz w:val="21"/>
        </w:rPr>
        <w:t>角色识别是需求分析的第一步。管理员负责后台配置、商品维护、库存调整、财务处理、公告发布、二期主数据和系统参数；收银员负责商品检索、购物车结算、支付方式选择和销售单生成；店长更关注经营分析、销售趋势、热销商品、低库存风险和日结差异；采购或库管关注供应商、入库、盘点和库存流水；财务人员关注收入支出、日结对账、应付账款和月结记录。将角色拆开说明，是为了避免所有功能都落到“管理员”一个角色上，导致权限边界和业务职责不清。</w:t>
      </w:r>
    </w:p>
    <w:p w14:paraId="2344AAFE">
      <w:pPr>
        <w:spacing w:after="120" w:line="324" w:lineRule="auto"/>
        <w:ind w:firstLine="420"/>
        <w:rPr>
          <w:rFonts w:hint="eastAsia" w:ascii="宋体" w:hAnsi="宋体" w:eastAsia="宋体" w:cs="宋体"/>
        </w:rPr>
      </w:pPr>
      <w:r>
        <w:rPr>
          <w:rFonts w:hint="eastAsia" w:ascii="宋体" w:hAnsi="宋体" w:eastAsia="宋体" w:cs="宋体"/>
          <w:b w:val="0"/>
          <w:sz w:val="21"/>
        </w:rPr>
        <w:t>用例建模分为总用例和模块级用例。总用例图展示系统边界和主要业务能力，模块级用例图进一步拆分账号认证、商品管理、库存管理、收银结算、销售管理、财务管理、经营分析、公告管理、智能助手、会员管理、员工管理、供应商与系统管理等 12 组用例。这样既满足任务书“至少 10 组 UML 用例图”的数量要求，也让每个模块都有独立说明。每张模块级用例图都可以映射到仓库中的页面、路由和服务文件，例如收银结算对应 cashier.html、cashier.js、routes/cashier.py 和 services/cashier.py。</w:t>
      </w:r>
    </w:p>
    <w:p w14:paraId="53631E44">
      <w:pPr>
        <w:spacing w:after="120" w:line="360" w:lineRule="auto"/>
        <w:ind w:firstLine="440"/>
        <w:rPr>
          <w:rFonts w:hint="eastAsia" w:ascii="宋体" w:hAnsi="宋体" w:eastAsia="宋体" w:cs="宋体"/>
        </w:rPr>
      </w:pPr>
      <w:r>
        <w:rPr>
          <w:rFonts w:ascii="宋体" w:hAnsi="宋体" w:eastAsia="宋体"/>
          <w:b w:val="0"/>
          <w:sz w:val="22"/>
        </w:rPr>
        <w:t>业务流程分析覆盖 12 个关键流程：销售收银、采购入库、库存盘点、退货退款、库存预警补货、会员积分、班次交接日结、商品调价、管理员注册审核、商品批量导入、财务日结对账、公告发布与阅读。选择这些流程不是为了凑数量，而是因为它们覆盖了门店经营中最容易需要进一步说明的细节。销售收银会影响订单、明细、库存和财务收入；采购入库会影响商品、供应商、库存和应付；盘点会影响账面库存和实际库存差异；退货退款会影响订单状态、库存回滚和财务冲销。</w:t>
      </w:r>
    </w:p>
    <w:p w14:paraId="03A225CB">
      <w:pPr>
        <w:spacing w:after="120" w:line="324" w:lineRule="auto"/>
        <w:ind w:firstLine="420"/>
        <w:rPr>
          <w:rFonts w:hint="eastAsia" w:ascii="宋体" w:hAnsi="宋体" w:eastAsia="宋体" w:cs="宋体"/>
        </w:rPr>
      </w:pPr>
      <w:r>
        <w:rPr>
          <w:rFonts w:hint="eastAsia" w:ascii="宋体" w:hAnsi="宋体" w:eastAsia="宋体" w:cs="宋体"/>
          <w:b w:val="0"/>
          <w:sz w:val="21"/>
        </w:rPr>
        <w:t>销售收银流程是系统最核心的正向业务链路。收银员先检索商品，系统需要判断商品是否存在、是否上架、库存是否足够；加入购物车后，前端需要维护商品数量和小计；提交结算时，服务层再次校验库存，避免前端数量被篡改或库存在操作过程中发生变化；校验通过后创建销售单和销售明细，扣减库存并记录库存流水。这个流程体现了需求建模中“前端便捷、后端可信”的原则：页面可以提高操作效率，但最终业务规则必须由服务层确认。</w:t>
      </w:r>
    </w:p>
    <w:p w14:paraId="6E0DCD2E">
      <w:pPr>
        <w:spacing w:after="120" w:line="360" w:lineRule="auto"/>
        <w:ind w:firstLine="440"/>
        <w:rPr>
          <w:rFonts w:hint="eastAsia" w:ascii="宋体" w:hAnsi="宋体" w:eastAsia="宋体" w:cs="宋体"/>
        </w:rPr>
      </w:pPr>
      <w:r>
        <w:rPr>
          <w:rFonts w:ascii="宋体" w:hAnsi="宋体" w:eastAsia="宋体"/>
          <w:b w:val="0"/>
          <w:sz w:val="22"/>
        </w:rPr>
        <w:t>库存相关流程强调可追溯性。采购入库、库存调整、库存盘点和低库存预警都不能只改一个库存数字。系统需要记录库存变化类型、变化前数量、变化后数量、操作原因和关联业务。这样当需要排查某个库存数量来源时，可以通过库存流水解释。低库存预警流程还需要结合系统参数或库存阈值判断风险商品，为补货和采购提供依据。</w:t>
      </w:r>
    </w:p>
    <w:p w14:paraId="6C2CEC6B">
      <w:pPr>
        <w:spacing w:after="120" w:line="324" w:lineRule="auto"/>
        <w:ind w:firstLine="420"/>
        <w:rPr>
          <w:rFonts w:hint="eastAsia" w:ascii="宋体" w:hAnsi="宋体" w:eastAsia="宋体" w:cs="宋体"/>
        </w:rPr>
      </w:pPr>
      <w:r>
        <w:t>财务相关流程强调金额一致和对账依据。销售完成后形成收入，支出和应付通过财务模块登记，日结对账需要比较系统金额与实收金额，记录差异和处理结果。财务日结对账流程补齐后，系统不再只是销售单查询工具，而能够体现门店每天结束营业后的管理动作。这个流程也是系统实施阶段需要明确说明的关键点：销售金额如何进入财务，差异如何留痕，测试如何证明金额正确。</w:t>
      </w:r>
    </w:p>
    <w:p w14:paraId="2ACBC233">
      <w:pPr>
        <w:spacing w:after="120" w:line="324" w:lineRule="auto"/>
        <w:ind w:firstLine="420"/>
        <w:rPr>
          <w:rFonts w:hint="eastAsia" w:ascii="宋体" w:hAnsi="宋体" w:eastAsia="宋体" w:cs="宋体"/>
        </w:rPr>
      </w:pPr>
      <w:r>
        <w:rPr>
          <w:rFonts w:hint="eastAsia" w:ascii="宋体" w:hAnsi="宋体" w:eastAsia="宋体" w:cs="宋体"/>
          <w:b w:val="0"/>
          <w:sz w:val="21"/>
        </w:rPr>
        <w:t>二期需求不是简单附加页面，而是对主数据体系的扩展。会员管理需要支持会员档案、等级、积分调整和启停，员工管理需要支持岗位、排班和状态维护，供应商管理需要支持联系人、电话、结算周期和启停，系统管理需要支持门店名称、库存预警阈值、小票文案等配置。二期模块与一期核心链路之间存在关系，例如会员积分与销售相关，供应商与采购入库相关，系统参数与库存预警和收银小票相关。</w:t>
      </w:r>
    </w:p>
    <w:p w14:paraId="4FFEEA66">
      <w:pPr>
        <w:spacing w:after="120" w:line="360" w:lineRule="auto"/>
        <w:ind w:firstLine="440"/>
        <w:rPr>
          <w:rFonts w:hint="eastAsia" w:ascii="宋体" w:hAnsi="宋体" w:eastAsia="宋体" w:cs="宋体"/>
        </w:rPr>
      </w:pPr>
      <w:r>
        <w:rPr>
          <w:rFonts w:ascii="宋体" w:hAnsi="宋体" w:eastAsia="宋体"/>
          <w:b w:val="0"/>
          <w:sz w:val="22"/>
        </w:rPr>
        <w:t>异常路径是需求建模中必须明确的内容。登录失败不能写入会话，未登录访问业务页面需要跳转或拒绝，收银员不能越权访问管理页面，商品编码重复不能创建新商品，库存不足不能完成结算，批量导入遇到重复或缺失字段需要反馈结果，二期主数据出现重复手机号、重复工号、非法状态或缺失字段时需要返回明确错误。异常路径写清楚后，测试用例才能覆盖边界条件，系统也更容易维护。</w:t>
      </w:r>
    </w:p>
    <w:p w14:paraId="73845449">
      <w:pPr>
        <w:spacing w:after="120" w:line="324" w:lineRule="auto"/>
        <w:ind w:firstLine="420"/>
        <w:rPr>
          <w:rFonts w:hint="eastAsia" w:ascii="宋体" w:hAnsi="宋体" w:eastAsia="宋体" w:cs="宋体"/>
        </w:rPr>
      </w:pPr>
      <w:r>
        <w:rPr>
          <w:rFonts w:hint="eastAsia" w:ascii="宋体" w:hAnsi="宋体" w:eastAsia="宋体" w:cs="宋体"/>
          <w:b w:val="0"/>
          <w:sz w:val="21"/>
        </w:rPr>
        <w:t>数据流图进一步说明系统不是由页面直接操作数据库，而是由外部角色发起请求，经页面或接口进入路由层，再由服务层处理业务规则，最后读写模型和数据库。0 层 DFD 表示系统与外部角色之间的数据交换，销售、库存、采购、会员和报表的一层 DFD 则展开各自的数据存储和处理逻辑。通过 DFD 可以说明输入数据、处理过程、输出结果和数据存储之间的关系，避免需求分析只停留在界面层。</w:t>
      </w:r>
    </w:p>
    <w:p w14:paraId="205D60CE">
      <w:pPr>
        <w:spacing w:after="120" w:line="324" w:lineRule="auto"/>
        <w:ind w:firstLine="420"/>
        <w:rPr>
          <w:rFonts w:hint="eastAsia" w:ascii="宋体" w:hAnsi="宋体" w:eastAsia="宋体" w:cs="宋体"/>
        </w:rPr>
      </w:pPr>
      <w:r>
        <w:rPr>
          <w:rFonts w:hint="eastAsia" w:ascii="宋体" w:hAnsi="宋体" w:eastAsia="宋体" w:cs="宋体"/>
          <w:b w:val="0"/>
          <w:sz w:val="21"/>
        </w:rPr>
        <w:t>综合来看，第 3 章需求建模已经从角色、用例、流程、数据流和异常路径多个角度描述系统。它为第 4 章数据建模提供实体和关系依据，为第 5 章界面设计提供页面和交互依据，为第 6 章系统实施提供服务流程和测试依据。后续实现如果出现变更，也应回到本章检查用例、流程和数据流是否需要同步更新。</w:t>
      </w:r>
    </w:p>
    <w:p w14:paraId="43158B3E">
      <w:pPr>
        <w:pStyle w:val="Heading3"/>
        <w:keepNext/>
        <w:pBdr>
          <w:left w:val="single" w:color="2F75B5" w:sz="12" w:space="6"/>
        </w:pBdr>
        <w:spacing w:before="220" w:after="100" w:line="360" w:lineRule="auto"/>
        <w:outlineLvl w:val="1"/>
        <w:rPr>
          <w:rFonts w:hint="eastAsia" w:ascii="宋体" w:hAnsi="宋体" w:eastAsia="宋体" w:cs="宋体"/>
        </w:rPr>
      </w:pPr>
      <w:r>
        <w:rPr>
          <w:rFonts w:hint="eastAsia" w:ascii="宋体" w:hAnsi="宋体" w:eastAsia="宋体" w:cs="宋体"/>
          <w:b/>
          <w:bCs/>
          <w:color w:val="1F4E79"/>
          <w:sz w:val="25"/>
          <w:szCs w:val="25"/>
        </w:rPr>
        <w:t>3.1.2 用例图分析</w:t>
      </w:r>
    </w:p>
    <w:p w14:paraId="673EB334">
      <w:pPr>
        <w:spacing w:before="0" w:after="105" w:line="330" w:lineRule="auto"/>
        <w:ind w:firstLine="420"/>
        <w:rPr>
          <w:rFonts w:hint="eastAsia" w:ascii="宋体" w:hAnsi="宋体" w:eastAsia="宋体" w:cs="宋体"/>
        </w:rPr>
      </w:pPr>
      <w:r>
        <w:rPr>
          <w:rFonts w:hint="eastAsia" w:ascii="宋体" w:hAnsi="宋体" w:eastAsia="宋体" w:cs="宋体"/>
          <w:sz w:val="22"/>
          <w:szCs w:val="22"/>
        </w:rPr>
        <w:t>用例设计覆盖登录、商品维护、库存盘点、销售收银、退货退款、补货预警、报表分析、用户管理、智能问答等场景；其中仓库已经落地的重点模块为账号权限、商品、库存、收银、销售、财务、分析、公告和智能助手。</w:t>
      </w:r>
    </w:p>
    <w:p w14:paraId="6542B491">
      <w:pPr>
        <w:spacing w:before="75" w:after="30"/>
        <w:jc w:val="center"/>
        <w:rPr>
          <w:rFonts w:hint="eastAsia" w:ascii="宋体" w:hAnsi="宋体" w:eastAsia="宋体" w:cs="宋体"/>
        </w:rPr>
      </w:pPr>
      <w:r>
        <w:rPr>
          <w:rFonts w:hint="eastAsia" w:ascii="宋体" w:hAnsi="宋体" w:eastAsia="宋体" w:cs="宋体"/>
        </w:rPr>
        <w:drawing>
          <wp:inline distT="0" distB="0" distL="0" distR="0">
            <wp:extent cx="6035040" cy="3642360"/>
            <wp:effectExtent l="0" t="0" r="0" b="0"/>
            <wp:docPr id="16" name="report_image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report_image16.png"/>
                    <pic:cNvPicPr>
                      <a:picLocks noChangeAspect="1"/>
                    </pic:cNvPicPr>
                  </pic:nvPicPr>
                  <pic:blipFill>
                    <a:blip r:embed="rId21"/>
                    <a:stretch>
                      <a:fillRect/>
                    </a:stretch>
                  </pic:blipFill>
                  <pic:spPr>
                    <a:xfrm>
                      <a:off x="0" y="0"/>
                      <a:ext cx="6035040" cy="3642940"/>
                    </a:xfrm>
                    <a:prstGeom prst="rect">
                      <a:avLst/>
                    </a:prstGeom>
                  </pic:spPr>
                </pic:pic>
              </a:graphicData>
            </a:graphic>
          </wp:inline>
        </w:drawing>
      </w:r>
    </w:p>
    <w:p w14:paraId="477E7FD4">
      <w:pPr>
        <w:spacing w:before="0" w:after="110" w:line="250" w:lineRule="auto"/>
        <w:jc w:val="center"/>
        <w:rPr>
          <w:rFonts w:hint="eastAsia" w:ascii="宋体" w:hAnsi="宋体" w:eastAsia="宋体" w:cs="宋体"/>
        </w:rPr>
      </w:pPr>
      <w:r>
        <w:rPr>
          <w:rFonts w:hint="eastAsia" w:ascii="宋体" w:hAnsi="宋体" w:eastAsia="宋体" w:cs="宋体"/>
          <w:i/>
          <w:iCs/>
          <w:sz w:val="17"/>
          <w:szCs w:val="17"/>
        </w:rPr>
        <w:t>图16  业务用例图</w:t>
      </w:r>
    </w:p>
    <w:p w14:paraId="619A784B">
      <w:pPr>
        <w:pStyle w:val="Heading3"/>
        <w:keepNext/>
        <w:pBdr>
          <w:left w:val="single" w:color="2F75B5" w:sz="12" w:space="6"/>
        </w:pBdr>
        <w:spacing w:before="220" w:after="100" w:line="360" w:lineRule="auto"/>
        <w:outlineLvl w:val="1"/>
        <w:rPr>
          <w:rFonts w:hint="eastAsia" w:ascii="宋体" w:hAnsi="宋体" w:eastAsia="宋体" w:cs="宋体"/>
        </w:rPr>
      </w:pPr>
      <w:r>
        <w:rPr>
          <w:rFonts w:hint="eastAsia" w:ascii="宋体" w:hAnsi="宋体" w:eastAsia="宋体" w:cs="宋体"/>
          <w:b/>
          <w:bCs/>
          <w:color w:val="1F4E79"/>
          <w:sz w:val="25"/>
          <w:szCs w:val="25"/>
        </w:rPr>
        <w:t>3.1.3 泳道图/业务流程分析</w:t>
      </w:r>
    </w:p>
    <w:p w14:paraId="62FA8A45">
      <w:pPr>
        <w:spacing w:after="120" w:line="360" w:lineRule="auto"/>
        <w:ind w:firstLine="440"/>
      </w:pPr>
      <w:r>
        <w:rPr>
          <w:rFonts w:ascii="宋体" w:hAnsi="宋体" w:eastAsia="宋体"/>
          <w:b w:val="0"/>
          <w:sz w:val="22"/>
        </w:rPr>
        <w:t>本节已同步仓库 supermarket-management-diagrams/02-业务流程 目录中的更新版泳道图。新版泳道图统一采用角色泳道、页面交互、后端服务、数据库落库和异常回滚的表达方式，不再只展示粗略步骤，而是把业务触发点、责任角色、数据校验、状态变化、库存或财务影响以及审计留痕放到同一张图中。这样在报告说明中可以沿着泳道逐步说明：谁发起操作、页面收集什么数据、后端执行哪些规则、数据库写入哪些对象、失败时如何返回。</w:t>
      </w:r>
    </w:p>
    <w:p w14:paraId="607DA325">
      <w:pPr>
        <w:spacing w:after="120" w:line="360" w:lineRule="auto"/>
        <w:ind w:firstLine="440"/>
      </w:pPr>
      <w:r>
        <w:rPr>
          <w:rFonts w:ascii="宋体" w:hAnsi="宋体" w:eastAsia="宋体"/>
          <w:b w:val="0"/>
          <w:sz w:val="22"/>
        </w:rPr>
        <w:t>12 个流程覆盖了门店经营的正向链路、逆向链路、管理控制链路和二期扩展链路。销售、采购、盘点、退货、补货和调价说明商品与库存如何变化；会员、班次、财务和公告说明经营管理如何闭环；管理员注册审核与商品批量导入说明系统初始化和权限安全如何落地。每个流程都可以映射到后端路由、服务函数、模型表和自动化测试用例，因此本节既是需求建模材料，也是后续实现的依据。</w:t>
      </w:r>
    </w:p>
    <w:p w14:paraId="3E71F4CE">
      <w:pPr>
        <w:spacing w:before="160" w:after="80"/>
      </w:pPr>
      <w:r>
        <w:rPr>
          <w:rFonts w:ascii="黑体" w:hAnsi="黑体" w:eastAsia="黑体"/>
          <w:b/>
          <w:sz w:val="24"/>
        </w:rPr>
        <w:t>（1）销售收银流程</w:t>
      </w:r>
    </w:p>
    <w:p w14:paraId="62F5D6B6">
      <w:pPr>
        <w:spacing w:after="120" w:line="360" w:lineRule="auto"/>
        <w:ind w:firstLine="440"/>
      </w:pPr>
      <w:r>
        <w:rPr>
          <w:rFonts w:ascii="宋体" w:hAnsi="宋体" w:eastAsia="宋体"/>
          <w:b w:val="0"/>
          <w:sz w:val="22"/>
        </w:rPr>
        <w:t>销售收银流程以顾客到店选购并进入收银台结算为触发点，参与泳道包括顾客、收银员、前端收银页面、后端销售服务、库存服务和数据库。流程首先由收银员在页面中按商品编码、条码或名称检索商品，前端把检索条件提交给后端，后端只返回处于上架状态且库存可售的商品信息。商品加入购物车后，页面负责展示数量、小计、折扣和应收金额，但这些展示值只作为交互结果，最终结算时仍由后端重新计算，避免前端数据被篡改。</w:t>
      </w:r>
    </w:p>
    <w:p w14:paraId="294F811F">
      <w:pPr>
        <w:spacing w:after="120" w:line="360" w:lineRule="auto"/>
        <w:ind w:firstLine="440"/>
      </w:pPr>
      <w:r>
        <w:rPr>
          <w:rFonts w:ascii="宋体" w:hAnsi="宋体" w:eastAsia="宋体"/>
          <w:b w:val="0"/>
          <w:sz w:val="22"/>
        </w:rPr>
        <w:t>提交结算时，销售服务按购物车明细逐项校验商品存在性、状态、库存余量和价格快照，校验通过后生成销售单与销售明细，再调用库存逻辑扣减库存并写入库存流水。这里的关键实现点是“订单、明细、库存扣减、库存流水”必须在同一次业务处理中完成，任一环节失败都不能留下半成品数据。异常路径包括商品下架、库存不足、支付方式缺失、购物车为空和重复提交，系统需要返回明确错误并保持原库存不变。该流程对应后端的收银结算接口、销售服务、库存变更记录和销售查询页面，是整个系统最核心的闭环业务。</w:t>
      </w:r>
    </w:p>
    <w:p w14:paraId="4EA9C789">
      <w:pPr>
        <w:spacing w:after="40"/>
        <w:jc w:val="center"/>
      </w:pPr>
      <w:r>
        <w:drawing>
          <wp:inline distT="0" distB="0" distL="114300" distR="114300">
            <wp:extent cx="5731510" cy="1527175"/>
            <wp:effectExtent l="0" t="0" r="2540" b="15875"/>
            <wp:docPr id="1260220703" name="Picture 12602207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220703" name="Picture 1260220703"/>
                    <pic:cNvPicPr>
                      <a:picLocks noChangeAspect="1"/>
                    </pic:cNvPicPr>
                  </pic:nvPicPr>
                  <pic:blipFill>
                    <a:blip r:embed="rId22"/>
                    <a:stretch>
                      <a:fillRect/>
                    </a:stretch>
                  </pic:blipFill>
                  <pic:spPr>
                    <a:xfrm>
                      <a:off x="0" y="0"/>
                      <a:ext cx="5731510" cy="1527734"/>
                    </a:xfrm>
                    <a:prstGeom prst="rect">
                      <a:avLst/>
                    </a:prstGeom>
                  </pic:spPr>
                </pic:pic>
              </a:graphicData>
            </a:graphic>
          </wp:inline>
        </w:drawing>
      </w:r>
    </w:p>
    <w:p w14:paraId="3278C765">
      <w:pPr>
        <w:spacing w:after="160"/>
        <w:jc w:val="center"/>
      </w:pPr>
      <w:r>
        <w:rPr>
          <w:rFonts w:ascii="宋体" w:hAnsi="宋体" w:eastAsia="宋体"/>
          <w:b w:val="0"/>
          <w:sz w:val="21"/>
        </w:rPr>
        <w:t>图17 销售收银业务流程泳道图（更新版）</w:t>
      </w:r>
    </w:p>
    <w:p w14:paraId="6AF87FA9">
      <w:pPr>
        <w:spacing w:before="160" w:after="80"/>
      </w:pPr>
      <w:r>
        <w:rPr>
          <w:rFonts w:ascii="黑体" w:hAnsi="黑体" w:eastAsia="黑体"/>
          <w:b/>
          <w:sz w:val="24"/>
        </w:rPr>
        <w:t>（2）采购入库流程</w:t>
      </w:r>
    </w:p>
    <w:p w14:paraId="69461C30">
      <w:pPr>
        <w:spacing w:after="120" w:line="360" w:lineRule="auto"/>
        <w:ind w:firstLine="440"/>
      </w:pPr>
      <w:r>
        <w:rPr>
          <w:rFonts w:ascii="宋体" w:hAnsi="宋体" w:eastAsia="宋体"/>
          <w:b w:val="0"/>
          <w:sz w:val="22"/>
        </w:rPr>
        <w:t>采购入库流程用于说明商品从供应商到门店库存的流入过程，参与泳道包括采购人员、供应商、库管人员、采购入库页面、后端库存服务和数据库。采购人员根据低库存预警或人工补货计划选择供应商与商品，系统需要检查供应商是否启用、商品是否存在、入库数量是否为正数、入库价格是否合理。库管人员在实物到货后进行检查，确认数量、批次和备注信息后提交入库单。</w:t>
      </w:r>
    </w:p>
    <w:p w14:paraId="4E8E3A94">
      <w:pPr>
        <w:spacing w:after="120" w:line="360" w:lineRule="auto"/>
        <w:ind w:firstLine="440"/>
      </w:pPr>
      <w:r>
        <w:rPr>
          <w:rFonts w:ascii="宋体" w:hAnsi="宋体" w:eastAsia="宋体"/>
          <w:b w:val="0"/>
          <w:sz w:val="22"/>
        </w:rPr>
        <w:t>后端处理时不能只把库存数量直接加上去，还要同步写入库存流水，记录变更前数量、入库数量、变更后数量、操作人、来源单据和业务原因。对于需要财务跟踪的采购场景，还可以形成供应商应付记录，为后续付款和月结提供依据。异常路径包括供应商停用、商品编码不存在、到货数量与申请数量不一致、重复入库和非法数量。该流程把“采购计划、到货检查、库存增加、财务应付”串成一条可追溯链路，解决了报告中容易需要进一步说明的库存来源问题。</w:t>
      </w:r>
    </w:p>
    <w:p w14:paraId="4B536C4B">
      <w:pPr>
        <w:spacing w:after="40"/>
        <w:jc w:val="center"/>
      </w:pPr>
      <w:r>
        <w:drawing>
          <wp:inline distT="0" distB="0" distL="114300" distR="114300">
            <wp:extent cx="5731510" cy="1660525"/>
            <wp:effectExtent l="0" t="0" r="2540" b="15875"/>
            <wp:docPr id="1260220704" name="Picture 1260220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220704" name="Picture 1260220704"/>
                    <pic:cNvPicPr>
                      <a:picLocks noChangeAspect="1"/>
                    </pic:cNvPicPr>
                  </pic:nvPicPr>
                  <pic:blipFill>
                    <a:blip r:embed="rId23"/>
                    <a:stretch>
                      <a:fillRect/>
                    </a:stretch>
                  </pic:blipFill>
                  <pic:spPr>
                    <a:xfrm>
                      <a:off x="0" y="0"/>
                      <a:ext cx="5731510" cy="1660939"/>
                    </a:xfrm>
                    <a:prstGeom prst="rect">
                      <a:avLst/>
                    </a:prstGeom>
                  </pic:spPr>
                </pic:pic>
              </a:graphicData>
            </a:graphic>
          </wp:inline>
        </w:drawing>
      </w:r>
    </w:p>
    <w:p w14:paraId="3D19B327">
      <w:pPr>
        <w:spacing w:after="160"/>
        <w:jc w:val="center"/>
      </w:pPr>
      <w:r>
        <w:rPr>
          <w:rFonts w:ascii="宋体" w:hAnsi="宋体" w:eastAsia="宋体"/>
          <w:b w:val="0"/>
          <w:sz w:val="21"/>
        </w:rPr>
        <w:t>图18 采购入库业务流程泳道图（更新版）</w:t>
      </w:r>
    </w:p>
    <w:p w14:paraId="33EC5FA9">
      <w:pPr>
        <w:spacing w:before="160" w:after="80"/>
      </w:pPr>
      <w:r>
        <w:rPr>
          <w:rFonts w:ascii="黑体" w:hAnsi="黑体" w:eastAsia="黑体"/>
          <w:b/>
          <w:sz w:val="24"/>
        </w:rPr>
        <w:t>（3）库存盘点流程</w:t>
      </w:r>
    </w:p>
    <w:p w14:paraId="5EE0295E">
      <w:pPr>
        <w:spacing w:after="120" w:line="360" w:lineRule="auto"/>
        <w:ind w:firstLine="440"/>
      </w:pPr>
      <w:r>
        <w:rPr>
          <w:rFonts w:ascii="宋体" w:hAnsi="宋体" w:eastAsia="宋体"/>
          <w:b w:val="0"/>
          <w:sz w:val="22"/>
        </w:rPr>
        <w:t>库存盘点流程用于处理账面库存与实际库存不一致的问题，参与泳道包括店长、库管人员、盘点页面、库存服务、库存流水和数据库。店长或管理员先确定盘点范围，可以按全部商品、单个分类或重点商品生成盘点任务；库管人员根据页面显示的系统库存逐项录入实盘数量。系统在前端展示差异数量和差异方向，但盘点调整仍由后端统一校验。</w:t>
      </w:r>
    </w:p>
    <w:p w14:paraId="462CE963">
      <w:pPr>
        <w:spacing w:after="120" w:line="360" w:lineRule="auto"/>
        <w:ind w:firstLine="440"/>
      </w:pPr>
      <w:r>
        <w:rPr>
          <w:rFonts w:ascii="宋体" w:hAnsi="宋体" w:eastAsia="宋体"/>
          <w:b w:val="0"/>
          <w:sz w:val="22"/>
        </w:rPr>
        <w:t>后端校验重点包括商品是否存在、实盘数量是否为非负数、调整原因是否填写、当前库存是否在提交期间发生变化。通过校验后，库存服务把系统库存修正为实盘数量，并写入盘点类型的库存流水，保留盘前数量、盘后数量、差异数量和操作说明。异常路径包括负数盘点、重复提交、缺少调整原因和并发库存变化。该流程体现了库存模块的审计性：盘点不是简单覆盖数字，而是用流水解释为什么调整、谁调整、调整前后分别是多少。</w:t>
      </w:r>
    </w:p>
    <w:p w14:paraId="6EE8DED5">
      <w:pPr>
        <w:spacing w:after="40"/>
        <w:jc w:val="center"/>
      </w:pPr>
      <w:r>
        <w:drawing>
          <wp:inline distT="0" distB="0" distL="114300" distR="114300">
            <wp:extent cx="5731510" cy="1660525"/>
            <wp:effectExtent l="0" t="0" r="2540" b="15875"/>
            <wp:docPr id="1260220705" name="Picture 12602207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220705" name="Picture 1260220705"/>
                    <pic:cNvPicPr>
                      <a:picLocks noChangeAspect="1"/>
                    </pic:cNvPicPr>
                  </pic:nvPicPr>
                  <pic:blipFill>
                    <a:blip r:embed="rId24"/>
                    <a:stretch>
                      <a:fillRect/>
                    </a:stretch>
                  </pic:blipFill>
                  <pic:spPr>
                    <a:xfrm>
                      <a:off x="0" y="0"/>
                      <a:ext cx="5731510" cy="1660939"/>
                    </a:xfrm>
                    <a:prstGeom prst="rect">
                      <a:avLst/>
                    </a:prstGeom>
                  </pic:spPr>
                </pic:pic>
              </a:graphicData>
            </a:graphic>
          </wp:inline>
        </w:drawing>
      </w:r>
    </w:p>
    <w:p w14:paraId="5E23338E">
      <w:pPr>
        <w:spacing w:after="160"/>
        <w:jc w:val="center"/>
      </w:pPr>
      <w:r>
        <w:rPr>
          <w:rFonts w:ascii="宋体" w:hAnsi="宋体" w:eastAsia="宋体"/>
          <w:b w:val="0"/>
          <w:sz w:val="21"/>
        </w:rPr>
        <w:t>图19 库存盘点业务流程泳道图（更新版）</w:t>
      </w:r>
    </w:p>
    <w:p w14:paraId="1F8954E9">
      <w:pPr>
        <w:spacing w:before="160" w:after="80"/>
      </w:pPr>
      <w:r>
        <w:rPr>
          <w:rFonts w:ascii="黑体" w:hAnsi="黑体" w:eastAsia="黑体"/>
          <w:b/>
          <w:sz w:val="24"/>
        </w:rPr>
        <w:t>（4）退货退款流程</w:t>
      </w:r>
    </w:p>
    <w:p w14:paraId="743F35F5">
      <w:pPr>
        <w:spacing w:after="120" w:line="360" w:lineRule="auto"/>
        <w:ind w:firstLine="440"/>
      </w:pPr>
      <w:r>
        <w:rPr>
          <w:rFonts w:ascii="宋体" w:hAnsi="宋体" w:eastAsia="宋体"/>
          <w:b w:val="0"/>
          <w:sz w:val="22"/>
        </w:rPr>
        <w:t>退货退款流程从顾客提出退货申请开始，参与泳道包括顾客、收银员或管理员、退货页面、销售服务、库存服务、财务服务和数据库。收银员需要先查询原销售单，系统根据销售单号、商品明细、支付状态和退货状态判断是否允许退货。页面展示可退商品、数量、原单价和可退金额，但最终退款金额由后端按原销售明细计算，确保不会因为当前商品价格变化影响历史订单。</w:t>
      </w:r>
    </w:p>
    <w:p w14:paraId="570DFD87">
      <w:pPr>
        <w:spacing w:after="120" w:line="360" w:lineRule="auto"/>
        <w:ind w:firstLine="440"/>
      </w:pPr>
      <w:r>
        <w:rPr>
          <w:rFonts w:ascii="宋体" w:hAnsi="宋体" w:eastAsia="宋体"/>
          <w:b w:val="0"/>
          <w:sz w:val="22"/>
        </w:rPr>
        <w:t>退货确认后，后端需要完成销售单退货状态更新、退货明细记录、库存回补和财务退款记录。库存回补同样要写入库存流水，财务退款要形成反向收支记录，保证经营报表中的净收入可解释。异常路径包括原单不存在、订单已全额退货、退货数量超过购买数量、商品不可退、退款方式缺失和重复退款。该流程补齐了销售闭环中的逆向业务，使系统不只支持卖出商品，也支持售后场景中的金额、库存和单据一致性。</w:t>
      </w:r>
    </w:p>
    <w:p w14:paraId="127AC9E5">
      <w:pPr>
        <w:spacing w:after="40"/>
        <w:jc w:val="center"/>
      </w:pPr>
      <w:r>
        <w:drawing>
          <wp:inline distT="0" distB="0" distL="114300" distR="114300">
            <wp:extent cx="5731510" cy="1660525"/>
            <wp:effectExtent l="0" t="0" r="2540" b="15875"/>
            <wp:docPr id="1260220706" name="Picture 12602207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220706" name="Picture 1260220706"/>
                    <pic:cNvPicPr>
                      <a:picLocks noChangeAspect="1"/>
                    </pic:cNvPicPr>
                  </pic:nvPicPr>
                  <pic:blipFill>
                    <a:blip r:embed="rId25"/>
                    <a:stretch>
                      <a:fillRect/>
                    </a:stretch>
                  </pic:blipFill>
                  <pic:spPr>
                    <a:xfrm>
                      <a:off x="0" y="0"/>
                      <a:ext cx="5731510" cy="1660939"/>
                    </a:xfrm>
                    <a:prstGeom prst="rect">
                      <a:avLst/>
                    </a:prstGeom>
                  </pic:spPr>
                </pic:pic>
              </a:graphicData>
            </a:graphic>
          </wp:inline>
        </w:drawing>
      </w:r>
    </w:p>
    <w:p w14:paraId="10042143">
      <w:pPr>
        <w:spacing w:after="160"/>
        <w:jc w:val="center"/>
      </w:pPr>
      <w:r>
        <w:rPr>
          <w:rFonts w:ascii="宋体" w:hAnsi="宋体" w:eastAsia="宋体"/>
          <w:b w:val="0"/>
          <w:sz w:val="21"/>
        </w:rPr>
        <w:t>图20 退货退款业务流程泳道图（更新版）</w:t>
      </w:r>
    </w:p>
    <w:p w14:paraId="158BF693">
      <w:pPr>
        <w:spacing w:before="160" w:after="80"/>
      </w:pPr>
      <w:r>
        <w:rPr>
          <w:rFonts w:ascii="黑体" w:hAnsi="黑体" w:eastAsia="黑体"/>
          <w:b/>
          <w:sz w:val="24"/>
        </w:rPr>
        <w:t>（5）库存预警补货流程</w:t>
      </w:r>
    </w:p>
    <w:p w14:paraId="25E2DB7B">
      <w:pPr>
        <w:spacing w:after="120" w:line="360" w:lineRule="auto"/>
        <w:ind w:firstLine="440"/>
      </w:pPr>
      <w:r>
        <w:rPr>
          <w:rFonts w:ascii="宋体" w:hAnsi="宋体" w:eastAsia="宋体"/>
          <w:b w:val="0"/>
          <w:sz w:val="22"/>
        </w:rPr>
        <w:t>库存预警补货流程用于把日常经营中的缺货风险转化为可执行的采购建议，参与泳道包括店长、库管人员、预警页面、库存服务、供应商数据和数据库。系统定期或在页面查询时汇总商品当前库存，并与商品自身阈值或系统默认预警阈值比较。当库存低于阈值时，页面将商品列入预警清单，展示当前库存、预警线、建议补货量、最近销售情况和可选供应商。</w:t>
      </w:r>
    </w:p>
    <w:p w14:paraId="45FCDE4E">
      <w:pPr>
        <w:spacing w:after="120" w:line="360" w:lineRule="auto"/>
        <w:ind w:firstLine="440"/>
      </w:pPr>
      <w:r>
        <w:rPr>
          <w:rFonts w:ascii="宋体" w:hAnsi="宋体" w:eastAsia="宋体"/>
          <w:b w:val="0"/>
          <w:sz w:val="22"/>
        </w:rPr>
        <w:t>后端实现上，预警结果不是凭空生成，而是基于商品主数据、库存表、系统参数和供应商关系共同计算。店长确认后，可以把预警清单转为补货建议或采购计划，再进入采购入库流程。异常路径包括商品已停用、没有配置供应商、阈值缺失、建议数量为零和库存已被其他操作补足。该流程说明系统具有主动管理能力，能够从库存数据中发现风险，并把风险引导到采购动作，而不是等收银时才发现商品缺货。</w:t>
      </w:r>
    </w:p>
    <w:p w14:paraId="6776D15A">
      <w:pPr>
        <w:spacing w:after="40"/>
        <w:jc w:val="center"/>
      </w:pPr>
      <w:r>
        <w:drawing>
          <wp:inline distT="0" distB="0" distL="114300" distR="114300">
            <wp:extent cx="5731510" cy="1660525"/>
            <wp:effectExtent l="0" t="0" r="2540" b="15875"/>
            <wp:docPr id="1260220707" name="Picture 12602207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220707" name="Picture 1260220707"/>
                    <pic:cNvPicPr>
                      <a:picLocks noChangeAspect="1"/>
                    </pic:cNvPicPr>
                  </pic:nvPicPr>
                  <pic:blipFill>
                    <a:blip r:embed="rId26"/>
                    <a:stretch>
                      <a:fillRect/>
                    </a:stretch>
                  </pic:blipFill>
                  <pic:spPr>
                    <a:xfrm>
                      <a:off x="0" y="0"/>
                      <a:ext cx="5731510" cy="1660939"/>
                    </a:xfrm>
                    <a:prstGeom prst="rect">
                      <a:avLst/>
                    </a:prstGeom>
                  </pic:spPr>
                </pic:pic>
              </a:graphicData>
            </a:graphic>
          </wp:inline>
        </w:drawing>
      </w:r>
    </w:p>
    <w:p w14:paraId="4085E003">
      <w:pPr>
        <w:spacing w:after="160"/>
        <w:jc w:val="center"/>
      </w:pPr>
      <w:r>
        <w:rPr>
          <w:rFonts w:ascii="宋体" w:hAnsi="宋体" w:eastAsia="宋体"/>
          <w:b w:val="0"/>
          <w:sz w:val="21"/>
        </w:rPr>
        <w:t>图21 库存预警与补货流程泳道图（更新版）</w:t>
      </w:r>
    </w:p>
    <w:p w14:paraId="2995F997">
      <w:pPr>
        <w:spacing w:before="160" w:after="80"/>
      </w:pPr>
      <w:r>
        <w:rPr>
          <w:rFonts w:ascii="黑体" w:hAnsi="黑体" w:eastAsia="黑体"/>
          <w:b/>
          <w:sz w:val="24"/>
        </w:rPr>
        <w:t>（6）会员积分流程</w:t>
      </w:r>
    </w:p>
    <w:p w14:paraId="54D58574">
      <w:pPr>
        <w:spacing w:after="120" w:line="360" w:lineRule="auto"/>
        <w:ind w:firstLine="440"/>
      </w:pPr>
      <w:r>
        <w:rPr>
          <w:rFonts w:ascii="宋体" w:hAnsi="宋体" w:eastAsia="宋体"/>
          <w:b w:val="0"/>
          <w:sz w:val="22"/>
        </w:rPr>
        <w:t>会员积分流程用于说明二期会员模块如何与销售链路结合，参与泳道包括顾客、收银员、会员页面、销售服务、会员服务和数据库。顾客在结算时提供手机号或会员编号，收银员在前端检索会员，后端校验会员是否存在、是否启用、等级是否有效。确认会员身份后，销售结算流程可以根据订单金额、会员等级或积分规则计算本次应增加积分，并在结算完成后更新会员积分余额。</w:t>
      </w:r>
    </w:p>
    <w:p w14:paraId="35482424">
      <w:pPr>
        <w:spacing w:after="120" w:line="360" w:lineRule="auto"/>
        <w:ind w:firstLine="440"/>
      </w:pPr>
      <w:r>
        <w:rPr>
          <w:rFonts w:ascii="宋体" w:hAnsi="宋体" w:eastAsia="宋体"/>
          <w:b w:val="0"/>
          <w:sz w:val="22"/>
        </w:rPr>
        <w:t>实现上，积分不能在订单未成功时提前写入，也不能允许积分余额出现负数。若系统支持积分抵扣，还需要先校验可用积分、抵扣比例和订单最低金额，再把积分扣减与销售单一起提交。异常路径包括会员不存在、会员停用、手机号重复、积分规则缺失、积分不足和订单回滚。该流程体现了会员主数据的业务价值：会员不是孤立档案，而是通过销售行为产生积分变化，并为后续营销分析提供基础数据。</w:t>
      </w:r>
    </w:p>
    <w:p w14:paraId="4E6DEF30">
      <w:pPr>
        <w:spacing w:after="40"/>
        <w:jc w:val="center"/>
      </w:pPr>
      <w:r>
        <w:drawing>
          <wp:inline distT="0" distB="0" distL="114300" distR="114300">
            <wp:extent cx="5731510" cy="1660525"/>
            <wp:effectExtent l="0" t="0" r="2540" b="15875"/>
            <wp:docPr id="1260220708" name="Picture 12602207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220708" name="Picture 1260220708"/>
                    <pic:cNvPicPr>
                      <a:picLocks noChangeAspect="1"/>
                    </pic:cNvPicPr>
                  </pic:nvPicPr>
                  <pic:blipFill>
                    <a:blip r:embed="rId27"/>
                    <a:stretch>
                      <a:fillRect/>
                    </a:stretch>
                  </pic:blipFill>
                  <pic:spPr>
                    <a:xfrm>
                      <a:off x="0" y="0"/>
                      <a:ext cx="5731510" cy="1660939"/>
                    </a:xfrm>
                    <a:prstGeom prst="rect">
                      <a:avLst/>
                    </a:prstGeom>
                  </pic:spPr>
                </pic:pic>
              </a:graphicData>
            </a:graphic>
          </wp:inline>
        </w:drawing>
      </w:r>
    </w:p>
    <w:p w14:paraId="5B1FD607">
      <w:pPr>
        <w:spacing w:after="160"/>
        <w:jc w:val="center"/>
      </w:pPr>
      <w:r>
        <w:rPr>
          <w:rFonts w:ascii="宋体" w:hAnsi="宋体" w:eastAsia="宋体"/>
          <w:b w:val="0"/>
          <w:sz w:val="21"/>
        </w:rPr>
        <w:t>图22 会员积分业务流程泳道图（更新版）</w:t>
      </w:r>
    </w:p>
    <w:p w14:paraId="73EBDEE9">
      <w:pPr>
        <w:spacing w:before="160" w:after="80"/>
      </w:pPr>
      <w:r>
        <w:rPr>
          <w:rFonts w:ascii="黑体" w:hAnsi="黑体" w:eastAsia="黑体"/>
          <w:b/>
          <w:sz w:val="24"/>
        </w:rPr>
        <w:t>（7）班次交接日结流程</w:t>
      </w:r>
    </w:p>
    <w:p w14:paraId="10631561">
      <w:pPr>
        <w:spacing w:after="120" w:line="360" w:lineRule="auto"/>
        <w:ind w:firstLine="440"/>
      </w:pPr>
      <w:r>
        <w:rPr>
          <w:rFonts w:ascii="宋体" w:hAnsi="宋体" w:eastAsia="宋体"/>
          <w:b w:val="0"/>
          <w:sz w:val="22"/>
        </w:rPr>
        <w:t>班次交接日结流程用于管理收银员下班或门店营业结束时的结算动作，参与泳道包括收银员、店长或财务人员、班次页面、销售服务、财务服务和数据库。收银员结束班次时，系统按当前班次汇总销售单数量、销售金额、退款金额、各支付方式金额和异常订单。收银员录入实收现金、备用金、交接备注等信息后提交交接，店长或财务人员进行复核。</w:t>
      </w:r>
    </w:p>
    <w:p w14:paraId="690E1AB2">
      <w:pPr>
        <w:spacing w:after="120" w:line="360" w:lineRule="auto"/>
        <w:ind w:firstLine="440"/>
      </w:pPr>
      <w:r>
        <w:rPr>
          <w:rFonts w:ascii="宋体" w:hAnsi="宋体" w:eastAsia="宋体"/>
          <w:b w:val="0"/>
          <w:sz w:val="22"/>
        </w:rPr>
        <w:t>后端需要根据销售数据计算系统应收，并与实收金额比较生成差异。若差异为零，可直接完成班次关闭；若存在差异，需要记录差异原因和处理意见，便于后续追责或财务调整。异常路径包括班次内仍有未完成订单、重复日结、实收金额格式错误、缺少复核人和差异原因为空。该流程将收银业务延伸到管理控制层面，说明系统不仅能记录订单，还能支持门店每日经营闭环。</w:t>
      </w:r>
    </w:p>
    <w:p w14:paraId="6CAF5C51">
      <w:pPr>
        <w:spacing w:after="40"/>
        <w:jc w:val="center"/>
      </w:pPr>
      <w:r>
        <w:drawing>
          <wp:inline distT="0" distB="0" distL="114300" distR="114300">
            <wp:extent cx="5731510" cy="1660525"/>
            <wp:effectExtent l="0" t="0" r="2540" b="15875"/>
            <wp:docPr id="1260220709" name="Picture 12602207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220709" name="Picture 1260220709"/>
                    <pic:cNvPicPr>
                      <a:picLocks noChangeAspect="1"/>
                    </pic:cNvPicPr>
                  </pic:nvPicPr>
                  <pic:blipFill>
                    <a:blip r:embed="rId28"/>
                    <a:stretch>
                      <a:fillRect/>
                    </a:stretch>
                  </pic:blipFill>
                  <pic:spPr>
                    <a:xfrm>
                      <a:off x="0" y="0"/>
                      <a:ext cx="5731510" cy="1660939"/>
                    </a:xfrm>
                    <a:prstGeom prst="rect">
                      <a:avLst/>
                    </a:prstGeom>
                  </pic:spPr>
                </pic:pic>
              </a:graphicData>
            </a:graphic>
          </wp:inline>
        </w:drawing>
      </w:r>
    </w:p>
    <w:p w14:paraId="1D3A2B9B">
      <w:pPr>
        <w:spacing w:after="160"/>
        <w:jc w:val="center"/>
      </w:pPr>
      <w:r>
        <w:rPr>
          <w:rFonts w:ascii="宋体" w:hAnsi="宋体" w:eastAsia="宋体"/>
          <w:b w:val="0"/>
          <w:sz w:val="21"/>
        </w:rPr>
        <w:t>图23 班次交接与日结流程泳道图（更新版）</w:t>
      </w:r>
    </w:p>
    <w:p w14:paraId="46E6D2C2">
      <w:pPr>
        <w:spacing w:before="160" w:after="80"/>
      </w:pPr>
      <w:r>
        <w:rPr>
          <w:rFonts w:ascii="黑体" w:hAnsi="黑体" w:eastAsia="黑体"/>
          <w:b/>
          <w:sz w:val="24"/>
        </w:rPr>
        <w:t>（8）商品调价流程</w:t>
      </w:r>
    </w:p>
    <w:p w14:paraId="4348775A">
      <w:pPr>
        <w:spacing w:after="120" w:line="360" w:lineRule="auto"/>
        <w:ind w:firstLine="440"/>
      </w:pPr>
      <w:r>
        <w:rPr>
          <w:rFonts w:ascii="宋体" w:hAnsi="宋体" w:eastAsia="宋体"/>
          <w:b w:val="0"/>
          <w:sz w:val="22"/>
        </w:rPr>
        <w:t>商品调价流程用于处理商品售价、进价或促销价格变化，参与泳道包括管理员、商品管理页面、商品服务、销售服务和数据库。管理员在商品维护页面选择商品并提交新价格，系统先校验商品是否存在、是否允许编辑、价格是否为非负数、售价是否低于合理成本阈值。调价通过后，商品主数据中的当前价格被更新，页面立即展示新价格。</w:t>
      </w:r>
    </w:p>
    <w:p w14:paraId="2499F957">
      <w:pPr>
        <w:spacing w:after="120" w:line="360" w:lineRule="auto"/>
        <w:ind w:firstLine="440"/>
      </w:pPr>
      <w:r>
        <w:rPr>
          <w:rFonts w:ascii="宋体" w:hAnsi="宋体" w:eastAsia="宋体"/>
          <w:b w:val="0"/>
          <w:sz w:val="22"/>
        </w:rPr>
        <w:t>该流程的关键细节是历史销售明细不能被调价影响。销售单明细保存的是成交时的价格快照，因此商品当前售价变化只影响后续订单，不会改变历史订单金额、财务收入和报表结果。异常路径包括商品编码不存在、价格为空、价格为负、权限不足和并发修改。调价流程体现了主数据与业务单据分离的建模原则：主数据可以变化，历史单据必须稳定。</w:t>
      </w:r>
    </w:p>
    <w:p w14:paraId="6095A658">
      <w:pPr>
        <w:spacing w:after="40"/>
        <w:jc w:val="center"/>
      </w:pPr>
      <w:r>
        <w:drawing>
          <wp:inline distT="0" distB="0" distL="114300" distR="114300">
            <wp:extent cx="5731510" cy="1660525"/>
            <wp:effectExtent l="0" t="0" r="2540" b="15875"/>
            <wp:docPr id="1260220710" name="Picture 12602207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220710" name="Picture 1260220710"/>
                    <pic:cNvPicPr>
                      <a:picLocks noChangeAspect="1"/>
                    </pic:cNvPicPr>
                  </pic:nvPicPr>
                  <pic:blipFill>
                    <a:blip r:embed="rId29"/>
                    <a:stretch>
                      <a:fillRect/>
                    </a:stretch>
                  </pic:blipFill>
                  <pic:spPr>
                    <a:xfrm>
                      <a:off x="0" y="0"/>
                      <a:ext cx="5731510" cy="1660939"/>
                    </a:xfrm>
                    <a:prstGeom prst="rect">
                      <a:avLst/>
                    </a:prstGeom>
                  </pic:spPr>
                </pic:pic>
              </a:graphicData>
            </a:graphic>
          </wp:inline>
        </w:drawing>
      </w:r>
    </w:p>
    <w:p w14:paraId="2E5E873F">
      <w:pPr>
        <w:spacing w:after="160"/>
        <w:jc w:val="center"/>
      </w:pPr>
      <w:r>
        <w:rPr>
          <w:rFonts w:ascii="宋体" w:hAnsi="宋体" w:eastAsia="宋体"/>
          <w:b w:val="0"/>
          <w:sz w:val="21"/>
        </w:rPr>
        <w:t>图24 商品调价流程泳道图（更新版）</w:t>
      </w:r>
    </w:p>
    <w:p w14:paraId="10A399EC">
      <w:pPr>
        <w:spacing w:before="160" w:after="80"/>
      </w:pPr>
      <w:r>
        <w:rPr>
          <w:rFonts w:ascii="黑体" w:hAnsi="黑体" w:eastAsia="黑体"/>
          <w:b/>
          <w:sz w:val="24"/>
        </w:rPr>
        <w:t>（9）管理员注册审核流程</w:t>
      </w:r>
    </w:p>
    <w:p w14:paraId="08792A35">
      <w:pPr>
        <w:spacing w:after="120" w:line="360" w:lineRule="auto"/>
        <w:ind w:firstLine="440"/>
      </w:pPr>
      <w:r>
        <w:rPr>
          <w:rFonts w:ascii="宋体" w:hAnsi="宋体" w:eastAsia="宋体"/>
          <w:b w:val="0"/>
          <w:sz w:val="22"/>
        </w:rPr>
        <w:t>管理员注册审核流程用于控制后台权限入口，参与泳道包括申请人、登录注册页面、审核管理员、账号服务、审核记录和数据库。申请人提交管理员账号申请时，系统先检查用户名、手机号、邮箱等字段是否符合规则，并判断账号是否重复。申请信息不会直接生成可登录管理员，而是进入待审核状态，等待已有管理员处理。</w:t>
      </w:r>
    </w:p>
    <w:p w14:paraId="42E533BA">
      <w:pPr>
        <w:spacing w:after="120" w:line="360" w:lineRule="auto"/>
        <w:ind w:firstLine="440"/>
      </w:pPr>
      <w:r>
        <w:rPr>
          <w:rFonts w:ascii="宋体" w:hAnsi="宋体" w:eastAsia="宋体"/>
          <w:b w:val="0"/>
          <w:sz w:val="22"/>
        </w:rPr>
        <w:t>审核管理员在后台查看申请列表，可以执行通过或驳回。通过时，账号服务创建用户记录、写入角色和状态，并保存密码哈希；驳回时，系统记录驳回原因和审核时间，申请人不能获得管理权限。异常路径包括重复申请、审核人权限不足、申请记录不存在、申请已处理和密码规则不满足。该流程展示了系统安全边界：管理员权限必须经过审核链路，而不是由开放注册直接获得。</w:t>
      </w:r>
    </w:p>
    <w:p w14:paraId="606D16C7">
      <w:pPr>
        <w:spacing w:after="40"/>
        <w:jc w:val="center"/>
      </w:pPr>
      <w:r>
        <w:drawing>
          <wp:inline distT="0" distB="0" distL="114300" distR="114300">
            <wp:extent cx="5731510" cy="1660525"/>
            <wp:effectExtent l="0" t="0" r="2540" b="15875"/>
            <wp:docPr id="1260220711" name="Picture 12602207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220711" name="Picture 1260220711"/>
                    <pic:cNvPicPr>
                      <a:picLocks noChangeAspect="1"/>
                    </pic:cNvPicPr>
                  </pic:nvPicPr>
                  <pic:blipFill>
                    <a:blip r:embed="rId30"/>
                    <a:stretch>
                      <a:fillRect/>
                    </a:stretch>
                  </pic:blipFill>
                  <pic:spPr>
                    <a:xfrm>
                      <a:off x="0" y="0"/>
                      <a:ext cx="5731510" cy="1660939"/>
                    </a:xfrm>
                    <a:prstGeom prst="rect">
                      <a:avLst/>
                    </a:prstGeom>
                  </pic:spPr>
                </pic:pic>
              </a:graphicData>
            </a:graphic>
          </wp:inline>
        </w:drawing>
      </w:r>
    </w:p>
    <w:p w14:paraId="444D19E5">
      <w:pPr>
        <w:spacing w:after="160"/>
        <w:jc w:val="center"/>
      </w:pPr>
      <w:r>
        <w:rPr>
          <w:rFonts w:ascii="宋体" w:hAnsi="宋体" w:eastAsia="宋体"/>
          <w:b w:val="0"/>
          <w:sz w:val="21"/>
        </w:rPr>
        <w:t>图25 管理员注册审核流程泳道图（更新版）</w:t>
      </w:r>
    </w:p>
    <w:p w14:paraId="73BE9DD2">
      <w:pPr>
        <w:spacing w:before="160" w:after="80"/>
      </w:pPr>
      <w:r>
        <w:rPr>
          <w:rFonts w:ascii="黑体" w:hAnsi="黑体" w:eastAsia="黑体"/>
          <w:b/>
          <w:sz w:val="24"/>
        </w:rPr>
        <w:t>（10）商品批量导入流程</w:t>
      </w:r>
    </w:p>
    <w:p w14:paraId="2992115D">
      <w:pPr>
        <w:spacing w:after="120" w:line="360" w:lineRule="auto"/>
        <w:ind w:firstLine="440"/>
      </w:pPr>
      <w:r>
        <w:rPr>
          <w:rFonts w:ascii="宋体" w:hAnsi="宋体" w:eastAsia="宋体"/>
          <w:b w:val="0"/>
          <w:sz w:val="22"/>
        </w:rPr>
        <w:t>商品批量导入流程用于提高商品主数据初始化效率，参与泳道包括管理员、导入页面、文件解析服务、商品服务、库存服务和数据库。管理员下载或准备模板文件后上传，前端通过表单文件上传把 CSV 或 Excel 文件提交给后端。文件解析服务读取表头和每一行数据，校验必填字段，例如商品编码、商品名称、分类、售价、单位和初始库存，并对数字格式、空值、重复编码进行检查。</w:t>
      </w:r>
    </w:p>
    <w:p w14:paraId="272EA1AE">
      <w:pPr>
        <w:spacing w:after="120" w:line="360" w:lineRule="auto"/>
        <w:ind w:firstLine="440"/>
      </w:pPr>
      <w:r>
        <w:rPr>
          <w:rFonts w:ascii="宋体" w:hAnsi="宋体" w:eastAsia="宋体"/>
          <w:b w:val="0"/>
          <w:sz w:val="22"/>
        </w:rPr>
        <w:t>导入实现需要区分成功记录与失败记录，不能因为一行错误就让管理员不知道整体结果。后端对合法行创建商品主数据，并按初始库存生成库存记录；对非法行返回行号、字段名和失败原因。异常路径包括文件为空、格式不支持、表头缺失、编码重复、价格非法、库存为负和数据库写入失败。该流程说明商品主数据不是手工随意录入，而是通过模板、解析、校验、落库和反馈完成批量治理。</w:t>
      </w:r>
    </w:p>
    <w:p w14:paraId="172F9C06">
      <w:pPr>
        <w:spacing w:after="40"/>
        <w:jc w:val="center"/>
      </w:pPr>
      <w:r>
        <w:drawing>
          <wp:inline distT="0" distB="0" distL="114300" distR="114300">
            <wp:extent cx="5731510" cy="1660525"/>
            <wp:effectExtent l="0" t="0" r="2540" b="15875"/>
            <wp:docPr id="1260220712" name="Picture 12602207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220712" name="Picture 1260220712"/>
                    <pic:cNvPicPr>
                      <a:picLocks noChangeAspect="1"/>
                    </pic:cNvPicPr>
                  </pic:nvPicPr>
                  <pic:blipFill>
                    <a:blip r:embed="rId31"/>
                    <a:stretch>
                      <a:fillRect/>
                    </a:stretch>
                  </pic:blipFill>
                  <pic:spPr>
                    <a:xfrm>
                      <a:off x="0" y="0"/>
                      <a:ext cx="5731510" cy="1660939"/>
                    </a:xfrm>
                    <a:prstGeom prst="rect">
                      <a:avLst/>
                    </a:prstGeom>
                  </pic:spPr>
                </pic:pic>
              </a:graphicData>
            </a:graphic>
          </wp:inline>
        </w:drawing>
      </w:r>
    </w:p>
    <w:p w14:paraId="15C159DD">
      <w:pPr>
        <w:spacing w:after="160"/>
        <w:jc w:val="center"/>
      </w:pPr>
      <w:r>
        <w:rPr>
          <w:rFonts w:ascii="宋体" w:hAnsi="宋体" w:eastAsia="宋体"/>
          <w:b w:val="0"/>
          <w:sz w:val="21"/>
        </w:rPr>
        <w:t>图26 商品批量导入流程泳道图（更新版）</w:t>
      </w:r>
    </w:p>
    <w:p w14:paraId="66418DE4">
      <w:pPr>
        <w:spacing w:before="160" w:after="80"/>
      </w:pPr>
      <w:r>
        <w:rPr>
          <w:rFonts w:ascii="黑体" w:hAnsi="黑体" w:eastAsia="黑体"/>
          <w:b/>
          <w:sz w:val="24"/>
        </w:rPr>
        <w:t>（11）财务日结对账流程</w:t>
      </w:r>
    </w:p>
    <w:p w14:paraId="64064467">
      <w:pPr>
        <w:spacing w:after="120" w:line="360" w:lineRule="auto"/>
        <w:ind w:firstLine="440"/>
      </w:pPr>
      <w:r>
        <w:rPr>
          <w:rFonts w:ascii="宋体" w:hAnsi="宋体" w:eastAsia="宋体"/>
          <w:b w:val="0"/>
          <w:sz w:val="22"/>
        </w:rPr>
        <w:t>财务日结对账流程用于核对系统收入与实际收款，参与泳道包括财务人员、店长、日结页面、销售服务、财务服务、对账记录和数据库。系统按业务日期汇总销售收入、退款金额和不同支付方式金额，形成系统应收。财务人员根据收银台现金、支付平台流水或银行记录录入实收金额，页面展示系统金额、实收金额和差异。</w:t>
      </w:r>
    </w:p>
    <w:p w14:paraId="531D0795">
      <w:pPr>
        <w:spacing w:after="120" w:line="360" w:lineRule="auto"/>
        <w:ind w:firstLine="440"/>
      </w:pPr>
      <w:r>
        <w:rPr>
          <w:rFonts w:ascii="宋体" w:hAnsi="宋体" w:eastAsia="宋体"/>
          <w:b w:val="0"/>
          <w:sz w:val="22"/>
        </w:rPr>
        <w:t>后端保存日结记录时，需要固化对账日期、系统金额、实收金额、差异金额、差异原因、处理状态和操作人。若同一日期已完成日结，系统应禁止重复生成或要求先撤销原记录。异常路径包括日期为空、金额格式错误、重复日结、差异原因缺失和权限不足。该流程回答了财务业务中的关键问题：销售数据如何进入财务，账实不符如何记录，日结结果如何被后续查询和审计。</w:t>
      </w:r>
    </w:p>
    <w:p w14:paraId="6ED0B892">
      <w:pPr>
        <w:spacing w:after="40"/>
        <w:jc w:val="center"/>
      </w:pPr>
      <w:r>
        <w:drawing>
          <wp:inline distT="0" distB="0" distL="114300" distR="114300">
            <wp:extent cx="5731510" cy="1660525"/>
            <wp:effectExtent l="0" t="0" r="2540" b="15875"/>
            <wp:docPr id="1260220713" name="Picture 12602207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220713" name="Picture 1260220713"/>
                    <pic:cNvPicPr>
                      <a:picLocks noChangeAspect="1"/>
                    </pic:cNvPicPr>
                  </pic:nvPicPr>
                  <pic:blipFill>
                    <a:blip r:embed="rId32"/>
                    <a:stretch>
                      <a:fillRect/>
                    </a:stretch>
                  </pic:blipFill>
                  <pic:spPr>
                    <a:xfrm>
                      <a:off x="0" y="0"/>
                      <a:ext cx="5731510" cy="1660939"/>
                    </a:xfrm>
                    <a:prstGeom prst="rect">
                      <a:avLst/>
                    </a:prstGeom>
                  </pic:spPr>
                </pic:pic>
              </a:graphicData>
            </a:graphic>
          </wp:inline>
        </w:drawing>
      </w:r>
    </w:p>
    <w:p w14:paraId="53C99752">
      <w:pPr>
        <w:spacing w:after="160"/>
        <w:jc w:val="center"/>
      </w:pPr>
      <w:r>
        <w:rPr>
          <w:rFonts w:ascii="宋体" w:hAnsi="宋体" w:eastAsia="宋体"/>
          <w:b w:val="0"/>
          <w:sz w:val="21"/>
        </w:rPr>
        <w:t>图27 财务日结对账流程泳道图（更新版）</w:t>
      </w:r>
    </w:p>
    <w:p w14:paraId="40140D51">
      <w:pPr>
        <w:spacing w:before="160" w:after="80"/>
      </w:pPr>
      <w:r>
        <w:rPr>
          <w:rFonts w:ascii="黑体" w:hAnsi="黑体" w:eastAsia="黑体"/>
          <w:b/>
          <w:sz w:val="24"/>
        </w:rPr>
        <w:t>（12）公告发布阅读流程</w:t>
      </w:r>
    </w:p>
    <w:p w14:paraId="6D3BE985">
      <w:pPr>
        <w:spacing w:after="120" w:line="360" w:lineRule="auto"/>
        <w:ind w:firstLine="440"/>
      </w:pPr>
      <w:r>
        <w:rPr>
          <w:rFonts w:ascii="宋体" w:hAnsi="宋体" w:eastAsia="宋体"/>
          <w:b w:val="0"/>
          <w:sz w:val="22"/>
        </w:rPr>
        <w:t>公告发布阅读流程用于说明系统内部通知如何触达不同角色，参与泳道包括管理员、公告管理页面、普通用户、公告服务、阅读记录和数据库。管理员创建公告时填写标题、内容、目标角色、发布时间和发布状态，系统校验标题与内容不能为空，并根据目标角色控制可见范围。公告发布后，符合角色的用户在首页或公告页面看到未读提醒。</w:t>
      </w:r>
    </w:p>
    <w:p w14:paraId="5A7B8CD3">
      <w:pPr>
        <w:spacing w:after="120" w:line="360" w:lineRule="auto"/>
        <w:ind w:firstLine="440"/>
      </w:pPr>
      <w:r>
        <w:rPr>
          <w:rFonts w:ascii="宋体" w:hAnsi="宋体" w:eastAsia="宋体"/>
          <w:b w:val="0"/>
          <w:sz w:val="22"/>
        </w:rPr>
        <w:t>用户打开公告详情时，公告服务写入或更新阅读记录，记录用户、公告、阅读时间和状态，未读数量随之减少。若公告被撤回或设置为草稿，普通用户不应继续看到。异常路径包括公告内容为空、目标角色非法、用户无权查看、重复标记已读和公告不存在。该流程虽然不像销售和库存那样产生金额变化，但它体现了系统的协同管理能力，也说明公告内容与阅读状态被拆分建模，便于统计谁已读、谁未读。</w:t>
      </w:r>
    </w:p>
    <w:p w14:paraId="56374F90">
      <w:pPr>
        <w:spacing w:after="40"/>
        <w:jc w:val="center"/>
      </w:pPr>
      <w:r>
        <w:drawing>
          <wp:inline distT="0" distB="0" distL="114300" distR="114300">
            <wp:extent cx="5731510" cy="1527175"/>
            <wp:effectExtent l="0" t="0" r="2540" b="15875"/>
            <wp:docPr id="1260220714" name="Picture 12602207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220714" name="Picture 1260220714"/>
                    <pic:cNvPicPr>
                      <a:picLocks noChangeAspect="1"/>
                    </pic:cNvPicPr>
                  </pic:nvPicPr>
                  <pic:blipFill>
                    <a:blip r:embed="rId33"/>
                    <a:stretch>
                      <a:fillRect/>
                    </a:stretch>
                  </pic:blipFill>
                  <pic:spPr>
                    <a:xfrm>
                      <a:off x="0" y="0"/>
                      <a:ext cx="5731510" cy="1527734"/>
                    </a:xfrm>
                    <a:prstGeom prst="rect">
                      <a:avLst/>
                    </a:prstGeom>
                  </pic:spPr>
                </pic:pic>
              </a:graphicData>
            </a:graphic>
          </wp:inline>
        </w:drawing>
      </w:r>
    </w:p>
    <w:p w14:paraId="0CDCF6A7">
      <w:pPr>
        <w:spacing w:after="160"/>
        <w:jc w:val="center"/>
      </w:pPr>
      <w:r>
        <w:rPr>
          <w:rFonts w:ascii="宋体" w:hAnsi="宋体" w:eastAsia="宋体"/>
          <w:b w:val="0"/>
          <w:sz w:val="21"/>
        </w:rPr>
        <w:t>图28 公告发布与阅读流程泳道图（更新版）</w:t>
      </w:r>
    </w:p>
    <w:tbl>
      <w:tblPr>
        <w:tblStyle w:val="2"/>
        <w:tblW w:w="9026" w:type="dxa"/>
        <w:tblInd w:w="0" w:type="dxa"/>
        <w:tblBorders>
          <w:top w:val="single" w:color="999999" w:sz="4" w:space="0"/>
          <w:left w:val="single" w:color="999999" w:sz="4" w:space="0"/>
          <w:bottom w:val="single" w:color="999999" w:sz="4" w:space="0"/>
          <w:right w:val="single" w:color="999999" w:sz="4" w:space="0"/>
          <w:insideH w:val="single" w:color="BBBBBB" w:sz="4" w:space="0"/>
          <w:insideV w:val="single" w:color="BBBBBB" w:sz="4" w:space="0"/>
        </w:tblBorders>
        <w:tblLayout w:type="autofit"/>
        <w:tblCellMar>
          <w:top w:w="70" w:type="dxa"/>
          <w:left w:w="90" w:type="dxa"/>
          <w:bottom w:w="70" w:type="dxa"/>
          <w:right w:w="90" w:type="dxa"/>
        </w:tblCellMar>
      </w:tblPr>
      <w:tblGrid>
        <w:gridCol w:w="902"/>
        <w:gridCol w:w="2608"/>
        <w:gridCol w:w="5516"/>
      </w:tblGrid>
      <w:tr w14:paraId="1CF95365">
        <w:tblPrEx>
          <w:tblBorders>
            <w:top w:val="single" w:color="999999" w:sz="4" w:space="0"/>
            <w:left w:val="single" w:color="999999" w:sz="4" w:space="0"/>
            <w:bottom w:val="single" w:color="999999" w:sz="4" w:space="0"/>
            <w:right w:val="single" w:color="999999" w:sz="4" w:space="0"/>
            <w:insideH w:val="single" w:color="BBBBBB" w:sz="4" w:space="0"/>
            <w:insideV w:val="single" w:color="BBBBBB" w:sz="4" w:space="0"/>
          </w:tblBorders>
          <w:tblCellMar>
            <w:top w:w="70" w:type="dxa"/>
            <w:left w:w="90" w:type="dxa"/>
            <w:bottom w:w="70" w:type="dxa"/>
            <w:right w:w="90" w:type="dxa"/>
          </w:tblCellMar>
        </w:tblPrEx>
        <w:tc>
          <w:tcPr>
            <w:tcW w:w="900" w:type="dxa"/>
            <w:shd w:val="clear" w:color="auto" w:fill="D9EAF7"/>
          </w:tcPr>
          <w:p w14:paraId="3E830CA6">
            <w:pPr>
              <w:spacing w:before="0" w:after="35" w:line="270" w:lineRule="auto"/>
              <w:rPr>
                <w:rFonts w:hint="eastAsia" w:ascii="宋体" w:hAnsi="宋体" w:eastAsia="宋体" w:cs="宋体"/>
              </w:rPr>
            </w:pPr>
            <w:r>
              <w:rPr>
                <w:rFonts w:hint="eastAsia" w:ascii="宋体" w:hAnsi="宋体" w:eastAsia="宋体" w:cs="宋体"/>
                <w:b/>
                <w:bCs/>
                <w:color w:val="1F4E79"/>
                <w:sz w:val="18"/>
                <w:szCs w:val="18"/>
              </w:rPr>
              <w:t>序号</w:t>
            </w:r>
          </w:p>
        </w:tc>
        <w:tc>
          <w:tcPr>
            <w:tcW w:w="2600" w:type="dxa"/>
            <w:shd w:val="clear" w:color="auto" w:fill="D9EAF7"/>
          </w:tcPr>
          <w:p w14:paraId="1C9FF676">
            <w:pPr>
              <w:spacing w:before="0" w:after="35" w:line="270" w:lineRule="auto"/>
              <w:rPr>
                <w:rFonts w:hint="eastAsia" w:ascii="宋体" w:hAnsi="宋体" w:eastAsia="宋体" w:cs="宋体"/>
              </w:rPr>
            </w:pPr>
            <w:r>
              <w:rPr>
                <w:rFonts w:hint="eastAsia" w:ascii="宋体" w:hAnsi="宋体" w:eastAsia="宋体" w:cs="宋体"/>
                <w:b/>
                <w:bCs/>
                <w:color w:val="1F4E79"/>
                <w:sz w:val="18"/>
                <w:szCs w:val="18"/>
              </w:rPr>
              <w:t>流程</w:t>
            </w:r>
          </w:p>
        </w:tc>
        <w:tc>
          <w:tcPr>
            <w:tcW w:w="5500" w:type="dxa"/>
            <w:shd w:val="clear" w:color="auto" w:fill="D9EAF7"/>
          </w:tcPr>
          <w:p w14:paraId="54487097">
            <w:pPr>
              <w:spacing w:before="0" w:after="35" w:line="270" w:lineRule="auto"/>
              <w:rPr>
                <w:rFonts w:hint="eastAsia" w:ascii="宋体" w:hAnsi="宋体" w:eastAsia="宋体" w:cs="宋体"/>
              </w:rPr>
            </w:pPr>
            <w:r>
              <w:rPr>
                <w:rFonts w:hint="eastAsia" w:ascii="宋体" w:hAnsi="宋体" w:eastAsia="宋体" w:cs="宋体"/>
                <w:b/>
                <w:bCs/>
                <w:color w:val="1F4E79"/>
                <w:sz w:val="18"/>
                <w:szCs w:val="18"/>
              </w:rPr>
              <w:t>覆盖目标</w:t>
            </w:r>
          </w:p>
        </w:tc>
      </w:tr>
      <w:tr w14:paraId="332A2DAE">
        <w:tblPrEx>
          <w:tblBorders>
            <w:top w:val="single" w:color="999999" w:sz="4" w:space="0"/>
            <w:left w:val="single" w:color="999999" w:sz="4" w:space="0"/>
            <w:bottom w:val="single" w:color="999999" w:sz="4" w:space="0"/>
            <w:right w:val="single" w:color="999999" w:sz="4" w:space="0"/>
            <w:insideH w:val="single" w:color="BBBBBB" w:sz="4" w:space="0"/>
            <w:insideV w:val="single" w:color="BBBBBB" w:sz="4" w:space="0"/>
          </w:tblBorders>
          <w:tblCellMar>
            <w:top w:w="70" w:type="dxa"/>
            <w:left w:w="90" w:type="dxa"/>
            <w:bottom w:w="70" w:type="dxa"/>
            <w:right w:w="90" w:type="dxa"/>
          </w:tblCellMar>
        </w:tblPrEx>
        <w:tc>
          <w:tcPr>
            <w:tcW w:w="900" w:type="dxa"/>
          </w:tcPr>
          <w:p w14:paraId="72DBAF26">
            <w:pPr>
              <w:spacing w:before="0" w:after="35" w:line="270" w:lineRule="auto"/>
              <w:rPr>
                <w:rFonts w:hint="eastAsia" w:ascii="宋体" w:hAnsi="宋体" w:eastAsia="宋体" w:cs="宋体"/>
              </w:rPr>
            </w:pPr>
            <w:r>
              <w:rPr>
                <w:rFonts w:hint="eastAsia" w:ascii="宋体" w:hAnsi="宋体" w:eastAsia="宋体" w:cs="宋体"/>
                <w:sz w:val="18"/>
                <w:szCs w:val="18"/>
              </w:rPr>
              <w:t>1</w:t>
            </w:r>
          </w:p>
        </w:tc>
        <w:tc>
          <w:tcPr>
            <w:tcW w:w="2600" w:type="dxa"/>
          </w:tcPr>
          <w:p w14:paraId="786CE5B9">
            <w:pPr>
              <w:spacing w:before="0" w:after="35" w:line="270" w:lineRule="auto"/>
              <w:rPr>
                <w:rFonts w:hint="eastAsia" w:ascii="宋体" w:hAnsi="宋体" w:eastAsia="宋体" w:cs="宋体"/>
              </w:rPr>
            </w:pPr>
            <w:r>
              <w:rPr>
                <w:rFonts w:hint="eastAsia" w:ascii="宋体" w:hAnsi="宋体" w:eastAsia="宋体" w:cs="宋体"/>
                <w:sz w:val="18"/>
                <w:szCs w:val="18"/>
              </w:rPr>
              <w:t>销售收银</w:t>
            </w:r>
          </w:p>
        </w:tc>
        <w:tc>
          <w:tcPr>
            <w:tcW w:w="5500" w:type="dxa"/>
          </w:tcPr>
          <w:p w14:paraId="30D77E0A">
            <w:pPr>
              <w:spacing w:before="0" w:after="35" w:line="270" w:lineRule="auto"/>
              <w:rPr>
                <w:rFonts w:hint="eastAsia" w:ascii="宋体" w:hAnsi="宋体" w:eastAsia="宋体" w:cs="宋体"/>
              </w:rPr>
            </w:pPr>
            <w:r>
              <w:rPr>
                <w:rFonts w:hint="eastAsia" w:ascii="宋体" w:hAnsi="宋体" w:eastAsia="宋体" w:cs="宋体"/>
                <w:sz w:val="18"/>
                <w:szCs w:val="18"/>
              </w:rPr>
              <w:t>检索商品、购物车、库存校验、生成销售单、打印小票</w:t>
            </w:r>
          </w:p>
        </w:tc>
      </w:tr>
      <w:tr w14:paraId="4F7AD7F8">
        <w:tblPrEx>
          <w:tblBorders>
            <w:top w:val="single" w:color="999999" w:sz="4" w:space="0"/>
            <w:left w:val="single" w:color="999999" w:sz="4" w:space="0"/>
            <w:bottom w:val="single" w:color="999999" w:sz="4" w:space="0"/>
            <w:right w:val="single" w:color="999999" w:sz="4" w:space="0"/>
            <w:insideH w:val="single" w:color="BBBBBB" w:sz="4" w:space="0"/>
            <w:insideV w:val="single" w:color="BBBBBB" w:sz="4" w:space="0"/>
          </w:tblBorders>
          <w:tblCellMar>
            <w:top w:w="70" w:type="dxa"/>
            <w:left w:w="90" w:type="dxa"/>
            <w:bottom w:w="70" w:type="dxa"/>
            <w:right w:w="90" w:type="dxa"/>
          </w:tblCellMar>
        </w:tblPrEx>
        <w:tc>
          <w:tcPr>
            <w:tcW w:w="900" w:type="dxa"/>
            <w:shd w:val="clear" w:color="auto" w:fill="F7FBFF"/>
          </w:tcPr>
          <w:p w14:paraId="2F2205AC">
            <w:pPr>
              <w:spacing w:before="0" w:after="35" w:line="270" w:lineRule="auto"/>
              <w:rPr>
                <w:rFonts w:hint="eastAsia" w:ascii="宋体" w:hAnsi="宋体" w:eastAsia="宋体" w:cs="宋体"/>
              </w:rPr>
            </w:pPr>
            <w:r>
              <w:rPr>
                <w:rFonts w:hint="eastAsia" w:ascii="宋体" w:hAnsi="宋体" w:eastAsia="宋体" w:cs="宋体"/>
                <w:sz w:val="18"/>
                <w:szCs w:val="18"/>
              </w:rPr>
              <w:t>2</w:t>
            </w:r>
          </w:p>
        </w:tc>
        <w:tc>
          <w:tcPr>
            <w:tcW w:w="2600" w:type="dxa"/>
            <w:shd w:val="clear" w:color="auto" w:fill="F7FBFF"/>
          </w:tcPr>
          <w:p w14:paraId="0053848C">
            <w:pPr>
              <w:spacing w:before="0" w:after="35" w:line="270" w:lineRule="auto"/>
              <w:rPr>
                <w:rFonts w:hint="eastAsia" w:ascii="宋体" w:hAnsi="宋体" w:eastAsia="宋体" w:cs="宋体"/>
              </w:rPr>
            </w:pPr>
            <w:r>
              <w:rPr>
                <w:rFonts w:hint="eastAsia" w:ascii="宋体" w:hAnsi="宋体" w:eastAsia="宋体" w:cs="宋体"/>
                <w:sz w:val="18"/>
                <w:szCs w:val="18"/>
              </w:rPr>
              <w:t>采购入库</w:t>
            </w:r>
          </w:p>
        </w:tc>
        <w:tc>
          <w:tcPr>
            <w:tcW w:w="5500" w:type="dxa"/>
            <w:shd w:val="clear" w:color="auto" w:fill="F7FBFF"/>
          </w:tcPr>
          <w:p w14:paraId="0C943F39">
            <w:pPr>
              <w:spacing w:before="0" w:after="35" w:line="270" w:lineRule="auto"/>
              <w:rPr>
                <w:rFonts w:hint="eastAsia" w:ascii="宋体" w:hAnsi="宋体" w:eastAsia="宋体" w:cs="宋体"/>
              </w:rPr>
            </w:pPr>
            <w:r>
              <w:rPr>
                <w:rFonts w:hint="eastAsia" w:ascii="宋体" w:hAnsi="宋体" w:eastAsia="宋体" w:cs="宋体"/>
                <w:sz w:val="18"/>
                <w:szCs w:val="18"/>
              </w:rPr>
              <w:t>采购申请、到货验收、库存入账</w:t>
            </w:r>
          </w:p>
        </w:tc>
      </w:tr>
      <w:tr w14:paraId="2B94AAB8">
        <w:tblPrEx>
          <w:tblBorders>
            <w:top w:val="single" w:color="999999" w:sz="4" w:space="0"/>
            <w:left w:val="single" w:color="999999" w:sz="4" w:space="0"/>
            <w:bottom w:val="single" w:color="999999" w:sz="4" w:space="0"/>
            <w:right w:val="single" w:color="999999" w:sz="4" w:space="0"/>
            <w:insideH w:val="single" w:color="BBBBBB" w:sz="4" w:space="0"/>
            <w:insideV w:val="single" w:color="BBBBBB" w:sz="4" w:space="0"/>
          </w:tblBorders>
          <w:tblCellMar>
            <w:top w:w="70" w:type="dxa"/>
            <w:left w:w="90" w:type="dxa"/>
            <w:bottom w:w="70" w:type="dxa"/>
            <w:right w:w="90" w:type="dxa"/>
          </w:tblCellMar>
        </w:tblPrEx>
        <w:tc>
          <w:tcPr>
            <w:tcW w:w="900" w:type="dxa"/>
          </w:tcPr>
          <w:p w14:paraId="07DD8BAE">
            <w:pPr>
              <w:spacing w:before="0" w:after="35" w:line="270" w:lineRule="auto"/>
              <w:rPr>
                <w:rFonts w:hint="eastAsia" w:ascii="宋体" w:hAnsi="宋体" w:eastAsia="宋体" w:cs="宋体"/>
              </w:rPr>
            </w:pPr>
            <w:r>
              <w:rPr>
                <w:rFonts w:hint="eastAsia" w:ascii="宋体" w:hAnsi="宋体" w:eastAsia="宋体" w:cs="宋体"/>
                <w:sz w:val="18"/>
                <w:szCs w:val="18"/>
              </w:rPr>
              <w:t>3</w:t>
            </w:r>
          </w:p>
        </w:tc>
        <w:tc>
          <w:tcPr>
            <w:tcW w:w="2600" w:type="dxa"/>
          </w:tcPr>
          <w:p w14:paraId="10107899">
            <w:pPr>
              <w:spacing w:before="0" w:after="35" w:line="270" w:lineRule="auto"/>
              <w:rPr>
                <w:rFonts w:hint="eastAsia" w:ascii="宋体" w:hAnsi="宋体" w:eastAsia="宋体" w:cs="宋体"/>
              </w:rPr>
            </w:pPr>
            <w:r>
              <w:rPr>
                <w:rFonts w:hint="eastAsia" w:ascii="宋体" w:hAnsi="宋体" w:eastAsia="宋体" w:cs="宋体"/>
                <w:sz w:val="18"/>
                <w:szCs w:val="18"/>
              </w:rPr>
              <w:t>库存盘点</w:t>
            </w:r>
          </w:p>
        </w:tc>
        <w:tc>
          <w:tcPr>
            <w:tcW w:w="5500" w:type="dxa"/>
          </w:tcPr>
          <w:p w14:paraId="47BF70A3">
            <w:pPr>
              <w:spacing w:before="0" w:after="35" w:line="270" w:lineRule="auto"/>
              <w:rPr>
                <w:rFonts w:hint="eastAsia" w:ascii="宋体" w:hAnsi="宋体" w:eastAsia="宋体" w:cs="宋体"/>
              </w:rPr>
            </w:pPr>
            <w:r>
              <w:rPr>
                <w:rFonts w:hint="eastAsia" w:ascii="宋体" w:hAnsi="宋体" w:eastAsia="宋体" w:cs="宋体"/>
                <w:sz w:val="18"/>
                <w:szCs w:val="18"/>
              </w:rPr>
              <w:t>盘点任务、录入差异、调整库存</w:t>
            </w:r>
          </w:p>
        </w:tc>
      </w:tr>
      <w:tr w14:paraId="2791CC84">
        <w:tblPrEx>
          <w:tblBorders>
            <w:top w:val="single" w:color="999999" w:sz="4" w:space="0"/>
            <w:left w:val="single" w:color="999999" w:sz="4" w:space="0"/>
            <w:bottom w:val="single" w:color="999999" w:sz="4" w:space="0"/>
            <w:right w:val="single" w:color="999999" w:sz="4" w:space="0"/>
            <w:insideH w:val="single" w:color="BBBBBB" w:sz="4" w:space="0"/>
            <w:insideV w:val="single" w:color="BBBBBB" w:sz="4" w:space="0"/>
          </w:tblBorders>
          <w:tblCellMar>
            <w:top w:w="70" w:type="dxa"/>
            <w:left w:w="90" w:type="dxa"/>
            <w:bottom w:w="70" w:type="dxa"/>
            <w:right w:w="90" w:type="dxa"/>
          </w:tblCellMar>
        </w:tblPrEx>
        <w:tc>
          <w:tcPr>
            <w:tcW w:w="900" w:type="dxa"/>
            <w:shd w:val="clear" w:color="auto" w:fill="F7FBFF"/>
          </w:tcPr>
          <w:p w14:paraId="2B545D63">
            <w:pPr>
              <w:spacing w:before="0" w:after="35" w:line="270" w:lineRule="auto"/>
              <w:rPr>
                <w:rFonts w:hint="eastAsia" w:ascii="宋体" w:hAnsi="宋体" w:eastAsia="宋体" w:cs="宋体"/>
              </w:rPr>
            </w:pPr>
            <w:r>
              <w:rPr>
                <w:rFonts w:hint="eastAsia" w:ascii="宋体" w:hAnsi="宋体" w:eastAsia="宋体" w:cs="宋体"/>
                <w:sz w:val="18"/>
                <w:szCs w:val="18"/>
              </w:rPr>
              <w:t>4</w:t>
            </w:r>
          </w:p>
        </w:tc>
        <w:tc>
          <w:tcPr>
            <w:tcW w:w="2600" w:type="dxa"/>
            <w:shd w:val="clear" w:color="auto" w:fill="F7FBFF"/>
          </w:tcPr>
          <w:p w14:paraId="5759C70D">
            <w:pPr>
              <w:spacing w:before="0" w:after="35" w:line="270" w:lineRule="auto"/>
              <w:rPr>
                <w:rFonts w:hint="eastAsia" w:ascii="宋体" w:hAnsi="宋体" w:eastAsia="宋体" w:cs="宋体"/>
              </w:rPr>
            </w:pPr>
            <w:r>
              <w:rPr>
                <w:rFonts w:hint="eastAsia" w:ascii="宋体" w:hAnsi="宋体" w:eastAsia="宋体" w:cs="宋体"/>
                <w:sz w:val="18"/>
                <w:szCs w:val="18"/>
              </w:rPr>
              <w:t>退货退款</w:t>
            </w:r>
          </w:p>
        </w:tc>
        <w:tc>
          <w:tcPr>
            <w:tcW w:w="5500" w:type="dxa"/>
            <w:shd w:val="clear" w:color="auto" w:fill="F7FBFF"/>
          </w:tcPr>
          <w:p w14:paraId="0C68A7CE">
            <w:pPr>
              <w:spacing w:before="0" w:after="35" w:line="270" w:lineRule="auto"/>
              <w:rPr>
                <w:rFonts w:hint="eastAsia" w:ascii="宋体" w:hAnsi="宋体" w:eastAsia="宋体" w:cs="宋体"/>
              </w:rPr>
            </w:pPr>
            <w:r>
              <w:rPr>
                <w:rFonts w:hint="eastAsia" w:ascii="宋体" w:hAnsi="宋体" w:eastAsia="宋体" w:cs="宋体"/>
                <w:sz w:val="18"/>
                <w:szCs w:val="18"/>
              </w:rPr>
              <w:t>校验订单、回补库存、登记退款</w:t>
            </w:r>
          </w:p>
        </w:tc>
      </w:tr>
      <w:tr w14:paraId="1334C7F4">
        <w:tblPrEx>
          <w:tblBorders>
            <w:top w:val="single" w:color="999999" w:sz="4" w:space="0"/>
            <w:left w:val="single" w:color="999999" w:sz="4" w:space="0"/>
            <w:bottom w:val="single" w:color="999999" w:sz="4" w:space="0"/>
            <w:right w:val="single" w:color="999999" w:sz="4" w:space="0"/>
            <w:insideH w:val="single" w:color="BBBBBB" w:sz="4" w:space="0"/>
            <w:insideV w:val="single" w:color="BBBBBB" w:sz="4" w:space="0"/>
          </w:tblBorders>
          <w:tblCellMar>
            <w:top w:w="70" w:type="dxa"/>
            <w:left w:w="90" w:type="dxa"/>
            <w:bottom w:w="70" w:type="dxa"/>
            <w:right w:w="90" w:type="dxa"/>
          </w:tblCellMar>
        </w:tblPrEx>
        <w:tc>
          <w:tcPr>
            <w:tcW w:w="900" w:type="dxa"/>
          </w:tcPr>
          <w:p w14:paraId="7AD77D70">
            <w:pPr>
              <w:spacing w:before="0" w:after="35" w:line="270" w:lineRule="auto"/>
              <w:rPr>
                <w:rFonts w:hint="eastAsia" w:ascii="宋体" w:hAnsi="宋体" w:eastAsia="宋体" w:cs="宋体"/>
              </w:rPr>
            </w:pPr>
            <w:r>
              <w:rPr>
                <w:rFonts w:hint="eastAsia" w:ascii="宋体" w:hAnsi="宋体" w:eastAsia="宋体" w:cs="宋体"/>
                <w:sz w:val="18"/>
                <w:szCs w:val="18"/>
              </w:rPr>
              <w:t>5</w:t>
            </w:r>
          </w:p>
        </w:tc>
        <w:tc>
          <w:tcPr>
            <w:tcW w:w="2600" w:type="dxa"/>
          </w:tcPr>
          <w:p w14:paraId="085F0127">
            <w:pPr>
              <w:spacing w:before="0" w:after="35" w:line="270" w:lineRule="auto"/>
              <w:rPr>
                <w:rFonts w:hint="eastAsia" w:ascii="宋体" w:hAnsi="宋体" w:eastAsia="宋体" w:cs="宋体"/>
              </w:rPr>
            </w:pPr>
            <w:r>
              <w:rPr>
                <w:rFonts w:hint="eastAsia" w:ascii="宋体" w:hAnsi="宋体" w:eastAsia="宋体" w:cs="宋体"/>
                <w:sz w:val="18"/>
                <w:szCs w:val="18"/>
              </w:rPr>
              <w:t>补货预警</w:t>
            </w:r>
          </w:p>
        </w:tc>
        <w:tc>
          <w:tcPr>
            <w:tcW w:w="5500" w:type="dxa"/>
          </w:tcPr>
          <w:p w14:paraId="778B3312">
            <w:pPr>
              <w:spacing w:before="0" w:after="35" w:line="270" w:lineRule="auto"/>
              <w:rPr>
                <w:rFonts w:hint="eastAsia" w:ascii="宋体" w:hAnsi="宋体" w:eastAsia="宋体" w:cs="宋体"/>
              </w:rPr>
            </w:pPr>
            <w:r>
              <w:rPr>
                <w:rFonts w:hint="eastAsia" w:ascii="宋体" w:hAnsi="宋体" w:eastAsia="宋体" w:cs="宋体"/>
                <w:sz w:val="18"/>
                <w:szCs w:val="18"/>
              </w:rPr>
              <w:t>识别低库存/缺货并形成补货建议</w:t>
            </w:r>
          </w:p>
        </w:tc>
      </w:tr>
      <w:tr w14:paraId="0EA34084">
        <w:tblPrEx>
          <w:tblBorders>
            <w:top w:val="single" w:color="999999" w:sz="4" w:space="0"/>
            <w:left w:val="single" w:color="999999" w:sz="4" w:space="0"/>
            <w:bottom w:val="single" w:color="999999" w:sz="4" w:space="0"/>
            <w:right w:val="single" w:color="999999" w:sz="4" w:space="0"/>
            <w:insideH w:val="single" w:color="BBBBBB" w:sz="4" w:space="0"/>
            <w:insideV w:val="single" w:color="BBBBBB" w:sz="4" w:space="0"/>
          </w:tblBorders>
          <w:tblCellMar>
            <w:top w:w="70" w:type="dxa"/>
            <w:left w:w="90" w:type="dxa"/>
            <w:bottom w:w="70" w:type="dxa"/>
            <w:right w:w="90" w:type="dxa"/>
          </w:tblCellMar>
        </w:tblPrEx>
        <w:tc>
          <w:tcPr>
            <w:tcW w:w="900" w:type="dxa"/>
            <w:shd w:val="clear" w:color="auto" w:fill="F7FBFF"/>
          </w:tcPr>
          <w:p w14:paraId="57AE15CA">
            <w:pPr>
              <w:spacing w:before="0" w:after="35" w:line="270" w:lineRule="auto"/>
              <w:rPr>
                <w:rFonts w:hint="eastAsia" w:ascii="宋体" w:hAnsi="宋体" w:eastAsia="宋体" w:cs="宋体"/>
              </w:rPr>
            </w:pPr>
            <w:r>
              <w:rPr>
                <w:rFonts w:hint="eastAsia" w:ascii="宋体" w:hAnsi="宋体" w:eastAsia="宋体" w:cs="宋体"/>
                <w:sz w:val="18"/>
                <w:szCs w:val="18"/>
              </w:rPr>
              <w:t>6</w:t>
            </w:r>
          </w:p>
        </w:tc>
        <w:tc>
          <w:tcPr>
            <w:tcW w:w="2600" w:type="dxa"/>
            <w:shd w:val="clear" w:color="auto" w:fill="F7FBFF"/>
          </w:tcPr>
          <w:p w14:paraId="3D97C59F">
            <w:pPr>
              <w:spacing w:before="0" w:after="35" w:line="270" w:lineRule="auto"/>
              <w:rPr>
                <w:rFonts w:hint="eastAsia" w:ascii="宋体" w:hAnsi="宋体" w:eastAsia="宋体" w:cs="宋体"/>
              </w:rPr>
            </w:pPr>
            <w:r>
              <w:rPr>
                <w:rFonts w:hint="eastAsia" w:ascii="宋体" w:hAnsi="宋体" w:eastAsia="宋体" w:cs="宋体"/>
                <w:sz w:val="18"/>
                <w:szCs w:val="18"/>
              </w:rPr>
              <w:t>会员积分</w:t>
            </w:r>
          </w:p>
        </w:tc>
        <w:tc>
          <w:tcPr>
            <w:tcW w:w="5500" w:type="dxa"/>
            <w:shd w:val="clear" w:color="auto" w:fill="F7FBFF"/>
          </w:tcPr>
          <w:p w14:paraId="03FECFC1">
            <w:pPr>
              <w:spacing w:before="0" w:after="35" w:line="270" w:lineRule="auto"/>
              <w:rPr>
                <w:rFonts w:hint="eastAsia" w:ascii="宋体" w:hAnsi="宋体" w:eastAsia="宋体" w:cs="宋体"/>
              </w:rPr>
            </w:pPr>
            <w:r>
              <w:rPr>
                <w:rFonts w:hint="eastAsia" w:ascii="宋体" w:hAnsi="宋体" w:eastAsia="宋体" w:cs="宋体"/>
                <w:sz w:val="18"/>
                <w:szCs w:val="18"/>
              </w:rPr>
              <w:t>会员识别、积分累计、等级更新</w:t>
            </w:r>
          </w:p>
        </w:tc>
      </w:tr>
      <w:tr w14:paraId="3EB456AD">
        <w:tblPrEx>
          <w:tblBorders>
            <w:top w:val="single" w:color="999999" w:sz="4" w:space="0"/>
            <w:left w:val="single" w:color="999999" w:sz="4" w:space="0"/>
            <w:bottom w:val="single" w:color="999999" w:sz="4" w:space="0"/>
            <w:right w:val="single" w:color="999999" w:sz="4" w:space="0"/>
            <w:insideH w:val="single" w:color="BBBBBB" w:sz="4" w:space="0"/>
            <w:insideV w:val="single" w:color="BBBBBB" w:sz="4" w:space="0"/>
          </w:tblBorders>
          <w:tblCellMar>
            <w:top w:w="70" w:type="dxa"/>
            <w:left w:w="90" w:type="dxa"/>
            <w:bottom w:w="70" w:type="dxa"/>
            <w:right w:w="90" w:type="dxa"/>
          </w:tblCellMar>
        </w:tblPrEx>
        <w:tc>
          <w:tcPr>
            <w:tcW w:w="900" w:type="dxa"/>
          </w:tcPr>
          <w:p w14:paraId="32AD5C0B">
            <w:pPr>
              <w:spacing w:before="0" w:after="35" w:line="270" w:lineRule="auto"/>
              <w:rPr>
                <w:rFonts w:hint="eastAsia" w:ascii="宋体" w:hAnsi="宋体" w:eastAsia="宋体" w:cs="宋体"/>
              </w:rPr>
            </w:pPr>
            <w:r>
              <w:rPr>
                <w:rFonts w:hint="eastAsia" w:ascii="宋体" w:hAnsi="宋体" w:eastAsia="宋体" w:cs="宋体"/>
                <w:sz w:val="18"/>
                <w:szCs w:val="18"/>
              </w:rPr>
              <w:t>7</w:t>
            </w:r>
          </w:p>
        </w:tc>
        <w:tc>
          <w:tcPr>
            <w:tcW w:w="2600" w:type="dxa"/>
          </w:tcPr>
          <w:p w14:paraId="04E114EA">
            <w:pPr>
              <w:spacing w:before="0" w:after="35" w:line="270" w:lineRule="auto"/>
              <w:rPr>
                <w:rFonts w:hint="eastAsia" w:ascii="宋体" w:hAnsi="宋体" w:eastAsia="宋体" w:cs="宋体"/>
              </w:rPr>
            </w:pPr>
            <w:r>
              <w:rPr>
                <w:rFonts w:hint="eastAsia" w:ascii="宋体" w:hAnsi="宋体" w:eastAsia="宋体" w:cs="宋体"/>
                <w:sz w:val="18"/>
                <w:szCs w:val="18"/>
              </w:rPr>
              <w:t>班次日结</w:t>
            </w:r>
          </w:p>
        </w:tc>
        <w:tc>
          <w:tcPr>
            <w:tcW w:w="5500" w:type="dxa"/>
          </w:tcPr>
          <w:p w14:paraId="1C158EC8">
            <w:pPr>
              <w:spacing w:before="0" w:after="35" w:line="270" w:lineRule="auto"/>
              <w:rPr>
                <w:rFonts w:hint="eastAsia" w:ascii="宋体" w:hAnsi="宋体" w:eastAsia="宋体" w:cs="宋体"/>
              </w:rPr>
            </w:pPr>
            <w:r>
              <w:rPr>
                <w:rFonts w:hint="eastAsia" w:ascii="宋体" w:hAnsi="宋体" w:eastAsia="宋体" w:cs="宋体"/>
                <w:sz w:val="18"/>
                <w:szCs w:val="18"/>
              </w:rPr>
              <w:t>班次汇总、对账、提交确认</w:t>
            </w:r>
          </w:p>
        </w:tc>
      </w:tr>
      <w:tr w14:paraId="52F38ADD">
        <w:tblPrEx>
          <w:tblBorders>
            <w:top w:val="single" w:color="999999" w:sz="4" w:space="0"/>
            <w:left w:val="single" w:color="999999" w:sz="4" w:space="0"/>
            <w:bottom w:val="single" w:color="999999" w:sz="4" w:space="0"/>
            <w:right w:val="single" w:color="999999" w:sz="4" w:space="0"/>
            <w:insideH w:val="single" w:color="BBBBBB" w:sz="4" w:space="0"/>
            <w:insideV w:val="single" w:color="BBBBBB" w:sz="4" w:space="0"/>
          </w:tblBorders>
          <w:tblCellMar>
            <w:top w:w="70" w:type="dxa"/>
            <w:left w:w="90" w:type="dxa"/>
            <w:bottom w:w="70" w:type="dxa"/>
            <w:right w:w="90" w:type="dxa"/>
          </w:tblCellMar>
        </w:tblPrEx>
        <w:tc>
          <w:tcPr>
            <w:tcW w:w="900" w:type="dxa"/>
            <w:shd w:val="clear" w:color="auto" w:fill="F7FBFF"/>
          </w:tcPr>
          <w:p w14:paraId="61EE2744">
            <w:pPr>
              <w:spacing w:before="0" w:after="35" w:line="270" w:lineRule="auto"/>
              <w:rPr>
                <w:rFonts w:hint="eastAsia" w:ascii="宋体" w:hAnsi="宋体" w:eastAsia="宋体" w:cs="宋体"/>
              </w:rPr>
            </w:pPr>
            <w:r>
              <w:rPr>
                <w:rFonts w:hint="eastAsia" w:ascii="宋体" w:hAnsi="宋体" w:eastAsia="宋体" w:cs="宋体"/>
                <w:sz w:val="18"/>
                <w:szCs w:val="18"/>
              </w:rPr>
              <w:t>8</w:t>
            </w:r>
          </w:p>
        </w:tc>
        <w:tc>
          <w:tcPr>
            <w:tcW w:w="2600" w:type="dxa"/>
            <w:shd w:val="clear" w:color="auto" w:fill="F7FBFF"/>
          </w:tcPr>
          <w:p w14:paraId="6A2E9FBD">
            <w:pPr>
              <w:spacing w:before="0" w:after="35" w:line="270" w:lineRule="auto"/>
              <w:rPr>
                <w:rFonts w:hint="eastAsia" w:ascii="宋体" w:hAnsi="宋体" w:eastAsia="宋体" w:cs="宋体"/>
              </w:rPr>
            </w:pPr>
            <w:r>
              <w:rPr>
                <w:rFonts w:hint="eastAsia" w:ascii="宋体" w:hAnsi="宋体" w:eastAsia="宋体" w:cs="宋体"/>
                <w:sz w:val="18"/>
                <w:szCs w:val="18"/>
              </w:rPr>
              <w:t>商品调价</w:t>
            </w:r>
          </w:p>
        </w:tc>
        <w:tc>
          <w:tcPr>
            <w:tcW w:w="5500" w:type="dxa"/>
            <w:shd w:val="clear" w:color="auto" w:fill="F7FBFF"/>
          </w:tcPr>
          <w:p w14:paraId="4E50ADF9">
            <w:pPr>
              <w:spacing w:before="0" w:after="35" w:line="270" w:lineRule="auto"/>
              <w:rPr>
                <w:rFonts w:hint="eastAsia" w:ascii="宋体" w:hAnsi="宋体" w:eastAsia="宋体" w:cs="宋体"/>
              </w:rPr>
            </w:pPr>
            <w:r>
              <w:rPr>
                <w:rFonts w:hint="eastAsia" w:ascii="宋体" w:hAnsi="宋体" w:eastAsia="宋体" w:cs="宋体"/>
                <w:sz w:val="18"/>
                <w:szCs w:val="18"/>
              </w:rPr>
              <w:t>调价申请、生效、记录价格日志</w:t>
            </w:r>
          </w:p>
        </w:tc>
      </w:tr>
      <w:tr w14:paraId="75E3F01F">
        <w:tblPrEx>
          <w:tblBorders>
            <w:top w:val="single" w:color="999999" w:sz="4" w:space="0"/>
            <w:left w:val="single" w:color="999999" w:sz="4" w:space="0"/>
            <w:bottom w:val="single" w:color="999999" w:sz="4" w:space="0"/>
            <w:right w:val="single" w:color="999999" w:sz="4" w:space="0"/>
            <w:insideH w:val="single" w:color="BBBBBB" w:sz="4" w:space="0"/>
            <w:insideV w:val="single" w:color="BBBBBB" w:sz="4" w:space="0"/>
          </w:tblBorders>
          <w:tblCellMar>
            <w:top w:w="70" w:type="dxa"/>
            <w:left w:w="90" w:type="dxa"/>
            <w:bottom w:w="70" w:type="dxa"/>
            <w:right w:w="90" w:type="dxa"/>
          </w:tblCellMar>
        </w:tblPrEx>
        <w:tc>
          <w:tcPr>
            <w:tcW w:w="900" w:type="dxa"/>
          </w:tcPr>
          <w:p w14:paraId="21807ADC">
            <w:pPr>
              <w:spacing w:before="0" w:after="35" w:line="270" w:lineRule="auto"/>
              <w:rPr>
                <w:rFonts w:hint="eastAsia" w:ascii="宋体" w:hAnsi="宋体" w:eastAsia="宋体" w:cs="宋体"/>
              </w:rPr>
            </w:pPr>
            <w:r>
              <w:rPr>
                <w:rFonts w:hint="eastAsia" w:ascii="宋体" w:hAnsi="宋体" w:eastAsia="宋体" w:cs="宋体"/>
                <w:sz w:val="18"/>
                <w:szCs w:val="18"/>
              </w:rPr>
              <w:t>9</w:t>
            </w:r>
          </w:p>
        </w:tc>
        <w:tc>
          <w:tcPr>
            <w:tcW w:w="2600" w:type="dxa"/>
          </w:tcPr>
          <w:p w14:paraId="145888F1">
            <w:pPr>
              <w:spacing w:before="0" w:after="35" w:line="270" w:lineRule="auto"/>
              <w:rPr>
                <w:rFonts w:hint="eastAsia" w:ascii="宋体" w:hAnsi="宋体" w:eastAsia="宋体" w:cs="宋体"/>
              </w:rPr>
            </w:pPr>
            <w:r>
              <w:rPr>
                <w:rFonts w:hint="eastAsia" w:ascii="宋体" w:hAnsi="宋体" w:eastAsia="宋体" w:cs="宋体"/>
                <w:sz w:val="18"/>
                <w:szCs w:val="18"/>
              </w:rPr>
              <w:t>管理员注册审核</w:t>
            </w:r>
          </w:p>
        </w:tc>
        <w:tc>
          <w:tcPr>
            <w:tcW w:w="5500" w:type="dxa"/>
          </w:tcPr>
          <w:p w14:paraId="1C84C82B">
            <w:pPr>
              <w:spacing w:before="0" w:after="35" w:line="270" w:lineRule="auto"/>
              <w:rPr>
                <w:rFonts w:hint="eastAsia" w:ascii="宋体" w:hAnsi="宋体" w:eastAsia="宋体" w:cs="宋体"/>
              </w:rPr>
            </w:pPr>
            <w:r>
              <w:rPr>
                <w:rFonts w:hint="eastAsia" w:ascii="宋体" w:hAnsi="宋体" w:eastAsia="宋体" w:cs="宋体"/>
                <w:sz w:val="18"/>
                <w:szCs w:val="18"/>
              </w:rPr>
              <w:t>管理员注册申请、审核、启用账号</w:t>
            </w:r>
          </w:p>
        </w:tc>
      </w:tr>
      <w:tr w14:paraId="115A10B3">
        <w:tblPrEx>
          <w:tblBorders>
            <w:top w:val="single" w:color="999999" w:sz="4" w:space="0"/>
            <w:left w:val="single" w:color="999999" w:sz="4" w:space="0"/>
            <w:bottom w:val="single" w:color="999999" w:sz="4" w:space="0"/>
            <w:right w:val="single" w:color="999999" w:sz="4" w:space="0"/>
            <w:insideH w:val="single" w:color="BBBBBB" w:sz="4" w:space="0"/>
            <w:insideV w:val="single" w:color="BBBBBB" w:sz="4" w:space="0"/>
          </w:tblBorders>
          <w:tblCellMar>
            <w:top w:w="70" w:type="dxa"/>
            <w:left w:w="90" w:type="dxa"/>
            <w:bottom w:w="70" w:type="dxa"/>
            <w:right w:w="90" w:type="dxa"/>
          </w:tblCellMar>
        </w:tblPrEx>
        <w:tc>
          <w:tcPr>
            <w:tcW w:w="900" w:type="dxa"/>
            <w:shd w:val="clear" w:color="auto" w:fill="F7FBFF"/>
          </w:tcPr>
          <w:p w14:paraId="7C9BFE82">
            <w:pPr>
              <w:spacing w:before="0" w:after="35" w:line="270" w:lineRule="auto"/>
              <w:rPr>
                <w:rFonts w:hint="eastAsia" w:ascii="宋体" w:hAnsi="宋体" w:eastAsia="宋体" w:cs="宋体"/>
              </w:rPr>
            </w:pPr>
            <w:r>
              <w:rPr>
                <w:rFonts w:hint="eastAsia" w:ascii="宋体" w:hAnsi="宋体" w:eastAsia="宋体" w:cs="宋体"/>
                <w:sz w:val="18"/>
                <w:szCs w:val="18"/>
              </w:rPr>
              <w:t>10</w:t>
            </w:r>
          </w:p>
        </w:tc>
        <w:tc>
          <w:tcPr>
            <w:tcW w:w="2600" w:type="dxa"/>
            <w:shd w:val="clear" w:color="auto" w:fill="F7FBFF"/>
          </w:tcPr>
          <w:p w14:paraId="3264E9C7">
            <w:pPr>
              <w:spacing w:before="0" w:after="35" w:line="270" w:lineRule="auto"/>
              <w:rPr>
                <w:rFonts w:hint="eastAsia" w:ascii="宋体" w:hAnsi="宋体" w:eastAsia="宋体" w:cs="宋体"/>
              </w:rPr>
            </w:pPr>
            <w:r>
              <w:rPr>
                <w:rFonts w:hint="eastAsia" w:ascii="宋体" w:hAnsi="宋体" w:eastAsia="宋体" w:cs="宋体"/>
                <w:sz w:val="18"/>
                <w:szCs w:val="18"/>
              </w:rPr>
              <w:t>商品批量导入</w:t>
            </w:r>
          </w:p>
        </w:tc>
        <w:tc>
          <w:tcPr>
            <w:tcW w:w="5500" w:type="dxa"/>
            <w:shd w:val="clear" w:color="auto" w:fill="F7FBFF"/>
          </w:tcPr>
          <w:p w14:paraId="14A23684">
            <w:pPr>
              <w:spacing w:before="0" w:after="35" w:line="270" w:lineRule="auto"/>
              <w:rPr>
                <w:rFonts w:hint="eastAsia" w:ascii="宋体" w:hAnsi="宋体" w:eastAsia="宋体" w:cs="宋体"/>
              </w:rPr>
            </w:pPr>
            <w:r>
              <w:rPr>
                <w:rFonts w:hint="eastAsia" w:ascii="宋体" w:hAnsi="宋体" w:eastAsia="宋体" w:cs="宋体"/>
                <w:sz w:val="18"/>
                <w:szCs w:val="18"/>
              </w:rPr>
              <w:t>上传 CSV/Excel、校验、创建商品与库存</w:t>
            </w:r>
          </w:p>
        </w:tc>
      </w:tr>
      <w:tr w14:paraId="2D533ACE">
        <w:tblPrEx>
          <w:tblBorders>
            <w:top w:val="single" w:color="999999" w:sz="4" w:space="0"/>
            <w:left w:val="single" w:color="999999" w:sz="4" w:space="0"/>
            <w:bottom w:val="single" w:color="999999" w:sz="4" w:space="0"/>
            <w:right w:val="single" w:color="999999" w:sz="4" w:space="0"/>
            <w:insideH w:val="single" w:color="BBBBBB" w:sz="4" w:space="0"/>
            <w:insideV w:val="single" w:color="BBBBBB" w:sz="4" w:space="0"/>
          </w:tblBorders>
          <w:tblCellMar>
            <w:top w:w="70" w:type="dxa"/>
            <w:left w:w="90" w:type="dxa"/>
            <w:bottom w:w="70" w:type="dxa"/>
            <w:right w:w="90" w:type="dxa"/>
          </w:tblCellMar>
        </w:tblPrEx>
        <w:tc>
          <w:tcPr>
            <w:tcW w:w="900" w:type="dxa"/>
          </w:tcPr>
          <w:p w14:paraId="20B7E040">
            <w:pPr>
              <w:spacing w:before="0" w:after="35" w:line="270" w:lineRule="auto"/>
              <w:rPr>
                <w:rFonts w:hint="eastAsia" w:ascii="宋体" w:hAnsi="宋体" w:eastAsia="宋体" w:cs="宋体"/>
              </w:rPr>
            </w:pPr>
            <w:r>
              <w:rPr>
                <w:rFonts w:hint="eastAsia" w:ascii="宋体" w:hAnsi="宋体" w:eastAsia="宋体" w:cs="宋体"/>
                <w:sz w:val="18"/>
                <w:szCs w:val="18"/>
              </w:rPr>
              <w:t>11</w:t>
            </w:r>
          </w:p>
        </w:tc>
        <w:tc>
          <w:tcPr>
            <w:tcW w:w="2600" w:type="dxa"/>
          </w:tcPr>
          <w:p w14:paraId="1FBCF9C4">
            <w:pPr>
              <w:spacing w:before="0" w:after="35" w:line="270" w:lineRule="auto"/>
              <w:rPr>
                <w:rFonts w:hint="eastAsia" w:ascii="宋体" w:hAnsi="宋体" w:eastAsia="宋体" w:cs="宋体"/>
              </w:rPr>
            </w:pPr>
            <w:r>
              <w:rPr>
                <w:rFonts w:hint="eastAsia" w:ascii="宋体" w:hAnsi="宋体" w:eastAsia="宋体" w:cs="宋体"/>
                <w:sz w:val="18"/>
                <w:szCs w:val="18"/>
              </w:rPr>
              <w:t>财务日结对账</w:t>
            </w:r>
          </w:p>
        </w:tc>
        <w:tc>
          <w:tcPr>
            <w:tcW w:w="5500" w:type="dxa"/>
          </w:tcPr>
          <w:p w14:paraId="0F1512B9">
            <w:pPr>
              <w:spacing w:before="0" w:after="35" w:line="270" w:lineRule="auto"/>
              <w:rPr>
                <w:rFonts w:hint="eastAsia" w:ascii="宋体" w:hAnsi="宋体" w:eastAsia="宋体" w:cs="宋体"/>
              </w:rPr>
            </w:pPr>
            <w:r>
              <w:rPr>
                <w:rFonts w:hint="eastAsia" w:ascii="宋体" w:hAnsi="宋体" w:eastAsia="宋体" w:cs="宋体"/>
                <w:sz w:val="18"/>
                <w:szCs w:val="18"/>
              </w:rPr>
              <w:t>汇总收入、录入实收、保存差异和凭证</w:t>
            </w:r>
          </w:p>
        </w:tc>
      </w:tr>
      <w:tr w14:paraId="05620146">
        <w:tblPrEx>
          <w:tblBorders>
            <w:top w:val="single" w:color="999999" w:sz="4" w:space="0"/>
            <w:left w:val="single" w:color="999999" w:sz="4" w:space="0"/>
            <w:bottom w:val="single" w:color="999999" w:sz="4" w:space="0"/>
            <w:right w:val="single" w:color="999999" w:sz="4" w:space="0"/>
            <w:insideH w:val="single" w:color="BBBBBB" w:sz="4" w:space="0"/>
            <w:insideV w:val="single" w:color="BBBBBB" w:sz="4" w:space="0"/>
          </w:tblBorders>
          <w:tblCellMar>
            <w:top w:w="70" w:type="dxa"/>
            <w:left w:w="90" w:type="dxa"/>
            <w:bottom w:w="70" w:type="dxa"/>
            <w:right w:w="90" w:type="dxa"/>
          </w:tblCellMar>
        </w:tblPrEx>
        <w:tc>
          <w:tcPr>
            <w:tcW w:w="900" w:type="dxa"/>
            <w:shd w:val="clear" w:color="auto" w:fill="F7FBFF"/>
          </w:tcPr>
          <w:p w14:paraId="41299A9D">
            <w:pPr>
              <w:spacing w:before="0" w:after="35" w:line="270" w:lineRule="auto"/>
              <w:rPr>
                <w:rFonts w:hint="eastAsia" w:ascii="宋体" w:hAnsi="宋体" w:eastAsia="宋体" w:cs="宋体"/>
              </w:rPr>
            </w:pPr>
            <w:r>
              <w:rPr>
                <w:rFonts w:hint="eastAsia" w:ascii="宋体" w:hAnsi="宋体" w:eastAsia="宋体" w:cs="宋体"/>
                <w:sz w:val="18"/>
                <w:szCs w:val="18"/>
              </w:rPr>
              <w:t>12</w:t>
            </w:r>
          </w:p>
        </w:tc>
        <w:tc>
          <w:tcPr>
            <w:tcW w:w="2600" w:type="dxa"/>
            <w:shd w:val="clear" w:color="auto" w:fill="F7FBFF"/>
          </w:tcPr>
          <w:p w14:paraId="289DBE20">
            <w:pPr>
              <w:spacing w:before="0" w:after="35" w:line="270" w:lineRule="auto"/>
              <w:rPr>
                <w:rFonts w:hint="eastAsia" w:ascii="宋体" w:hAnsi="宋体" w:eastAsia="宋体" w:cs="宋体"/>
              </w:rPr>
            </w:pPr>
            <w:r>
              <w:rPr>
                <w:rFonts w:hint="eastAsia" w:ascii="宋体" w:hAnsi="宋体" w:eastAsia="宋体" w:cs="宋体"/>
                <w:sz w:val="18"/>
                <w:szCs w:val="18"/>
              </w:rPr>
              <w:t>公告发布阅读</w:t>
            </w:r>
          </w:p>
        </w:tc>
        <w:tc>
          <w:tcPr>
            <w:tcW w:w="5500" w:type="dxa"/>
            <w:shd w:val="clear" w:color="auto" w:fill="F7FBFF"/>
          </w:tcPr>
          <w:p w14:paraId="2433B5AB">
            <w:pPr>
              <w:spacing w:before="0" w:after="35" w:line="270" w:lineRule="auto"/>
              <w:rPr>
                <w:rFonts w:hint="eastAsia" w:ascii="宋体" w:hAnsi="宋体" w:eastAsia="宋体" w:cs="宋体"/>
              </w:rPr>
            </w:pPr>
            <w:r>
              <w:rPr>
                <w:rFonts w:hint="eastAsia" w:ascii="宋体" w:hAnsi="宋体" w:eastAsia="宋体" w:cs="宋体"/>
                <w:sz w:val="18"/>
                <w:szCs w:val="18"/>
              </w:rPr>
              <w:t>公告发布、角色投放、已读状态和未读数</w:t>
            </w:r>
          </w:p>
        </w:tc>
      </w:tr>
    </w:tbl>
    <w:p w14:paraId="0ED70DF5">
      <w:pPr>
        <w:pStyle w:val="Heading3"/>
        <w:keepNext/>
        <w:pBdr>
          <w:left w:val="single" w:color="2F75B5" w:sz="12" w:space="6"/>
        </w:pBdr>
        <w:spacing w:before="220" w:after="100" w:line="360" w:lineRule="auto"/>
        <w:outlineLvl w:val="1"/>
        <w:rPr>
          <w:rFonts w:hint="eastAsia" w:ascii="宋体" w:hAnsi="宋体" w:eastAsia="宋体" w:cs="宋体"/>
        </w:rPr>
      </w:pPr>
      <w:r>
        <w:rPr>
          <w:rFonts w:hint="eastAsia" w:ascii="宋体" w:hAnsi="宋体" w:eastAsia="宋体" w:cs="宋体"/>
          <w:b/>
          <w:bCs/>
          <w:color w:val="1F4E79"/>
          <w:sz w:val="25"/>
          <w:szCs w:val="25"/>
        </w:rPr>
        <w:t>3.1.4 数据流分析</w:t>
      </w:r>
    </w:p>
    <w:p w14:paraId="7E274BC7">
      <w:pPr>
        <w:spacing w:before="75" w:after="30"/>
        <w:jc w:val="center"/>
        <w:rPr>
          <w:rFonts w:hint="eastAsia" w:ascii="宋体" w:hAnsi="宋体" w:eastAsia="宋体" w:cs="宋体"/>
        </w:rPr>
      </w:pPr>
      <w:r>
        <w:rPr>
          <w:rFonts w:hint="eastAsia" w:ascii="宋体" w:hAnsi="宋体" w:eastAsia="宋体" w:cs="宋体"/>
        </w:rPr>
        <w:drawing>
          <wp:inline distT="0" distB="0" distL="0" distR="0">
            <wp:extent cx="6035040" cy="4088130"/>
            <wp:effectExtent l="0" t="0" r="0" b="0"/>
            <wp:docPr id="29" name="report_image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report_image29.png"/>
                    <pic:cNvPicPr>
                      <a:picLocks noChangeAspect="1"/>
                    </pic:cNvPicPr>
                  </pic:nvPicPr>
                  <pic:blipFill>
                    <a:blip r:embed="rId34"/>
                    <a:stretch>
                      <a:fillRect/>
                    </a:stretch>
                  </pic:blipFill>
                  <pic:spPr>
                    <a:xfrm>
                      <a:off x="0" y="0"/>
                      <a:ext cx="6035040" cy="4088468"/>
                    </a:xfrm>
                    <a:prstGeom prst="rect">
                      <a:avLst/>
                    </a:prstGeom>
                  </pic:spPr>
                </pic:pic>
              </a:graphicData>
            </a:graphic>
          </wp:inline>
        </w:drawing>
      </w:r>
    </w:p>
    <w:p w14:paraId="36938C57">
      <w:pPr>
        <w:spacing w:before="0" w:after="110" w:line="250" w:lineRule="auto"/>
        <w:jc w:val="center"/>
        <w:rPr>
          <w:rFonts w:hint="eastAsia" w:ascii="宋体" w:hAnsi="宋体" w:eastAsia="宋体" w:cs="宋体"/>
        </w:rPr>
      </w:pPr>
      <w:r>
        <w:rPr>
          <w:rFonts w:hint="eastAsia" w:ascii="宋体" w:hAnsi="宋体" w:eastAsia="宋体" w:cs="宋体"/>
          <w:i/>
          <w:iCs/>
          <w:sz w:val="17"/>
          <w:szCs w:val="17"/>
        </w:rPr>
        <w:t>图29  系统 0 层数据流图</w:t>
      </w:r>
    </w:p>
    <w:p w14:paraId="6F7FAA4C">
      <w:pPr>
        <w:spacing w:before="75" w:after="30"/>
        <w:jc w:val="center"/>
        <w:rPr>
          <w:rFonts w:hint="eastAsia" w:ascii="宋体" w:hAnsi="宋体" w:eastAsia="宋体" w:cs="宋体"/>
        </w:rPr>
      </w:pPr>
      <w:r>
        <w:rPr>
          <w:rFonts w:hint="eastAsia" w:ascii="宋体" w:hAnsi="宋体" w:eastAsia="宋体" w:cs="宋体"/>
        </w:rPr>
        <w:drawing>
          <wp:inline distT="0" distB="0" distL="0" distR="0">
            <wp:extent cx="6035040" cy="4025900"/>
            <wp:effectExtent l="0" t="0" r="0" b="0"/>
            <wp:docPr id="30" name="report_image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report_image30.png"/>
                    <pic:cNvPicPr>
                      <a:picLocks noChangeAspect="1"/>
                    </pic:cNvPicPr>
                  </pic:nvPicPr>
                  <pic:blipFill>
                    <a:blip r:embed="rId35"/>
                    <a:stretch>
                      <a:fillRect/>
                    </a:stretch>
                  </pic:blipFill>
                  <pic:spPr>
                    <a:xfrm>
                      <a:off x="0" y="0"/>
                      <a:ext cx="6035040" cy="4026319"/>
                    </a:xfrm>
                    <a:prstGeom prst="rect">
                      <a:avLst/>
                    </a:prstGeom>
                  </pic:spPr>
                </pic:pic>
              </a:graphicData>
            </a:graphic>
          </wp:inline>
        </w:drawing>
      </w:r>
    </w:p>
    <w:p w14:paraId="7C8B2A28">
      <w:pPr>
        <w:spacing w:before="0" w:after="110" w:line="250" w:lineRule="auto"/>
        <w:jc w:val="center"/>
        <w:rPr>
          <w:rFonts w:hint="eastAsia" w:ascii="宋体" w:hAnsi="宋体" w:eastAsia="宋体" w:cs="宋体"/>
        </w:rPr>
      </w:pPr>
      <w:r>
        <w:rPr>
          <w:rFonts w:hint="eastAsia" w:ascii="宋体" w:hAnsi="宋体" w:eastAsia="宋体" w:cs="宋体"/>
          <w:i/>
          <w:iCs/>
          <w:sz w:val="17"/>
          <w:szCs w:val="17"/>
        </w:rPr>
        <w:t>图30  销售 1 层数据流图</w:t>
      </w:r>
    </w:p>
    <w:p w14:paraId="68694727">
      <w:pPr>
        <w:spacing w:before="75" w:after="30"/>
        <w:jc w:val="center"/>
        <w:rPr>
          <w:rFonts w:hint="eastAsia" w:ascii="宋体" w:hAnsi="宋体" w:eastAsia="宋体" w:cs="宋体"/>
        </w:rPr>
      </w:pPr>
      <w:r>
        <w:rPr>
          <w:rFonts w:hint="eastAsia" w:ascii="宋体" w:hAnsi="宋体" w:eastAsia="宋体" w:cs="宋体"/>
        </w:rPr>
        <w:drawing>
          <wp:inline distT="0" distB="0" distL="0" distR="0">
            <wp:extent cx="6035040" cy="4088130"/>
            <wp:effectExtent l="0" t="0" r="0" b="0"/>
            <wp:docPr id="31" name="report_image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report_image31.png"/>
                    <pic:cNvPicPr>
                      <a:picLocks noChangeAspect="1"/>
                    </pic:cNvPicPr>
                  </pic:nvPicPr>
                  <pic:blipFill>
                    <a:blip r:embed="rId36"/>
                    <a:stretch>
                      <a:fillRect/>
                    </a:stretch>
                  </pic:blipFill>
                  <pic:spPr>
                    <a:xfrm>
                      <a:off x="0" y="0"/>
                      <a:ext cx="6035040" cy="4088468"/>
                    </a:xfrm>
                    <a:prstGeom prst="rect">
                      <a:avLst/>
                    </a:prstGeom>
                  </pic:spPr>
                </pic:pic>
              </a:graphicData>
            </a:graphic>
          </wp:inline>
        </w:drawing>
      </w:r>
    </w:p>
    <w:p w14:paraId="7628DE1B">
      <w:pPr>
        <w:spacing w:before="0" w:after="110" w:line="250" w:lineRule="auto"/>
        <w:jc w:val="center"/>
        <w:rPr>
          <w:rFonts w:hint="eastAsia" w:ascii="宋体" w:hAnsi="宋体" w:eastAsia="宋体" w:cs="宋体"/>
        </w:rPr>
      </w:pPr>
      <w:r>
        <w:rPr>
          <w:rFonts w:hint="eastAsia" w:ascii="宋体" w:hAnsi="宋体" w:eastAsia="宋体" w:cs="宋体"/>
          <w:i/>
          <w:iCs/>
          <w:sz w:val="17"/>
          <w:szCs w:val="17"/>
        </w:rPr>
        <w:t>图31  库存 1 层数据流图</w:t>
      </w:r>
    </w:p>
    <w:p w14:paraId="3539C0F4">
      <w:pPr>
        <w:spacing w:before="75" w:after="30"/>
        <w:jc w:val="center"/>
        <w:rPr>
          <w:rFonts w:hint="eastAsia" w:ascii="宋体" w:hAnsi="宋体" w:eastAsia="宋体" w:cs="宋体"/>
        </w:rPr>
      </w:pPr>
      <w:r>
        <w:rPr>
          <w:rFonts w:hint="eastAsia" w:ascii="宋体" w:hAnsi="宋体" w:eastAsia="宋体" w:cs="宋体"/>
        </w:rPr>
        <w:drawing>
          <wp:inline distT="0" distB="0" distL="0" distR="0">
            <wp:extent cx="6035040" cy="4088130"/>
            <wp:effectExtent l="0" t="0" r="0" b="0"/>
            <wp:docPr id="32" name="report_image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report_image32.png"/>
                    <pic:cNvPicPr>
                      <a:picLocks noChangeAspect="1"/>
                    </pic:cNvPicPr>
                  </pic:nvPicPr>
                  <pic:blipFill>
                    <a:blip r:embed="rId37"/>
                    <a:stretch>
                      <a:fillRect/>
                    </a:stretch>
                  </pic:blipFill>
                  <pic:spPr>
                    <a:xfrm>
                      <a:off x="0" y="0"/>
                      <a:ext cx="6035040" cy="4088468"/>
                    </a:xfrm>
                    <a:prstGeom prst="rect">
                      <a:avLst/>
                    </a:prstGeom>
                  </pic:spPr>
                </pic:pic>
              </a:graphicData>
            </a:graphic>
          </wp:inline>
        </w:drawing>
      </w:r>
    </w:p>
    <w:p w14:paraId="581425F7">
      <w:pPr>
        <w:spacing w:before="0" w:after="110" w:line="250" w:lineRule="auto"/>
        <w:jc w:val="center"/>
        <w:rPr>
          <w:rFonts w:hint="eastAsia" w:ascii="宋体" w:hAnsi="宋体" w:eastAsia="宋体" w:cs="宋体"/>
        </w:rPr>
      </w:pPr>
      <w:r>
        <w:rPr>
          <w:rFonts w:hint="eastAsia" w:ascii="宋体" w:hAnsi="宋体" w:eastAsia="宋体" w:cs="宋体"/>
          <w:i/>
          <w:iCs/>
          <w:sz w:val="17"/>
          <w:szCs w:val="17"/>
        </w:rPr>
        <w:t>图32  采购 1 层数据流图</w:t>
      </w:r>
    </w:p>
    <w:p w14:paraId="4211654B">
      <w:pPr>
        <w:spacing w:before="75" w:after="30"/>
        <w:jc w:val="center"/>
        <w:rPr>
          <w:rFonts w:hint="eastAsia" w:ascii="宋体" w:hAnsi="宋体" w:eastAsia="宋体" w:cs="宋体"/>
        </w:rPr>
      </w:pPr>
      <w:r>
        <w:rPr>
          <w:rFonts w:hint="eastAsia" w:ascii="宋体" w:hAnsi="宋体" w:eastAsia="宋体" w:cs="宋体"/>
        </w:rPr>
        <w:drawing>
          <wp:inline distT="0" distB="0" distL="0" distR="0">
            <wp:extent cx="6035040" cy="4057015"/>
            <wp:effectExtent l="0" t="0" r="0" b="0"/>
            <wp:docPr id="33" name="report_image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report_image33.png"/>
                    <pic:cNvPicPr>
                      <a:picLocks noChangeAspect="1"/>
                    </pic:cNvPicPr>
                  </pic:nvPicPr>
                  <pic:blipFill>
                    <a:blip r:embed="rId38"/>
                    <a:stretch>
                      <a:fillRect/>
                    </a:stretch>
                  </pic:blipFill>
                  <pic:spPr>
                    <a:xfrm>
                      <a:off x="0" y="0"/>
                      <a:ext cx="6035040" cy="4057394"/>
                    </a:xfrm>
                    <a:prstGeom prst="rect">
                      <a:avLst/>
                    </a:prstGeom>
                  </pic:spPr>
                </pic:pic>
              </a:graphicData>
            </a:graphic>
          </wp:inline>
        </w:drawing>
      </w:r>
    </w:p>
    <w:p w14:paraId="49703B48">
      <w:pPr>
        <w:spacing w:before="0" w:after="110" w:line="250" w:lineRule="auto"/>
        <w:jc w:val="center"/>
        <w:rPr>
          <w:rFonts w:hint="eastAsia" w:ascii="宋体" w:hAnsi="宋体" w:eastAsia="宋体" w:cs="宋体"/>
        </w:rPr>
      </w:pPr>
      <w:r>
        <w:rPr>
          <w:rFonts w:hint="eastAsia" w:ascii="宋体" w:hAnsi="宋体" w:eastAsia="宋体" w:cs="宋体"/>
          <w:i/>
          <w:iCs/>
          <w:sz w:val="17"/>
          <w:szCs w:val="17"/>
        </w:rPr>
        <w:t>图33  会员 1 层数据流图</w:t>
      </w:r>
    </w:p>
    <w:p w14:paraId="0183F752">
      <w:pPr>
        <w:spacing w:before="75" w:after="30"/>
        <w:jc w:val="center"/>
        <w:rPr>
          <w:rFonts w:hint="eastAsia" w:ascii="宋体" w:hAnsi="宋体" w:eastAsia="宋体" w:cs="宋体"/>
        </w:rPr>
      </w:pPr>
      <w:r>
        <w:rPr>
          <w:rFonts w:hint="eastAsia" w:ascii="宋体" w:hAnsi="宋体" w:eastAsia="宋体" w:cs="宋体"/>
        </w:rPr>
        <w:drawing>
          <wp:inline distT="0" distB="0" distL="0" distR="0">
            <wp:extent cx="6035040" cy="4057015"/>
            <wp:effectExtent l="0" t="0" r="0" b="0"/>
            <wp:docPr id="34" name="report_image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report_image34.png"/>
                    <pic:cNvPicPr>
                      <a:picLocks noChangeAspect="1"/>
                    </pic:cNvPicPr>
                  </pic:nvPicPr>
                  <pic:blipFill>
                    <a:blip r:embed="rId39"/>
                    <a:stretch>
                      <a:fillRect/>
                    </a:stretch>
                  </pic:blipFill>
                  <pic:spPr>
                    <a:xfrm>
                      <a:off x="0" y="0"/>
                      <a:ext cx="6035040" cy="4057394"/>
                    </a:xfrm>
                    <a:prstGeom prst="rect">
                      <a:avLst/>
                    </a:prstGeom>
                  </pic:spPr>
                </pic:pic>
              </a:graphicData>
            </a:graphic>
          </wp:inline>
        </w:drawing>
      </w:r>
    </w:p>
    <w:p w14:paraId="6498A9F8">
      <w:pPr>
        <w:spacing w:before="0" w:after="110" w:line="250" w:lineRule="auto"/>
        <w:jc w:val="center"/>
        <w:rPr>
          <w:rFonts w:hint="eastAsia" w:ascii="宋体" w:hAnsi="宋体" w:eastAsia="宋体" w:cs="宋体"/>
        </w:rPr>
      </w:pPr>
      <w:r>
        <w:rPr>
          <w:rFonts w:hint="eastAsia" w:ascii="宋体" w:hAnsi="宋体" w:eastAsia="宋体" w:cs="宋体"/>
          <w:i/>
          <w:iCs/>
          <w:sz w:val="17"/>
          <w:szCs w:val="17"/>
        </w:rPr>
        <w:t>图34  报表 1 层数据流图</w:t>
      </w:r>
    </w:p>
    <w:p w14:paraId="03BC58AD">
      <w:pPr>
        <w:spacing w:before="0" w:after="0" w:line="360" w:lineRule="auto"/>
        <w:rPr>
          <w:rFonts w:hint="eastAsia" w:ascii="宋体" w:hAnsi="宋体" w:eastAsia="宋体" w:cs="宋体"/>
        </w:rPr>
      </w:pPr>
      <w:r>
        <w:rPr>
          <w:rFonts w:hint="eastAsia" w:ascii="宋体" w:hAnsi="宋体" w:eastAsia="宋体" w:cs="宋体"/>
          <w:sz w:val="22"/>
          <w:szCs w:val="22"/>
        </w:rPr>
        <w:br w:type="page"/>
      </w:r>
    </w:p>
    <w:p w14:paraId="26336820">
      <w:pPr>
        <w:pStyle w:val="Heading3"/>
        <w:spacing w:before="160" w:after="80"/>
        <w:jc w:val="left"/>
      </w:pPr>
      <w:r>
        <w:rPr>
          <w:rFonts w:ascii="黑体" w:hAnsi="黑体" w:eastAsia="黑体"/>
          <w:b/>
          <w:sz w:val="24"/>
        </w:rPr>
        <w:t>3.1.5 源码功能与需求细化补充说明</w:t>
      </w:r>
    </w:p>
    <w:p w14:paraId="5BDF8BF9">
      <w:pPr>
        <w:spacing w:after="120" w:line="360" w:lineRule="auto"/>
        <w:ind w:firstLine="440"/>
      </w:pPr>
      <w:r>
        <w:rPr>
          <w:rFonts w:ascii="宋体" w:hAnsi="宋体" w:eastAsia="宋体"/>
          <w:b w:val="0"/>
          <w:sz w:val="22"/>
        </w:rPr>
        <w:t>需求建模需要进一步反映源码中已经实现的功能。智能助手不只是菜单项，而是由 /assistant 页面和 /api/assistant/chat 接口组成。前端通过 fetch 异步提交用户问题，后端先进行管理员权限校验，再解析 message 字段，空问题或超过 500 字符的问题会被拒绝。服务层优先匹配 FAQ 预设问题，然后根据库存、销售、商品和帮助类关键词调用已有业务服务生成回答；如果配置外部 LLM，则尝试调用大模型；如果失败，则降级成本地规则回复。</w:t>
      </w:r>
    </w:p>
    <w:p w14:paraId="43802B21">
      <w:pPr>
        <w:spacing w:after="120" w:line="360" w:lineRule="auto"/>
        <w:ind w:firstLine="440"/>
      </w:pPr>
      <w:r>
        <w:rPr>
          <w:rFonts w:ascii="宋体" w:hAnsi="宋体" w:eastAsia="宋体"/>
          <w:b w:val="0"/>
          <w:sz w:val="22"/>
        </w:rPr>
        <w:t>商品批量导入也需要在需求层细化。代码中同时提供 import_products_from_csv 和 import_products_from_excel，说明用户既可以上传 CSV，也可以上传 Excel。导入过程不是简单读文件，而是检查必填字段、商品编码重复、条码重复、价格格式、库存数量和分类信息；合法记录会创建商品并初始化库存，不合法记录需要返回失败原因和统计结果。这一需求对应管理员快速建立商品主数据的真实工作场景。</w:t>
      </w:r>
    </w:p>
    <w:p w14:paraId="69DAC4FA">
      <w:pPr>
        <w:spacing w:after="120" w:line="360" w:lineRule="auto"/>
        <w:ind w:firstLine="440"/>
      </w:pPr>
      <w:r>
        <w:rPr>
          <w:rFonts w:ascii="宋体" w:hAnsi="宋体" w:eastAsia="宋体"/>
          <w:b w:val="0"/>
          <w:sz w:val="22"/>
        </w:rPr>
        <w:t>财务模块的需求不应只写成“查看财务”。源码中已经实现财务概览、收支流水、新增收支、日结对账、供应商应付、付款登记、月结快照和最近月结查询。日结对账需要按支付方式比较系统金额和实际金额，应付账款需要记录供应商、账单号、到期日和付款状态，月结快照需要固化收入、支出、毛利、净利润和现金流入流出。这些需求共同说明系统具备经营管理闭环。</w:t>
      </w:r>
    </w:p>
    <w:p w14:paraId="4B7D15AC">
      <w:pPr>
        <w:spacing w:after="120" w:line="360" w:lineRule="auto"/>
        <w:ind w:firstLine="440"/>
      </w:pPr>
      <w:r>
        <w:rPr>
          <w:rFonts w:ascii="宋体" w:hAnsi="宋体" w:eastAsia="宋体"/>
          <w:b w:val="0"/>
          <w:sz w:val="22"/>
        </w:rPr>
        <w:t>公告模块也不是普通文本列表。代码支持公告发布、上下线、目标角色、公告列表、未读数量、单条标记已读和全部标记已读。需求上应明确公告既有内容管理，也有阅读状态追踪。announcement_reads 表使系统能够判断某个用户是否读过某条公告，并支持未读提醒，这比在公告表中放一个简单状态字段更符合多用户场景。</w:t>
      </w:r>
    </w:p>
    <w:p w14:paraId="4452874D">
      <w:pPr>
        <w:spacing w:after="120" w:line="360" w:lineRule="auto"/>
        <w:ind w:firstLine="440"/>
      </w:pPr>
      <w:r>
        <w:rPr>
          <w:rFonts w:ascii="宋体" w:hAnsi="宋体" w:eastAsia="宋体"/>
          <w:b w:val="0"/>
          <w:sz w:val="22"/>
        </w:rPr>
        <w:t>二期模块在需求上包括会员、员工、供应商和系统参数四组主数据。会员支持新增、编辑、搜索、启停和积分调整；员工支持工号、岗位、排班和状态维护；供应商支持供应商编码、联系人、电话、结算周期和启停；系统参数支持门店名称、库存预警开关、小票页脚等键值配置。每组模块都有正常路径和异常路径，例如重复手机号、重复工号、非法状态、积分扣减后为负数、系统参数键为空等。</w:t>
      </w:r>
    </w:p>
    <w:p w14:paraId="5DE4D8A9">
      <w:pPr>
        <w:pStyle w:val="Heading3"/>
        <w:spacing w:before="160" w:after="80"/>
        <w:jc w:val="left"/>
      </w:pPr>
      <w:r>
        <w:rPr>
          <w:rFonts w:ascii="黑体" w:hAnsi="黑体" w:eastAsia="黑体"/>
          <w:b/>
          <w:sz w:val="24"/>
        </w:rPr>
        <w:t>3.1.6 关键需求与接口校验补充说明</w:t>
      </w:r>
    </w:p>
    <w:p w14:paraId="4F07BFB5">
      <w:pPr>
        <w:spacing w:after="120" w:line="360" w:lineRule="auto"/>
        <w:ind w:firstLine="440"/>
      </w:pPr>
      <w:r>
        <w:rPr>
          <w:rFonts w:ascii="宋体" w:hAnsi="宋体" w:eastAsia="宋体"/>
          <w:b w:val="0"/>
          <w:sz w:val="22"/>
        </w:rPr>
        <w:t>智能助手需求应补到接口级别。routes/assistant.py 中 /assistant 返回 assistant.html，/api/assistant/chat 接收 JSON 消息并调用 generate_assistant_reply。服务函数先 trim 输入，空输入返回“请输入问题后再发送”，超过 500 字符返回“问题长度不能超过 500 个字符”；随后通过 _get_faq_preset_reply 精确匹配常见问题，再尝试 _try_generate_by_llm，最后按 _is_inventory_query、_is_sales_query、_is_product_query、_is_help_query 进入库存、销售、商品或帮助类本地规则。这个顺序说明系统既有确定性 FAQ，也有可扩展的大模型入口，还有稳定的本地兜底。</w:t>
      </w:r>
    </w:p>
    <w:p w14:paraId="0BA38BAB">
      <w:pPr>
        <w:spacing w:after="120" w:line="360" w:lineRule="auto"/>
        <w:ind w:firstLine="440"/>
      </w:pPr>
      <w:r>
        <w:rPr>
          <w:rFonts w:ascii="宋体" w:hAnsi="宋体" w:eastAsia="宋体"/>
          <w:b w:val="0"/>
          <w:sz w:val="22"/>
        </w:rPr>
        <w:t>商品批量导入需求应写明两套入口和校验规则。product 路由根据上传文件后缀调用 import_products_from_csv 或 import_products_from_excel；服务层按行读取商品编码、商品名称、售价、分类、库存、条码等字段，校验必填项、数字格式、重复商品编码、重复条码和分类存在性。合法记录会创建 Product，同时创建 Inventory 初始库存并写入库存流水；非法记录不会中断整批导入，而是累计 success_count、error_count 和 errors，前端据此展示导入成功数量、失败数量和失败原因。</w:t>
      </w:r>
    </w:p>
    <w:p w14:paraId="087F356D">
      <w:pPr>
        <w:spacing w:after="120" w:line="360" w:lineRule="auto"/>
        <w:ind w:firstLine="440"/>
      </w:pPr>
      <w:r>
        <w:rPr>
          <w:rFonts w:ascii="宋体" w:hAnsi="宋体" w:eastAsia="宋体"/>
          <w:b w:val="0"/>
          <w:sz w:val="22"/>
        </w:rPr>
        <w:t>财务模块需要从“财务管理”细化为多个业务接口。routes/finance.py 提供 /api/finance/overview、/api/finance/transactions、/api/finance/reconciliation、/api/finance/payables、/api/finance/payables/&lt;int:payable_id&gt;/payment、/api/finance/closings、/api/finance/close-month 等入口；services/finance.py 中 get_reconciliation 汇总指定日期各支付方式的系统金额，save_reconciliation 保存实收金额并计算差异，create_payable 创建供应商应付账款，record_payable_payment 登记付款并更新已付金额与状态，close_finance_period 生成月结快照并阻止重复关账。</w:t>
      </w:r>
    </w:p>
    <w:p w14:paraId="433B572A">
      <w:pPr>
        <w:spacing w:after="120" w:line="360" w:lineRule="auto"/>
        <w:ind w:firstLine="440"/>
      </w:pPr>
      <w:r>
        <w:rPr>
          <w:rFonts w:ascii="宋体" w:hAnsi="宋体" w:eastAsia="宋体"/>
          <w:b w:val="0"/>
          <w:sz w:val="22"/>
        </w:rPr>
        <w:t>公告与二期模块也需要写出异常路径。公告服务 get_unread_announcement_count、mark_announcement_read、mark_all_announcements_read 依赖 announcement_reads 表判断单用户阅读状态，避免只用公告状态字段粗略判断。二期服务中 adjust_member_points 会拒绝不存在会员、非法积分和扣成负数的操作；upsert_system_setting 会拒绝空参数键和空参数值。会员、员工、供应商的重复手机号、重复工号、重复编码、非法状态等异常路径均已在 test_second_phase_errors.py 中覆盖。</w:t>
      </w:r>
    </w:p>
    <w:p w14:paraId="29505F4C">
      <w:pPr>
        <w:pStyle w:val="Heading2"/>
        <w:keepNext/>
        <w:shd w:val="clear" w:fill="1F4E79"/>
        <w:spacing w:before="220" w:after="160" w:line="360" w:lineRule="auto"/>
        <w:outlineLvl w:val="0"/>
        <w:rPr>
          <w:rFonts w:hint="eastAsia" w:ascii="宋体" w:hAnsi="宋体" w:eastAsia="宋体" w:cs="宋体"/>
        </w:rPr>
      </w:pPr>
      <w:r>
        <w:rPr>
          <w:rFonts w:hint="eastAsia" w:ascii="宋体" w:hAnsi="宋体" w:eastAsia="宋体" w:cs="宋体"/>
          <w:b/>
          <w:bCs/>
          <w:color w:val="FFFFFF"/>
          <w:sz w:val="28"/>
          <w:szCs w:val="28"/>
        </w:rPr>
        <w:t>3.2 数据建模</w:t>
      </w:r>
    </w:p>
    <w:p w14:paraId="7B0E136C">
      <w:pPr>
        <w:pStyle w:val="Heading3"/>
        <w:spacing w:after="120" w:line="324" w:lineRule="auto"/>
        <w:ind w:firstLine="420"/>
        <w:rPr>
          <w:rFonts w:hint="eastAsia" w:ascii="宋体" w:hAnsi="宋体" w:eastAsia="宋体" w:cs="宋体"/>
        </w:rPr>
      </w:pPr>
      <w:r>
        <w:rPr>
          <w:rFonts w:hint="eastAsia" w:ascii="宋体" w:hAnsi="宋体" w:eastAsia="宋体" w:cs="宋体"/>
          <w:b/>
          <w:sz w:val="21"/>
        </w:rPr>
        <w:t>3.2.1 数据建模与数据库设计详细论述</w:t>
      </w:r>
    </w:p>
    <w:p w14:paraId="74B20EBA">
      <w:pPr>
        <w:spacing w:after="120" w:line="324" w:lineRule="auto"/>
        <w:ind w:firstLine="420"/>
        <w:rPr>
          <w:rFonts w:hint="eastAsia" w:ascii="宋体" w:hAnsi="宋体" w:eastAsia="宋体" w:cs="宋体"/>
        </w:rPr>
      </w:pPr>
      <w:r>
        <w:rPr>
          <w:rFonts w:hint="eastAsia" w:ascii="宋体" w:hAnsi="宋体" w:eastAsia="宋体" w:cs="宋体"/>
          <w:b w:val="0"/>
          <w:sz w:val="21"/>
        </w:rPr>
        <w:t>数据建模阶段的任务是把需求建模中出现的业务对象转化为稳定的数据结构。超市系统中最重要的数据不是单一表，而是商品、库存、销售、财务、用户和二期主数据之间的关系。设计数据库时必须回答几个问题：商品如何唯一识别，库存变化如何追溯，销售单与销售明细如何保持金额一致，财务对账如何关联业务日期，会员积分和供应商结算如何扩展，用户权限如何保证后台操作安全。只有这些问题回答清楚，后续服务层和测试才能有可靠依据。</w:t>
      </w:r>
    </w:p>
    <w:p w14:paraId="45C8A69E">
      <w:pPr>
        <w:spacing w:after="120" w:line="324" w:lineRule="auto"/>
        <w:ind w:firstLine="420"/>
        <w:rPr>
          <w:rFonts w:hint="eastAsia" w:ascii="宋体" w:hAnsi="宋体" w:eastAsia="宋体" w:cs="宋体"/>
        </w:rPr>
      </w:pPr>
      <w:r>
        <w:rPr>
          <w:rFonts w:hint="eastAsia" w:ascii="宋体" w:hAnsi="宋体" w:eastAsia="宋体" w:cs="宋体"/>
          <w:b w:val="0"/>
          <w:sz w:val="21"/>
        </w:rPr>
        <w:t>领域概念模型首先将系统对象分为主数据、业务单据、流水记录和配置数据。主数据包括商品、分类、用户、会员、员工、供应商；业务单据包括销售单、销售明细、应付账款、月结记录；流水记录包括库存流水、财务收支流水、公告已读记录；配置数据包括系统参数和库存预警阈值。这样分类的好处是可以区分哪些数据长期稳定、哪些数据随业务发生不断新增、哪些数据用于审计追踪、哪些数据用于控制系统行为。</w:t>
      </w:r>
    </w:p>
    <w:p w14:paraId="127931E5">
      <w:pPr>
        <w:spacing w:after="120" w:line="324" w:lineRule="auto"/>
        <w:ind w:firstLine="420"/>
        <w:rPr>
          <w:rFonts w:hint="eastAsia" w:ascii="宋体" w:hAnsi="宋体" w:eastAsia="宋体" w:cs="宋体"/>
        </w:rPr>
      </w:pPr>
      <w:r>
        <w:rPr>
          <w:rFonts w:hint="eastAsia" w:ascii="宋体" w:hAnsi="宋体" w:eastAsia="宋体" w:cs="宋体"/>
          <w:b w:val="0"/>
          <w:sz w:val="21"/>
        </w:rPr>
        <w:t>商品主数据是后续库存和收银的基础。商品表需要保存商品编码、名称、分类、售价、单位、条码或检索关键字、上下架状态等字段。商品编码必须具有唯一性，因为批量导入、收银检索和库存关联都依赖它。如果商品编码重复，系统将无法判断收银时选择的是哪一个商品，也无法稳定建立库存记录。因此服务层在新增商品和导入商品时都要检查编码重复，测试用例也覆盖了重复编码失败路径。</w:t>
      </w:r>
    </w:p>
    <w:p w14:paraId="306E973F">
      <w:pPr>
        <w:spacing w:after="120" w:line="360" w:lineRule="auto"/>
        <w:ind w:firstLine="440"/>
        <w:rPr>
          <w:rFonts w:hint="eastAsia" w:ascii="宋体" w:hAnsi="宋体" w:eastAsia="宋体" w:cs="宋体"/>
        </w:rPr>
      </w:pPr>
      <w:r>
        <w:rPr>
          <w:rFonts w:ascii="宋体" w:hAnsi="宋体" w:eastAsia="宋体"/>
          <w:b w:val="0"/>
          <w:sz w:val="22"/>
        </w:rPr>
        <w:t>库存模型不只保存当前库存数量，还必须和库存流水配套存在。Inventory 表记录每个商品当前数量、预警阈值和更新时间，InventoryLog 表记录每次变化的类型、变化前数量、变化后数量、变化数量、原因和操作时间。这样的设计能支持库存调整、采购入库、收银扣减、退货回滚和盘点修正等不同场景。当库存数量需要进一步说明时，不是只看一个最终字段，而是可以通过流水解释每一次变化的来源。</w:t>
      </w:r>
    </w:p>
    <w:p w14:paraId="505BB173">
      <w:pPr>
        <w:spacing w:after="120" w:line="324" w:lineRule="auto"/>
        <w:ind w:firstLine="420"/>
        <w:rPr>
          <w:rFonts w:hint="eastAsia" w:ascii="宋体" w:hAnsi="宋体" w:eastAsia="宋体" w:cs="宋体"/>
        </w:rPr>
      </w:pPr>
      <w:r>
        <w:rPr>
          <w:rFonts w:hint="eastAsia" w:ascii="宋体" w:hAnsi="宋体" w:eastAsia="宋体" w:cs="宋体"/>
          <w:b w:val="0"/>
          <w:sz w:val="21"/>
        </w:rPr>
        <w:t>销售数据采用订单头和订单明细分离设计。Sale 表保存销售单号、总金额、支付方式、订单状态、收银员和创建时间；SaleItem 表保存商品、数量、单价和小计。这样设计符合真实业务：一张销售单可以包含多个商品，每个商品的价格和数量都需要独立记录。即使后续商品价格发生变化，历史销售明细中的单价仍然应当保留，避免历史订单金额被商品主数据变更影响。</w:t>
      </w:r>
    </w:p>
    <w:p w14:paraId="4E61D95C">
      <w:pPr>
        <w:spacing w:after="120" w:line="324" w:lineRule="auto"/>
        <w:ind w:firstLine="420"/>
        <w:rPr>
          <w:rFonts w:hint="eastAsia" w:ascii="宋体" w:hAnsi="宋体" w:eastAsia="宋体" w:cs="宋体"/>
        </w:rPr>
      </w:pPr>
      <w:r>
        <w:rPr>
          <w:rFonts w:hint="eastAsia" w:ascii="宋体" w:hAnsi="宋体" w:eastAsia="宋体" w:cs="宋体"/>
          <w:b w:val="0"/>
          <w:sz w:val="21"/>
        </w:rPr>
        <w:t>财务模型围绕收支流水、日结对账、应付账款和月结快照展开。FinanceTransaction 用于记录收入和支出，CashReconciliation 用于保存某日系统金额、实收金额和差异，SupplierPayable 和 PayablePayment 用于表示供应商应付与付款，FinancePeriodClose 用于保存月结结果。财务数据与销售数据有关联，但不能简单等同于销售表，因为实际门店还会发生采购支出、调整、差异处理和周期性结算。</w:t>
      </w:r>
    </w:p>
    <w:p w14:paraId="677D7C4F">
      <w:pPr>
        <w:spacing w:after="120" w:line="324" w:lineRule="auto"/>
        <w:ind w:firstLine="420"/>
        <w:rPr>
          <w:rFonts w:hint="eastAsia" w:ascii="宋体" w:hAnsi="宋体" w:eastAsia="宋体" w:cs="宋体"/>
        </w:rPr>
      </w:pPr>
      <w:r>
        <w:rPr>
          <w:rFonts w:hint="eastAsia" w:ascii="宋体" w:hAnsi="宋体" w:eastAsia="宋体" w:cs="宋体"/>
          <w:b w:val="0"/>
          <w:sz w:val="21"/>
        </w:rPr>
        <w:t>用户与权限模型支撑系统安全边界。User 表保存账号、密码哈希、角色和状态，AdminSignupRequest 保存管理员注册申请和审核状态。这样设计可以避免任何注册用户直接获得管理员权限。公告模块则通过 Announcement 和 AnnouncementRead 区分公告内容与阅读状态，使管理员能发布面向不同角色的公告，收银员或其他用户可以查看并标记已读。</w:t>
      </w:r>
    </w:p>
    <w:p w14:paraId="5D5193B3">
      <w:pPr>
        <w:spacing w:after="120" w:line="324" w:lineRule="auto"/>
        <w:ind w:firstLine="420"/>
        <w:rPr>
          <w:rFonts w:hint="eastAsia" w:ascii="宋体" w:hAnsi="宋体" w:eastAsia="宋体" w:cs="宋体"/>
        </w:rPr>
      </w:pPr>
      <w:r>
        <w:rPr>
          <w:rFonts w:hint="eastAsia" w:ascii="宋体" w:hAnsi="宋体" w:eastAsia="宋体" w:cs="宋体"/>
          <w:b w:val="0"/>
          <w:sz w:val="21"/>
        </w:rPr>
        <w:t>二期主数据模型用于覆盖课程设计要求。Member 保存会员姓名、手机号、等级、积分和状态，Employee 保存员工工号、岗位、排班和启停状态，Supplier 保存供应商名称、联系人、电话、结算周期和状态，SystemSetting 保存门店名称、预警阈值、小票文案等配置项。二期模型看似独立，但实际上与一期业务存在扩展关系：会员积分可以接入销售单，供应商可以接入采购和应付，系统参数可以影响库存预警和收银展示。</w:t>
      </w:r>
    </w:p>
    <w:p w14:paraId="247DE138">
      <w:pPr>
        <w:spacing w:after="120" w:line="360" w:lineRule="auto"/>
        <w:ind w:firstLine="440"/>
        <w:rPr>
          <w:rFonts w:hint="eastAsia" w:ascii="宋体" w:hAnsi="宋体" w:eastAsia="宋体" w:cs="宋体"/>
        </w:rPr>
      </w:pPr>
      <w:r>
        <w:rPr>
          <w:rFonts w:ascii="宋体" w:hAnsi="宋体" w:eastAsia="宋体"/>
          <w:b w:val="0"/>
          <w:sz w:val="22"/>
        </w:rPr>
        <w:t>ORM 建模的价值在于让数据库结构和 Python 代码形成对应关系。SQLAlchemy 模型既是数据库表结构的实现，也是服务层读写数据的入口。通过模型类，报告中的 ER 图不再是孤立图片，而能对应到 app/models/ 目录下的具体文件。核对某个实体是否已经实现时，可以直接查看 Product、Inventory、Sale、SaleItem、Member、Employee、Supplier、SystemSetting 等模型文件。</w:t>
      </w:r>
    </w:p>
    <w:p w14:paraId="7725F1FA">
      <w:pPr>
        <w:spacing w:after="120" w:line="324" w:lineRule="auto"/>
        <w:ind w:firstLine="420"/>
        <w:rPr>
          <w:rFonts w:hint="eastAsia" w:ascii="宋体" w:hAnsi="宋体" w:eastAsia="宋体" w:cs="宋体"/>
        </w:rPr>
      </w:pPr>
      <w:r>
        <w:rPr>
          <w:rFonts w:hint="eastAsia" w:ascii="宋体" w:hAnsi="宋体" w:eastAsia="宋体" w:cs="宋体"/>
          <w:b w:val="0"/>
          <w:sz w:val="21"/>
        </w:rPr>
        <w:t>数据一致性是本章最重要的设计约束。收银结算必须在库存充足时才创建订单，订单创建后需要同步扣减库存并写入库存流水；商品新增需要同步创建初始库存；财务日结需要根据业务日期汇总系统金额；二期主数据新增时需要检查手机号、工号或名称重复。服务层承担这些一致性规则，避免页面直接修改数据库造成数据断裂。</w:t>
      </w:r>
    </w:p>
    <w:p w14:paraId="47D0E04F">
      <w:pPr>
        <w:spacing w:after="120" w:line="324" w:lineRule="auto"/>
        <w:ind w:firstLine="420"/>
        <w:rPr>
          <w:rFonts w:hint="eastAsia" w:ascii="宋体" w:hAnsi="宋体" w:eastAsia="宋体" w:cs="宋体"/>
        </w:rPr>
      </w:pPr>
      <w:r>
        <w:rPr>
          <w:rFonts w:hint="eastAsia" w:ascii="宋体" w:hAnsi="宋体" w:eastAsia="宋体" w:cs="宋体"/>
          <w:b w:val="0"/>
          <w:sz w:val="21"/>
        </w:rPr>
        <w:t>综合来看，第 4 章的数据建模不是简单列出表名，而是说明每类数据为什么存在、与哪些业务流程相关、如何保证唯一性和可追溯性。核心 ER 图、商品主数据模型、库存台账模型、销售订单模型、采购供应商模型、会员积分模型和用户权限模型共同构成系统的数据基础。后续界面、服务和测试都围绕这些模型展开。</w:t>
      </w:r>
    </w:p>
    <w:p w14:paraId="300ED352">
      <w:pPr>
        <w:spacing w:before="0" w:after="105" w:line="330" w:lineRule="auto"/>
        <w:ind w:firstLine="420"/>
        <w:rPr>
          <w:rFonts w:hint="eastAsia" w:ascii="宋体" w:hAnsi="宋体" w:eastAsia="宋体" w:cs="宋体"/>
        </w:rPr>
      </w:pPr>
      <w:r>
        <w:rPr>
          <w:rFonts w:hint="eastAsia" w:ascii="宋体" w:hAnsi="宋体" w:eastAsia="宋体" w:cs="宋体"/>
          <w:sz w:val="22"/>
          <w:szCs w:val="22"/>
        </w:rPr>
        <w:t>数据建模同时依据 SVG 模型图、data/SQL/schema.sql 和 app/models 下的 SQLAlchemy 模型。实际实现的核心对象包括用户、管理员申请、公告、商品分类、商品、库存、库存流水、销售订单、销售明细、财务流水、日结对账、供应商应付、应付款记录和月结快照。</w:t>
      </w:r>
    </w:p>
    <w:p w14:paraId="3BA4FE4F">
      <w:pPr>
        <w:spacing w:before="75" w:after="30"/>
        <w:jc w:val="center"/>
        <w:rPr>
          <w:rFonts w:hint="eastAsia" w:ascii="宋体" w:hAnsi="宋体" w:eastAsia="宋体" w:cs="宋体"/>
        </w:rPr>
      </w:pPr>
      <w:r>
        <w:rPr>
          <w:rFonts w:hint="eastAsia" w:ascii="宋体" w:hAnsi="宋体" w:eastAsia="宋体" w:cs="宋体"/>
        </w:rPr>
        <w:drawing>
          <wp:inline distT="0" distB="0" distL="0" distR="0">
            <wp:extent cx="6035040" cy="3990975"/>
            <wp:effectExtent l="0" t="0" r="0" b="0"/>
            <wp:docPr id="35" name="report_image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report_image35.png"/>
                    <pic:cNvPicPr>
                      <a:picLocks noChangeAspect="1"/>
                    </pic:cNvPicPr>
                  </pic:nvPicPr>
                  <pic:blipFill>
                    <a:blip r:embed="rId40"/>
                    <a:stretch>
                      <a:fillRect/>
                    </a:stretch>
                  </pic:blipFill>
                  <pic:spPr>
                    <a:xfrm>
                      <a:off x="0" y="0"/>
                      <a:ext cx="6035040" cy="3991099"/>
                    </a:xfrm>
                    <a:prstGeom prst="rect">
                      <a:avLst/>
                    </a:prstGeom>
                  </pic:spPr>
                </pic:pic>
              </a:graphicData>
            </a:graphic>
          </wp:inline>
        </w:drawing>
      </w:r>
    </w:p>
    <w:p w14:paraId="65F0B91B">
      <w:pPr>
        <w:spacing w:before="0" w:after="110" w:line="250" w:lineRule="auto"/>
        <w:jc w:val="center"/>
        <w:rPr>
          <w:rFonts w:hint="eastAsia" w:ascii="宋体" w:hAnsi="宋体" w:eastAsia="宋体" w:cs="宋体"/>
        </w:rPr>
      </w:pPr>
      <w:r>
        <w:rPr>
          <w:rFonts w:hint="eastAsia" w:ascii="宋体" w:hAnsi="宋体" w:eastAsia="宋体" w:cs="宋体"/>
          <w:i/>
          <w:iCs/>
          <w:sz w:val="17"/>
          <w:szCs w:val="17"/>
        </w:rPr>
        <w:t>图35  领域概念模型</w:t>
      </w:r>
    </w:p>
    <w:p w14:paraId="4AF7E13E">
      <w:pPr>
        <w:spacing w:before="75" w:after="30"/>
        <w:jc w:val="center"/>
        <w:rPr>
          <w:rFonts w:hint="eastAsia" w:ascii="宋体" w:hAnsi="宋体" w:eastAsia="宋体" w:cs="宋体"/>
        </w:rPr>
      </w:pPr>
      <w:r>
        <w:rPr>
          <w:rFonts w:hint="eastAsia" w:ascii="宋体" w:hAnsi="宋体" w:eastAsia="宋体" w:cs="宋体"/>
        </w:rPr>
        <w:drawing>
          <wp:inline distT="0" distB="0" distL="0" distR="0">
            <wp:extent cx="6035040" cy="3499485"/>
            <wp:effectExtent l="0" t="0" r="0" b="0"/>
            <wp:docPr id="36" name="report_image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report_image36.png"/>
                    <pic:cNvPicPr>
                      <a:picLocks noChangeAspect="1"/>
                    </pic:cNvPicPr>
                  </pic:nvPicPr>
                  <pic:blipFill>
                    <a:blip r:embed="rId41"/>
                    <a:stretch>
                      <a:fillRect/>
                    </a:stretch>
                  </pic:blipFill>
                  <pic:spPr>
                    <a:xfrm>
                      <a:off x="0" y="0"/>
                      <a:ext cx="6035040" cy="3499916"/>
                    </a:xfrm>
                    <a:prstGeom prst="rect">
                      <a:avLst/>
                    </a:prstGeom>
                  </pic:spPr>
                </pic:pic>
              </a:graphicData>
            </a:graphic>
          </wp:inline>
        </w:drawing>
      </w:r>
    </w:p>
    <w:p w14:paraId="16D522D6">
      <w:pPr>
        <w:spacing w:before="0" w:after="110" w:line="250" w:lineRule="auto"/>
        <w:jc w:val="center"/>
        <w:rPr>
          <w:rFonts w:hint="eastAsia" w:ascii="宋体" w:hAnsi="宋体" w:eastAsia="宋体" w:cs="宋体"/>
        </w:rPr>
      </w:pPr>
      <w:r>
        <w:rPr>
          <w:rFonts w:hint="eastAsia" w:ascii="宋体" w:hAnsi="宋体" w:eastAsia="宋体" w:cs="宋体"/>
          <w:i/>
          <w:iCs/>
          <w:sz w:val="17"/>
          <w:szCs w:val="17"/>
        </w:rPr>
        <w:t>图36  核心 ER 图</w:t>
      </w:r>
    </w:p>
    <w:p w14:paraId="4C32E1F5">
      <w:pPr>
        <w:pStyle w:val="Heading3"/>
        <w:keepNext/>
        <w:pBdr>
          <w:left w:val="single" w:color="2F75B5" w:sz="12" w:space="6"/>
        </w:pBdr>
        <w:spacing w:before="220" w:after="100" w:line="360" w:lineRule="auto"/>
        <w:outlineLvl w:val="1"/>
        <w:rPr>
          <w:rFonts w:hint="eastAsia" w:ascii="宋体" w:hAnsi="宋体" w:eastAsia="宋体" w:cs="宋体"/>
        </w:rPr>
      </w:pPr>
      <w:r>
        <w:rPr>
          <w:rFonts w:hint="eastAsia" w:ascii="宋体" w:hAnsi="宋体" w:eastAsia="宋体" w:cs="宋体"/>
          <w:b/>
          <w:bCs/>
          <w:color w:val="1F4E79"/>
          <w:sz w:val="25"/>
          <w:szCs w:val="25"/>
        </w:rPr>
        <w:t>3.2.2 实体关系图</w:t>
      </w:r>
    </w:p>
    <w:tbl>
      <w:tblPr>
        <w:tblStyle w:val="2"/>
        <w:tblW w:w="9026" w:type="dxa"/>
        <w:tblInd w:w="0" w:type="dxa"/>
        <w:tblBorders>
          <w:top w:val="single" w:color="999999" w:sz="4" w:space="0"/>
          <w:left w:val="single" w:color="999999" w:sz="4" w:space="0"/>
          <w:bottom w:val="single" w:color="999999" w:sz="4" w:space="0"/>
          <w:right w:val="single" w:color="999999" w:sz="4" w:space="0"/>
          <w:insideH w:val="single" w:color="BBBBBB" w:sz="4" w:space="0"/>
          <w:insideV w:val="single" w:color="BBBBBB" w:sz="4" w:space="0"/>
        </w:tblBorders>
        <w:tblLayout w:type="autofit"/>
        <w:tblCellMar>
          <w:top w:w="70" w:type="dxa"/>
          <w:left w:w="90" w:type="dxa"/>
          <w:bottom w:w="70" w:type="dxa"/>
          <w:right w:w="90" w:type="dxa"/>
        </w:tblCellMar>
      </w:tblPr>
      <w:tblGrid>
        <w:gridCol w:w="1805"/>
        <w:gridCol w:w="3410"/>
        <w:gridCol w:w="3811"/>
      </w:tblGrid>
      <w:tr w14:paraId="72A2F88F">
        <w:tblPrEx>
          <w:tblBorders>
            <w:top w:val="single" w:color="999999" w:sz="4" w:space="0"/>
            <w:left w:val="single" w:color="999999" w:sz="4" w:space="0"/>
            <w:bottom w:val="single" w:color="999999" w:sz="4" w:space="0"/>
            <w:right w:val="single" w:color="999999" w:sz="4" w:space="0"/>
            <w:insideH w:val="single" w:color="BBBBBB" w:sz="4" w:space="0"/>
            <w:insideV w:val="single" w:color="BBBBBB" w:sz="4" w:space="0"/>
          </w:tblBorders>
          <w:tblCellMar>
            <w:top w:w="70" w:type="dxa"/>
            <w:left w:w="90" w:type="dxa"/>
            <w:bottom w:w="70" w:type="dxa"/>
            <w:right w:w="90" w:type="dxa"/>
          </w:tblCellMar>
        </w:tblPrEx>
        <w:tc>
          <w:tcPr>
            <w:tcW w:w="1800" w:type="dxa"/>
            <w:shd w:val="clear" w:color="auto" w:fill="D9EAF7"/>
          </w:tcPr>
          <w:p w14:paraId="69C3DF88">
            <w:pPr>
              <w:spacing w:before="0" w:after="35" w:line="270" w:lineRule="auto"/>
              <w:rPr>
                <w:rFonts w:hint="eastAsia" w:ascii="宋体" w:hAnsi="宋体" w:eastAsia="宋体" w:cs="宋体"/>
              </w:rPr>
            </w:pPr>
            <w:r>
              <w:rPr>
                <w:rFonts w:hint="eastAsia" w:ascii="宋体" w:hAnsi="宋体" w:eastAsia="宋体" w:cs="宋体"/>
                <w:b/>
                <w:bCs/>
                <w:color w:val="1F4E79"/>
                <w:sz w:val="18"/>
                <w:szCs w:val="18"/>
              </w:rPr>
              <w:t>实体</w:t>
            </w:r>
          </w:p>
        </w:tc>
        <w:tc>
          <w:tcPr>
            <w:tcW w:w="3400" w:type="dxa"/>
            <w:shd w:val="clear" w:color="auto" w:fill="D9EAF7"/>
          </w:tcPr>
          <w:p w14:paraId="449B2C0C">
            <w:pPr>
              <w:spacing w:before="0" w:after="35" w:line="270" w:lineRule="auto"/>
              <w:rPr>
                <w:rFonts w:hint="eastAsia" w:ascii="宋体" w:hAnsi="宋体" w:eastAsia="宋体" w:cs="宋体"/>
              </w:rPr>
            </w:pPr>
            <w:r>
              <w:rPr>
                <w:rFonts w:hint="eastAsia" w:ascii="宋体" w:hAnsi="宋体" w:eastAsia="宋体" w:cs="宋体"/>
                <w:b/>
                <w:bCs/>
                <w:color w:val="1F4E79"/>
                <w:sz w:val="18"/>
                <w:szCs w:val="18"/>
              </w:rPr>
              <w:t>主要用途</w:t>
            </w:r>
          </w:p>
        </w:tc>
        <w:tc>
          <w:tcPr>
            <w:tcW w:w="3800" w:type="dxa"/>
            <w:shd w:val="clear" w:color="auto" w:fill="D9EAF7"/>
          </w:tcPr>
          <w:p w14:paraId="4470E68C">
            <w:pPr>
              <w:spacing w:before="0" w:after="35" w:line="270" w:lineRule="auto"/>
              <w:rPr>
                <w:rFonts w:hint="eastAsia" w:ascii="宋体" w:hAnsi="宋体" w:eastAsia="宋体" w:cs="宋体"/>
              </w:rPr>
            </w:pPr>
            <w:r>
              <w:rPr>
                <w:rFonts w:hint="eastAsia" w:ascii="宋体" w:hAnsi="宋体" w:eastAsia="宋体" w:cs="宋体"/>
                <w:b/>
                <w:bCs/>
                <w:color w:val="1F4E79"/>
                <w:sz w:val="18"/>
                <w:szCs w:val="18"/>
              </w:rPr>
              <w:t>实现文件</w:t>
            </w:r>
          </w:p>
        </w:tc>
      </w:tr>
      <w:tr w14:paraId="3C9D3965">
        <w:tblPrEx>
          <w:tblBorders>
            <w:top w:val="single" w:color="999999" w:sz="4" w:space="0"/>
            <w:left w:val="single" w:color="999999" w:sz="4" w:space="0"/>
            <w:bottom w:val="single" w:color="999999" w:sz="4" w:space="0"/>
            <w:right w:val="single" w:color="999999" w:sz="4" w:space="0"/>
            <w:insideH w:val="single" w:color="BBBBBB" w:sz="4" w:space="0"/>
            <w:insideV w:val="single" w:color="BBBBBB" w:sz="4" w:space="0"/>
          </w:tblBorders>
          <w:tblCellMar>
            <w:top w:w="70" w:type="dxa"/>
            <w:left w:w="90" w:type="dxa"/>
            <w:bottom w:w="70" w:type="dxa"/>
            <w:right w:w="90" w:type="dxa"/>
          </w:tblCellMar>
        </w:tblPrEx>
        <w:tc>
          <w:tcPr>
            <w:tcW w:w="1800" w:type="dxa"/>
          </w:tcPr>
          <w:p w14:paraId="7182E862">
            <w:pPr>
              <w:spacing w:before="0" w:after="35" w:line="270" w:lineRule="auto"/>
              <w:rPr>
                <w:rFonts w:hint="eastAsia" w:ascii="宋体" w:hAnsi="宋体" w:eastAsia="宋体" w:cs="宋体"/>
              </w:rPr>
            </w:pPr>
            <w:r>
              <w:rPr>
                <w:rFonts w:hint="eastAsia" w:ascii="宋体" w:hAnsi="宋体" w:eastAsia="宋体" w:cs="宋体"/>
                <w:sz w:val="18"/>
                <w:szCs w:val="18"/>
              </w:rPr>
              <w:t>User</w:t>
            </w:r>
          </w:p>
        </w:tc>
        <w:tc>
          <w:tcPr>
            <w:tcW w:w="3400" w:type="dxa"/>
          </w:tcPr>
          <w:p w14:paraId="22A9F44B">
            <w:pPr>
              <w:spacing w:before="0" w:after="35" w:line="270" w:lineRule="auto"/>
              <w:rPr>
                <w:rFonts w:hint="eastAsia" w:ascii="宋体" w:hAnsi="宋体" w:eastAsia="宋体" w:cs="宋体"/>
              </w:rPr>
            </w:pPr>
            <w:r>
              <w:rPr>
                <w:rFonts w:hint="eastAsia" w:ascii="宋体" w:hAnsi="宋体" w:eastAsia="宋体" w:cs="宋体"/>
                <w:sz w:val="18"/>
                <w:szCs w:val="18"/>
              </w:rPr>
              <w:t>管理员/收银员账号、角色、状态、密码哈希</w:t>
            </w:r>
          </w:p>
        </w:tc>
        <w:tc>
          <w:tcPr>
            <w:tcW w:w="3800" w:type="dxa"/>
          </w:tcPr>
          <w:p w14:paraId="1AC1EEA0">
            <w:pPr>
              <w:spacing w:before="0" w:after="35" w:line="270" w:lineRule="auto"/>
              <w:rPr>
                <w:rFonts w:hint="eastAsia" w:ascii="宋体" w:hAnsi="宋体" w:eastAsia="宋体" w:cs="宋体"/>
              </w:rPr>
            </w:pPr>
            <w:r>
              <w:rPr>
                <w:rFonts w:hint="eastAsia" w:ascii="宋体" w:hAnsi="宋体" w:eastAsia="宋体" w:cs="宋体"/>
                <w:sz w:val="18"/>
                <w:szCs w:val="18"/>
              </w:rPr>
              <w:t>app/models/user.py</w:t>
            </w:r>
          </w:p>
        </w:tc>
      </w:tr>
      <w:tr w14:paraId="4A171F0A">
        <w:tblPrEx>
          <w:tblBorders>
            <w:top w:val="single" w:color="999999" w:sz="4" w:space="0"/>
            <w:left w:val="single" w:color="999999" w:sz="4" w:space="0"/>
            <w:bottom w:val="single" w:color="999999" w:sz="4" w:space="0"/>
            <w:right w:val="single" w:color="999999" w:sz="4" w:space="0"/>
            <w:insideH w:val="single" w:color="BBBBBB" w:sz="4" w:space="0"/>
            <w:insideV w:val="single" w:color="BBBBBB" w:sz="4" w:space="0"/>
          </w:tblBorders>
          <w:tblCellMar>
            <w:top w:w="70" w:type="dxa"/>
            <w:left w:w="90" w:type="dxa"/>
            <w:bottom w:w="70" w:type="dxa"/>
            <w:right w:w="90" w:type="dxa"/>
          </w:tblCellMar>
        </w:tblPrEx>
        <w:tc>
          <w:tcPr>
            <w:tcW w:w="1800" w:type="dxa"/>
            <w:shd w:val="clear" w:color="auto" w:fill="F7FBFF"/>
          </w:tcPr>
          <w:p w14:paraId="58A02074">
            <w:pPr>
              <w:spacing w:before="0" w:after="35" w:line="270" w:lineRule="auto"/>
              <w:rPr>
                <w:rFonts w:hint="eastAsia" w:ascii="宋体" w:hAnsi="宋体" w:eastAsia="宋体" w:cs="宋体"/>
              </w:rPr>
            </w:pPr>
            <w:r>
              <w:rPr>
                <w:rFonts w:hint="eastAsia" w:ascii="宋体" w:hAnsi="宋体" w:eastAsia="宋体" w:cs="宋体"/>
                <w:sz w:val="18"/>
                <w:szCs w:val="18"/>
              </w:rPr>
              <w:t>Product / Category</w:t>
            </w:r>
          </w:p>
        </w:tc>
        <w:tc>
          <w:tcPr>
            <w:tcW w:w="3400" w:type="dxa"/>
            <w:shd w:val="clear" w:color="auto" w:fill="F7FBFF"/>
          </w:tcPr>
          <w:p w14:paraId="563E20A2">
            <w:pPr>
              <w:spacing w:before="0" w:after="35" w:line="270" w:lineRule="auto"/>
              <w:rPr>
                <w:rFonts w:hint="eastAsia" w:ascii="宋体" w:hAnsi="宋体" w:eastAsia="宋体" w:cs="宋体"/>
              </w:rPr>
            </w:pPr>
            <w:r>
              <w:rPr>
                <w:rFonts w:hint="eastAsia" w:ascii="宋体" w:hAnsi="宋体" w:eastAsia="宋体" w:cs="宋体"/>
                <w:sz w:val="18"/>
                <w:szCs w:val="18"/>
              </w:rPr>
              <w:t>商品主数据、分类、价格、条码、最低库存</w:t>
            </w:r>
          </w:p>
        </w:tc>
        <w:tc>
          <w:tcPr>
            <w:tcW w:w="3800" w:type="dxa"/>
            <w:shd w:val="clear" w:color="auto" w:fill="F7FBFF"/>
          </w:tcPr>
          <w:p w14:paraId="6EE65DC8">
            <w:pPr>
              <w:spacing w:before="0" w:after="35" w:line="270" w:lineRule="auto"/>
              <w:rPr>
                <w:rFonts w:hint="eastAsia" w:ascii="宋体" w:hAnsi="宋体" w:eastAsia="宋体" w:cs="宋体"/>
              </w:rPr>
            </w:pPr>
            <w:r>
              <w:rPr>
                <w:rFonts w:hint="eastAsia" w:ascii="宋体" w:hAnsi="宋体" w:eastAsia="宋体" w:cs="宋体"/>
                <w:sz w:val="18"/>
                <w:szCs w:val="18"/>
              </w:rPr>
              <w:t>app/models/product.py、category.py</w:t>
            </w:r>
          </w:p>
        </w:tc>
      </w:tr>
      <w:tr w14:paraId="56E2181E">
        <w:tblPrEx>
          <w:tblBorders>
            <w:top w:val="single" w:color="999999" w:sz="4" w:space="0"/>
            <w:left w:val="single" w:color="999999" w:sz="4" w:space="0"/>
            <w:bottom w:val="single" w:color="999999" w:sz="4" w:space="0"/>
            <w:right w:val="single" w:color="999999" w:sz="4" w:space="0"/>
            <w:insideH w:val="single" w:color="BBBBBB" w:sz="4" w:space="0"/>
            <w:insideV w:val="single" w:color="BBBBBB" w:sz="4" w:space="0"/>
          </w:tblBorders>
          <w:tblCellMar>
            <w:top w:w="70" w:type="dxa"/>
            <w:left w:w="90" w:type="dxa"/>
            <w:bottom w:w="70" w:type="dxa"/>
            <w:right w:w="90" w:type="dxa"/>
          </w:tblCellMar>
        </w:tblPrEx>
        <w:tc>
          <w:tcPr>
            <w:tcW w:w="1800" w:type="dxa"/>
          </w:tcPr>
          <w:p w14:paraId="05A64849">
            <w:pPr>
              <w:spacing w:before="0" w:after="35" w:line="270" w:lineRule="auto"/>
              <w:rPr>
                <w:rFonts w:hint="eastAsia" w:ascii="宋体" w:hAnsi="宋体" w:eastAsia="宋体" w:cs="宋体"/>
              </w:rPr>
            </w:pPr>
            <w:r>
              <w:rPr>
                <w:rFonts w:hint="eastAsia" w:ascii="宋体" w:hAnsi="宋体" w:eastAsia="宋体" w:cs="宋体"/>
                <w:sz w:val="18"/>
                <w:szCs w:val="18"/>
              </w:rPr>
              <w:t>Inventory / InventoryLog</w:t>
            </w:r>
          </w:p>
        </w:tc>
        <w:tc>
          <w:tcPr>
            <w:tcW w:w="3400" w:type="dxa"/>
          </w:tcPr>
          <w:p w14:paraId="078C434B">
            <w:pPr>
              <w:spacing w:before="0" w:after="35" w:line="270" w:lineRule="auto"/>
              <w:rPr>
                <w:rFonts w:hint="eastAsia" w:ascii="宋体" w:hAnsi="宋体" w:eastAsia="宋体" w:cs="宋体"/>
              </w:rPr>
            </w:pPr>
            <w:r>
              <w:rPr>
                <w:rFonts w:hint="eastAsia" w:ascii="宋体" w:hAnsi="宋体" w:eastAsia="宋体" w:cs="宋体"/>
                <w:sz w:val="18"/>
                <w:szCs w:val="18"/>
              </w:rPr>
              <w:t>现存量与库存变动流水</w:t>
            </w:r>
          </w:p>
        </w:tc>
        <w:tc>
          <w:tcPr>
            <w:tcW w:w="3800" w:type="dxa"/>
          </w:tcPr>
          <w:p w14:paraId="2175C3A0">
            <w:pPr>
              <w:spacing w:before="0" w:after="35" w:line="270" w:lineRule="auto"/>
              <w:rPr>
                <w:rFonts w:hint="eastAsia" w:ascii="宋体" w:hAnsi="宋体" w:eastAsia="宋体" w:cs="宋体"/>
              </w:rPr>
            </w:pPr>
            <w:r>
              <w:rPr>
                <w:rFonts w:hint="eastAsia" w:ascii="宋体" w:hAnsi="宋体" w:eastAsia="宋体" w:cs="宋体"/>
                <w:sz w:val="18"/>
                <w:szCs w:val="18"/>
              </w:rPr>
              <w:t>app/models/inventory.py、inventory_log.py</w:t>
            </w:r>
          </w:p>
        </w:tc>
      </w:tr>
      <w:tr w14:paraId="0BA8CE3F">
        <w:tblPrEx>
          <w:tblBorders>
            <w:top w:val="single" w:color="999999" w:sz="4" w:space="0"/>
            <w:left w:val="single" w:color="999999" w:sz="4" w:space="0"/>
            <w:bottom w:val="single" w:color="999999" w:sz="4" w:space="0"/>
            <w:right w:val="single" w:color="999999" w:sz="4" w:space="0"/>
            <w:insideH w:val="single" w:color="BBBBBB" w:sz="4" w:space="0"/>
            <w:insideV w:val="single" w:color="BBBBBB" w:sz="4" w:space="0"/>
          </w:tblBorders>
          <w:tblCellMar>
            <w:top w:w="70" w:type="dxa"/>
            <w:left w:w="90" w:type="dxa"/>
            <w:bottom w:w="70" w:type="dxa"/>
            <w:right w:w="90" w:type="dxa"/>
          </w:tblCellMar>
        </w:tblPrEx>
        <w:tc>
          <w:tcPr>
            <w:tcW w:w="1800" w:type="dxa"/>
            <w:shd w:val="clear" w:color="auto" w:fill="F7FBFF"/>
          </w:tcPr>
          <w:p w14:paraId="6532246C">
            <w:pPr>
              <w:spacing w:before="0" w:after="35" w:line="270" w:lineRule="auto"/>
              <w:rPr>
                <w:rFonts w:hint="eastAsia" w:ascii="宋体" w:hAnsi="宋体" w:eastAsia="宋体" w:cs="宋体"/>
              </w:rPr>
            </w:pPr>
            <w:r>
              <w:rPr>
                <w:rFonts w:hint="eastAsia" w:ascii="宋体" w:hAnsi="宋体" w:eastAsia="宋体" w:cs="宋体"/>
                <w:sz w:val="18"/>
                <w:szCs w:val="18"/>
              </w:rPr>
              <w:t>Sale / SaleItem</w:t>
            </w:r>
          </w:p>
        </w:tc>
        <w:tc>
          <w:tcPr>
            <w:tcW w:w="3400" w:type="dxa"/>
            <w:shd w:val="clear" w:color="auto" w:fill="F7FBFF"/>
          </w:tcPr>
          <w:p w14:paraId="3833F3C7">
            <w:pPr>
              <w:spacing w:before="0" w:after="35" w:line="270" w:lineRule="auto"/>
              <w:rPr>
                <w:rFonts w:hint="eastAsia" w:ascii="宋体" w:hAnsi="宋体" w:eastAsia="宋体" w:cs="宋体"/>
              </w:rPr>
            </w:pPr>
            <w:r>
              <w:rPr>
                <w:rFonts w:hint="eastAsia" w:ascii="宋体" w:hAnsi="宋体" w:eastAsia="宋体" w:cs="宋体"/>
                <w:sz w:val="18"/>
                <w:szCs w:val="18"/>
              </w:rPr>
              <w:t>销售订单与销售明细</w:t>
            </w:r>
          </w:p>
        </w:tc>
        <w:tc>
          <w:tcPr>
            <w:tcW w:w="3800" w:type="dxa"/>
            <w:shd w:val="clear" w:color="auto" w:fill="F7FBFF"/>
          </w:tcPr>
          <w:p w14:paraId="385C238F">
            <w:pPr>
              <w:spacing w:before="0" w:after="35" w:line="270" w:lineRule="auto"/>
              <w:rPr>
                <w:rFonts w:hint="eastAsia" w:ascii="宋体" w:hAnsi="宋体" w:eastAsia="宋体" w:cs="宋体"/>
              </w:rPr>
            </w:pPr>
            <w:r>
              <w:rPr>
                <w:rFonts w:hint="eastAsia" w:ascii="宋体" w:hAnsi="宋体" w:eastAsia="宋体" w:cs="宋体"/>
                <w:sz w:val="18"/>
                <w:szCs w:val="18"/>
              </w:rPr>
              <w:t>app/models/sale.py、sale_item.py</w:t>
            </w:r>
          </w:p>
        </w:tc>
      </w:tr>
      <w:tr w14:paraId="498C265C">
        <w:tblPrEx>
          <w:tblBorders>
            <w:top w:val="single" w:color="999999" w:sz="4" w:space="0"/>
            <w:left w:val="single" w:color="999999" w:sz="4" w:space="0"/>
            <w:bottom w:val="single" w:color="999999" w:sz="4" w:space="0"/>
            <w:right w:val="single" w:color="999999" w:sz="4" w:space="0"/>
            <w:insideH w:val="single" w:color="BBBBBB" w:sz="4" w:space="0"/>
            <w:insideV w:val="single" w:color="BBBBBB" w:sz="4" w:space="0"/>
          </w:tblBorders>
          <w:tblCellMar>
            <w:top w:w="70" w:type="dxa"/>
            <w:left w:w="90" w:type="dxa"/>
            <w:bottom w:w="70" w:type="dxa"/>
            <w:right w:w="90" w:type="dxa"/>
          </w:tblCellMar>
        </w:tblPrEx>
        <w:tc>
          <w:tcPr>
            <w:tcW w:w="1800" w:type="dxa"/>
          </w:tcPr>
          <w:p w14:paraId="65326DFC">
            <w:pPr>
              <w:spacing w:before="0" w:after="35" w:line="270" w:lineRule="auto"/>
              <w:rPr>
                <w:rFonts w:hint="eastAsia" w:ascii="宋体" w:hAnsi="宋体" w:eastAsia="宋体" w:cs="宋体"/>
              </w:rPr>
            </w:pPr>
            <w:r>
              <w:rPr>
                <w:rFonts w:hint="eastAsia" w:ascii="宋体" w:hAnsi="宋体" w:eastAsia="宋体" w:cs="宋体"/>
                <w:sz w:val="18"/>
                <w:szCs w:val="18"/>
              </w:rPr>
              <w:t>FinanceTransaction / CashReconciliation</w:t>
            </w:r>
          </w:p>
        </w:tc>
        <w:tc>
          <w:tcPr>
            <w:tcW w:w="3400" w:type="dxa"/>
          </w:tcPr>
          <w:p w14:paraId="4F5F8909">
            <w:pPr>
              <w:spacing w:before="0" w:after="35" w:line="270" w:lineRule="auto"/>
              <w:rPr>
                <w:rFonts w:hint="eastAsia" w:ascii="宋体" w:hAnsi="宋体" w:eastAsia="宋体" w:cs="宋体"/>
              </w:rPr>
            </w:pPr>
            <w:r>
              <w:rPr>
                <w:rFonts w:hint="eastAsia" w:ascii="宋体" w:hAnsi="宋体" w:eastAsia="宋体" w:cs="宋体"/>
                <w:sz w:val="18"/>
                <w:szCs w:val="18"/>
              </w:rPr>
              <w:t>收支流水与日结对账</w:t>
            </w:r>
          </w:p>
        </w:tc>
        <w:tc>
          <w:tcPr>
            <w:tcW w:w="3800" w:type="dxa"/>
          </w:tcPr>
          <w:p w14:paraId="5BA6A3FC">
            <w:pPr>
              <w:spacing w:before="0" w:after="35" w:line="270" w:lineRule="auto"/>
              <w:rPr>
                <w:rFonts w:hint="eastAsia" w:ascii="宋体" w:hAnsi="宋体" w:eastAsia="宋体" w:cs="宋体"/>
              </w:rPr>
            </w:pPr>
            <w:r>
              <w:rPr>
                <w:rFonts w:hint="eastAsia" w:ascii="宋体" w:hAnsi="宋体" w:eastAsia="宋体" w:cs="宋体"/>
                <w:sz w:val="18"/>
                <w:szCs w:val="18"/>
              </w:rPr>
              <w:t>app/models/finance_transaction.py、cash_reconciliation.py</w:t>
            </w:r>
          </w:p>
        </w:tc>
      </w:tr>
      <w:tr w14:paraId="53F06389">
        <w:tblPrEx>
          <w:tblBorders>
            <w:top w:val="single" w:color="999999" w:sz="4" w:space="0"/>
            <w:left w:val="single" w:color="999999" w:sz="4" w:space="0"/>
            <w:bottom w:val="single" w:color="999999" w:sz="4" w:space="0"/>
            <w:right w:val="single" w:color="999999" w:sz="4" w:space="0"/>
            <w:insideH w:val="single" w:color="BBBBBB" w:sz="4" w:space="0"/>
            <w:insideV w:val="single" w:color="BBBBBB" w:sz="4" w:space="0"/>
          </w:tblBorders>
          <w:tblCellMar>
            <w:top w:w="70" w:type="dxa"/>
            <w:left w:w="90" w:type="dxa"/>
            <w:bottom w:w="70" w:type="dxa"/>
            <w:right w:w="90" w:type="dxa"/>
          </w:tblCellMar>
        </w:tblPrEx>
        <w:tc>
          <w:tcPr>
            <w:tcW w:w="1800" w:type="dxa"/>
            <w:shd w:val="clear" w:color="auto" w:fill="F7FBFF"/>
          </w:tcPr>
          <w:p w14:paraId="41CAF6A4">
            <w:pPr>
              <w:spacing w:before="0" w:after="35" w:line="270" w:lineRule="auto"/>
              <w:rPr>
                <w:rFonts w:hint="eastAsia" w:ascii="宋体" w:hAnsi="宋体" w:eastAsia="宋体" w:cs="宋体"/>
              </w:rPr>
            </w:pPr>
            <w:r>
              <w:rPr>
                <w:rFonts w:hint="eastAsia" w:ascii="宋体" w:hAnsi="宋体" w:eastAsia="宋体" w:cs="宋体"/>
                <w:sz w:val="18"/>
                <w:szCs w:val="18"/>
              </w:rPr>
              <w:t>Announcement / AnnouncementRead</w:t>
            </w:r>
          </w:p>
        </w:tc>
        <w:tc>
          <w:tcPr>
            <w:tcW w:w="3400" w:type="dxa"/>
            <w:shd w:val="clear" w:color="auto" w:fill="F7FBFF"/>
          </w:tcPr>
          <w:p w14:paraId="7E484039">
            <w:pPr>
              <w:spacing w:before="0" w:after="35" w:line="270" w:lineRule="auto"/>
              <w:rPr>
                <w:rFonts w:hint="eastAsia" w:ascii="宋体" w:hAnsi="宋体" w:eastAsia="宋体" w:cs="宋体"/>
              </w:rPr>
            </w:pPr>
            <w:r>
              <w:rPr>
                <w:rFonts w:hint="eastAsia" w:ascii="宋体" w:hAnsi="宋体" w:eastAsia="宋体" w:cs="宋体"/>
                <w:sz w:val="18"/>
                <w:szCs w:val="18"/>
              </w:rPr>
              <w:t>公告发布与已读状态</w:t>
            </w:r>
          </w:p>
        </w:tc>
        <w:tc>
          <w:tcPr>
            <w:tcW w:w="3800" w:type="dxa"/>
            <w:shd w:val="clear" w:color="auto" w:fill="F7FBFF"/>
          </w:tcPr>
          <w:p w14:paraId="53C6B5E4">
            <w:pPr>
              <w:spacing w:before="0" w:after="35" w:line="270" w:lineRule="auto"/>
              <w:rPr>
                <w:rFonts w:hint="eastAsia" w:ascii="宋体" w:hAnsi="宋体" w:eastAsia="宋体" w:cs="宋体"/>
              </w:rPr>
            </w:pPr>
            <w:r>
              <w:rPr>
                <w:rFonts w:hint="eastAsia" w:ascii="宋体" w:hAnsi="宋体" w:eastAsia="宋体" w:cs="宋体"/>
                <w:sz w:val="18"/>
                <w:szCs w:val="18"/>
              </w:rPr>
              <w:t>app/models/announcement.py、announcement_read.py</w:t>
            </w:r>
          </w:p>
        </w:tc>
      </w:tr>
    </w:tbl>
    <w:p w14:paraId="16D9B136">
      <w:pPr>
        <w:spacing w:before="0" w:after="70" w:line="360" w:lineRule="auto"/>
        <w:rPr>
          <w:rFonts w:hint="eastAsia" w:ascii="宋体" w:hAnsi="宋体" w:eastAsia="宋体" w:cs="宋体"/>
        </w:rPr>
      </w:pPr>
    </w:p>
    <w:p w14:paraId="1189FEEE">
      <w:pPr>
        <w:pStyle w:val="Heading3"/>
        <w:keepNext/>
        <w:pBdr>
          <w:left w:val="single" w:color="2F75B5" w:sz="12" w:space="6"/>
        </w:pBdr>
        <w:spacing w:before="220" w:after="100" w:line="360" w:lineRule="auto"/>
        <w:outlineLvl w:val="1"/>
        <w:rPr>
          <w:rFonts w:hint="eastAsia" w:ascii="宋体" w:hAnsi="宋体" w:eastAsia="宋体" w:cs="宋体"/>
        </w:rPr>
      </w:pPr>
      <w:r>
        <w:rPr>
          <w:rFonts w:hint="eastAsia" w:ascii="宋体" w:hAnsi="宋体" w:eastAsia="宋体" w:cs="宋体"/>
          <w:b/>
          <w:bCs/>
          <w:color w:val="1F4E79"/>
          <w:sz w:val="25"/>
          <w:szCs w:val="25"/>
        </w:rPr>
        <w:t>3.2.3 ORM 建模</w:t>
      </w:r>
    </w:p>
    <w:p w14:paraId="636E1CED">
      <w:pPr>
        <w:spacing w:before="75" w:after="30"/>
        <w:jc w:val="center"/>
        <w:rPr>
          <w:rFonts w:hint="eastAsia" w:ascii="宋体" w:hAnsi="宋体" w:eastAsia="宋体" w:cs="宋体"/>
        </w:rPr>
      </w:pPr>
      <w:r>
        <w:rPr>
          <w:rFonts w:hint="eastAsia" w:ascii="宋体" w:hAnsi="宋体" w:eastAsia="宋体" w:cs="宋体"/>
        </w:rPr>
        <w:drawing>
          <wp:inline distT="0" distB="0" distL="0" distR="0">
            <wp:extent cx="6035040" cy="4069080"/>
            <wp:effectExtent l="0" t="0" r="0" b="0"/>
            <wp:docPr id="37" name="report_image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report_image37.png"/>
                    <pic:cNvPicPr>
                      <a:picLocks noChangeAspect="1"/>
                    </pic:cNvPicPr>
                  </pic:nvPicPr>
                  <pic:blipFill>
                    <a:blip r:embed="rId42"/>
                    <a:stretch>
                      <a:fillRect/>
                    </a:stretch>
                  </pic:blipFill>
                  <pic:spPr>
                    <a:xfrm>
                      <a:off x="0" y="0"/>
                      <a:ext cx="6035040" cy="4069447"/>
                    </a:xfrm>
                    <a:prstGeom prst="rect">
                      <a:avLst/>
                    </a:prstGeom>
                  </pic:spPr>
                </pic:pic>
              </a:graphicData>
            </a:graphic>
          </wp:inline>
        </w:drawing>
      </w:r>
    </w:p>
    <w:p w14:paraId="3595CF04">
      <w:pPr>
        <w:spacing w:before="0" w:after="110" w:line="250" w:lineRule="auto"/>
        <w:jc w:val="center"/>
        <w:rPr>
          <w:rFonts w:hint="eastAsia" w:ascii="宋体" w:hAnsi="宋体" w:eastAsia="宋体" w:cs="宋体"/>
        </w:rPr>
      </w:pPr>
      <w:r>
        <w:rPr>
          <w:rFonts w:hint="eastAsia" w:ascii="宋体" w:hAnsi="宋体" w:eastAsia="宋体" w:cs="宋体"/>
          <w:i/>
          <w:iCs/>
          <w:sz w:val="17"/>
          <w:szCs w:val="17"/>
        </w:rPr>
        <w:t>图37  商品主数据模型</w:t>
      </w:r>
    </w:p>
    <w:p w14:paraId="204E9596">
      <w:pPr>
        <w:spacing w:before="75" w:after="30"/>
        <w:jc w:val="center"/>
        <w:rPr>
          <w:rFonts w:hint="eastAsia" w:ascii="宋体" w:hAnsi="宋体" w:eastAsia="宋体" w:cs="宋体"/>
        </w:rPr>
      </w:pPr>
      <w:r>
        <w:rPr>
          <w:rFonts w:hint="eastAsia" w:ascii="宋体" w:hAnsi="宋体" w:eastAsia="宋体" w:cs="宋体"/>
        </w:rPr>
        <w:drawing>
          <wp:inline distT="0" distB="0" distL="0" distR="0">
            <wp:extent cx="6035040" cy="3990975"/>
            <wp:effectExtent l="0" t="0" r="0" b="0"/>
            <wp:docPr id="38" name="report_image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report_image38.png"/>
                    <pic:cNvPicPr>
                      <a:picLocks noChangeAspect="1"/>
                    </pic:cNvPicPr>
                  </pic:nvPicPr>
                  <pic:blipFill>
                    <a:blip r:embed="rId43"/>
                    <a:stretch>
                      <a:fillRect/>
                    </a:stretch>
                  </pic:blipFill>
                  <pic:spPr>
                    <a:xfrm>
                      <a:off x="0" y="0"/>
                      <a:ext cx="6035040" cy="3991099"/>
                    </a:xfrm>
                    <a:prstGeom prst="rect">
                      <a:avLst/>
                    </a:prstGeom>
                  </pic:spPr>
                </pic:pic>
              </a:graphicData>
            </a:graphic>
          </wp:inline>
        </w:drawing>
      </w:r>
    </w:p>
    <w:p w14:paraId="3C3F61E4">
      <w:pPr>
        <w:spacing w:before="0" w:after="110" w:line="250" w:lineRule="auto"/>
        <w:jc w:val="center"/>
        <w:rPr>
          <w:rFonts w:hint="eastAsia" w:ascii="宋体" w:hAnsi="宋体" w:eastAsia="宋体" w:cs="宋体"/>
        </w:rPr>
      </w:pPr>
      <w:r>
        <w:rPr>
          <w:rFonts w:hint="eastAsia" w:ascii="宋体" w:hAnsi="宋体" w:eastAsia="宋体" w:cs="宋体"/>
          <w:i/>
          <w:iCs/>
          <w:sz w:val="17"/>
          <w:szCs w:val="17"/>
        </w:rPr>
        <w:t>图38  库存台账模型</w:t>
      </w:r>
    </w:p>
    <w:p w14:paraId="5720EE98">
      <w:pPr>
        <w:spacing w:before="75" w:after="30"/>
        <w:jc w:val="center"/>
        <w:rPr>
          <w:rFonts w:hint="eastAsia" w:ascii="宋体" w:hAnsi="宋体" w:eastAsia="宋体" w:cs="宋体"/>
        </w:rPr>
      </w:pPr>
      <w:r>
        <w:rPr>
          <w:rFonts w:hint="eastAsia" w:ascii="宋体" w:hAnsi="宋体" w:eastAsia="宋体" w:cs="宋体"/>
        </w:rPr>
        <w:drawing>
          <wp:inline distT="0" distB="0" distL="0" distR="0">
            <wp:extent cx="6035040" cy="4069080"/>
            <wp:effectExtent l="0" t="0" r="0" b="0"/>
            <wp:docPr id="39" name="report_image3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report_image39.png"/>
                    <pic:cNvPicPr>
                      <a:picLocks noChangeAspect="1"/>
                    </pic:cNvPicPr>
                  </pic:nvPicPr>
                  <pic:blipFill>
                    <a:blip r:embed="rId44"/>
                    <a:stretch>
                      <a:fillRect/>
                    </a:stretch>
                  </pic:blipFill>
                  <pic:spPr>
                    <a:xfrm>
                      <a:off x="0" y="0"/>
                      <a:ext cx="6035040" cy="4069447"/>
                    </a:xfrm>
                    <a:prstGeom prst="rect">
                      <a:avLst/>
                    </a:prstGeom>
                  </pic:spPr>
                </pic:pic>
              </a:graphicData>
            </a:graphic>
          </wp:inline>
        </w:drawing>
      </w:r>
    </w:p>
    <w:p w14:paraId="77B456CE">
      <w:pPr>
        <w:spacing w:before="0" w:after="110" w:line="250" w:lineRule="auto"/>
        <w:jc w:val="center"/>
        <w:rPr>
          <w:rFonts w:hint="eastAsia" w:ascii="宋体" w:hAnsi="宋体" w:eastAsia="宋体" w:cs="宋体"/>
        </w:rPr>
      </w:pPr>
      <w:r>
        <w:rPr>
          <w:rFonts w:hint="eastAsia" w:ascii="宋体" w:hAnsi="宋体" w:eastAsia="宋体" w:cs="宋体"/>
          <w:i/>
          <w:iCs/>
          <w:sz w:val="17"/>
          <w:szCs w:val="17"/>
        </w:rPr>
        <w:t>图39  销售订单模型</w:t>
      </w:r>
    </w:p>
    <w:p w14:paraId="40CC3686">
      <w:pPr>
        <w:spacing w:before="75" w:after="30"/>
        <w:jc w:val="center"/>
        <w:rPr>
          <w:rFonts w:hint="eastAsia" w:ascii="宋体" w:hAnsi="宋体" w:eastAsia="宋体" w:cs="宋体"/>
        </w:rPr>
      </w:pPr>
      <w:r>
        <w:rPr>
          <w:rFonts w:hint="eastAsia" w:ascii="宋体" w:hAnsi="宋体" w:eastAsia="宋体" w:cs="宋体"/>
        </w:rPr>
        <w:drawing>
          <wp:inline distT="0" distB="0" distL="0" distR="0">
            <wp:extent cx="6035040" cy="3990975"/>
            <wp:effectExtent l="0" t="0" r="0" b="0"/>
            <wp:docPr id="40" name="report_image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report_image40.png"/>
                    <pic:cNvPicPr>
                      <a:picLocks noChangeAspect="1"/>
                    </pic:cNvPicPr>
                  </pic:nvPicPr>
                  <pic:blipFill>
                    <a:blip r:embed="rId45"/>
                    <a:stretch>
                      <a:fillRect/>
                    </a:stretch>
                  </pic:blipFill>
                  <pic:spPr>
                    <a:xfrm>
                      <a:off x="0" y="0"/>
                      <a:ext cx="6035040" cy="3991099"/>
                    </a:xfrm>
                    <a:prstGeom prst="rect">
                      <a:avLst/>
                    </a:prstGeom>
                  </pic:spPr>
                </pic:pic>
              </a:graphicData>
            </a:graphic>
          </wp:inline>
        </w:drawing>
      </w:r>
    </w:p>
    <w:p w14:paraId="2089FC96">
      <w:pPr>
        <w:spacing w:before="0" w:after="110" w:line="250" w:lineRule="auto"/>
        <w:jc w:val="center"/>
        <w:rPr>
          <w:rFonts w:hint="eastAsia" w:ascii="宋体" w:hAnsi="宋体" w:eastAsia="宋体" w:cs="宋体"/>
        </w:rPr>
      </w:pPr>
      <w:r>
        <w:rPr>
          <w:rFonts w:hint="eastAsia" w:ascii="宋体" w:hAnsi="宋体" w:eastAsia="宋体" w:cs="宋体"/>
          <w:i/>
          <w:iCs/>
          <w:sz w:val="17"/>
          <w:szCs w:val="17"/>
        </w:rPr>
        <w:t>图40  采购与供应商模型</w:t>
      </w:r>
    </w:p>
    <w:p w14:paraId="150BA559">
      <w:pPr>
        <w:spacing w:before="75" w:after="30"/>
        <w:jc w:val="center"/>
        <w:rPr>
          <w:rFonts w:hint="eastAsia" w:ascii="宋体" w:hAnsi="宋体" w:eastAsia="宋体" w:cs="宋体"/>
        </w:rPr>
      </w:pPr>
      <w:r>
        <w:rPr>
          <w:rFonts w:hint="eastAsia" w:ascii="宋体" w:hAnsi="宋体" w:eastAsia="宋体" w:cs="宋体"/>
        </w:rPr>
        <w:drawing>
          <wp:inline distT="0" distB="0" distL="0" distR="0">
            <wp:extent cx="6035040" cy="3912235"/>
            <wp:effectExtent l="0" t="0" r="0" b="0"/>
            <wp:docPr id="41" name="report_image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report_image41.png"/>
                    <pic:cNvPicPr>
                      <a:picLocks noChangeAspect="1"/>
                    </pic:cNvPicPr>
                  </pic:nvPicPr>
                  <pic:blipFill>
                    <a:blip r:embed="rId46"/>
                    <a:stretch>
                      <a:fillRect/>
                    </a:stretch>
                  </pic:blipFill>
                  <pic:spPr>
                    <a:xfrm>
                      <a:off x="0" y="0"/>
                      <a:ext cx="6035040" cy="3912752"/>
                    </a:xfrm>
                    <a:prstGeom prst="rect">
                      <a:avLst/>
                    </a:prstGeom>
                  </pic:spPr>
                </pic:pic>
              </a:graphicData>
            </a:graphic>
          </wp:inline>
        </w:drawing>
      </w:r>
    </w:p>
    <w:p w14:paraId="04FE8240">
      <w:pPr>
        <w:spacing w:before="0" w:after="110" w:line="250" w:lineRule="auto"/>
        <w:jc w:val="center"/>
        <w:rPr>
          <w:rFonts w:hint="eastAsia" w:ascii="宋体" w:hAnsi="宋体" w:eastAsia="宋体" w:cs="宋体"/>
        </w:rPr>
      </w:pPr>
      <w:r>
        <w:rPr>
          <w:rFonts w:hint="eastAsia" w:ascii="宋体" w:hAnsi="宋体" w:eastAsia="宋体" w:cs="宋体"/>
          <w:i/>
          <w:iCs/>
          <w:sz w:val="17"/>
          <w:szCs w:val="17"/>
        </w:rPr>
        <w:t>图41  会员积分模型</w:t>
      </w:r>
    </w:p>
    <w:p w14:paraId="2AB7577A">
      <w:pPr>
        <w:spacing w:before="75" w:after="30"/>
        <w:jc w:val="center"/>
        <w:rPr>
          <w:rFonts w:hint="eastAsia" w:ascii="宋体" w:hAnsi="宋体" w:eastAsia="宋体" w:cs="宋体"/>
        </w:rPr>
      </w:pPr>
      <w:r>
        <w:rPr>
          <w:rFonts w:hint="eastAsia" w:ascii="宋体" w:hAnsi="宋体" w:eastAsia="宋体" w:cs="宋体"/>
        </w:rPr>
        <w:drawing>
          <wp:inline distT="0" distB="0" distL="0" distR="0">
            <wp:extent cx="6035040" cy="4069080"/>
            <wp:effectExtent l="0" t="0" r="0" b="0"/>
            <wp:docPr id="42" name="report_image4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report_image42.png"/>
                    <pic:cNvPicPr>
                      <a:picLocks noChangeAspect="1"/>
                    </pic:cNvPicPr>
                  </pic:nvPicPr>
                  <pic:blipFill>
                    <a:blip r:embed="rId47"/>
                    <a:stretch>
                      <a:fillRect/>
                    </a:stretch>
                  </pic:blipFill>
                  <pic:spPr>
                    <a:xfrm>
                      <a:off x="0" y="0"/>
                      <a:ext cx="6035040" cy="4069447"/>
                    </a:xfrm>
                    <a:prstGeom prst="rect">
                      <a:avLst/>
                    </a:prstGeom>
                  </pic:spPr>
                </pic:pic>
              </a:graphicData>
            </a:graphic>
          </wp:inline>
        </w:drawing>
      </w:r>
    </w:p>
    <w:p w14:paraId="2F4529EF">
      <w:pPr>
        <w:spacing w:before="0" w:after="110" w:line="250" w:lineRule="auto"/>
        <w:jc w:val="center"/>
        <w:rPr>
          <w:rFonts w:hint="eastAsia" w:ascii="宋体" w:hAnsi="宋体" w:eastAsia="宋体" w:cs="宋体"/>
        </w:rPr>
      </w:pPr>
      <w:r>
        <w:rPr>
          <w:rFonts w:hint="eastAsia" w:ascii="宋体" w:hAnsi="宋体" w:eastAsia="宋体" w:cs="宋体"/>
          <w:i/>
          <w:iCs/>
          <w:sz w:val="17"/>
          <w:szCs w:val="17"/>
        </w:rPr>
        <w:t>图42  用户角色权限模型</w:t>
      </w:r>
    </w:p>
    <w:p w14:paraId="150AA117">
      <w:pPr>
        <w:spacing w:before="0" w:after="0" w:line="360" w:lineRule="auto"/>
        <w:rPr>
          <w:rFonts w:hint="eastAsia" w:ascii="宋体" w:hAnsi="宋体" w:eastAsia="宋体" w:cs="宋体"/>
        </w:rPr>
      </w:pPr>
      <w:r>
        <w:rPr>
          <w:rFonts w:hint="eastAsia" w:ascii="宋体" w:hAnsi="宋体" w:eastAsia="宋体" w:cs="宋体"/>
          <w:sz w:val="22"/>
          <w:szCs w:val="22"/>
        </w:rPr>
        <w:br w:type="page"/>
      </w:r>
    </w:p>
    <w:p w14:paraId="481F274A">
      <w:pPr>
        <w:pStyle w:val="Heading3"/>
        <w:spacing w:before="160" w:after="80"/>
        <w:jc w:val="left"/>
      </w:pPr>
      <w:r>
        <w:rPr>
          <w:rFonts w:ascii="黑体" w:hAnsi="黑体" w:eastAsia="黑体"/>
          <w:b/>
          <w:sz w:val="24"/>
        </w:rPr>
        <w:t>3.2.4 源码数据结构补充说明</w:t>
      </w:r>
    </w:p>
    <w:p w14:paraId="03310219">
      <w:pPr>
        <w:spacing w:after="120" w:line="360" w:lineRule="auto"/>
        <w:ind w:firstLine="440"/>
      </w:pPr>
      <w:r>
        <w:rPr>
          <w:rFonts w:ascii="宋体" w:hAnsi="宋体" w:eastAsia="宋体"/>
          <w:b w:val="0"/>
          <w:sz w:val="22"/>
        </w:rPr>
        <w:t>结合源码，数据建模需要把已实现模型写得更完整。账号与权限包括 users 和 admin_signup_requests，后者保存管理员注册申请、审核状态、审核人、审核时间和拒绝原因，使管理员权限不会通过普通注册直接获得。商品库存包括 categories、products、inventory 和 inventory_logs，商品主数据与当前库存、库存流水分开存储，既能支持查询，也能支持追溯。</w:t>
      </w:r>
    </w:p>
    <w:p w14:paraId="37DD676D">
      <w:pPr>
        <w:spacing w:after="120" w:line="360" w:lineRule="auto"/>
        <w:ind w:firstLine="440"/>
      </w:pPr>
      <w:r>
        <w:rPr>
          <w:rFonts w:ascii="宋体" w:hAnsi="宋体" w:eastAsia="宋体"/>
          <w:b w:val="0"/>
          <w:sz w:val="22"/>
        </w:rPr>
        <w:t>销售与财务数据采用业务单据和流水分离的思路。sales 保存销售单头，sale_items 保存成交时的商品、数量、单价和小计，避免后续商品调价影响历史订单。finance_transactions 保存收支流水，cash_reconciliations 保存日结对账，supplier_payables 与 payable_payments 保存供应商应付和付款记录，finance_period_closings 保存月结快照。这些表共同支撑财务概览、对账、应付和月结功能。</w:t>
      </w:r>
    </w:p>
    <w:p w14:paraId="00122566">
      <w:pPr>
        <w:spacing w:after="120" w:line="360" w:lineRule="auto"/>
        <w:ind w:firstLine="440"/>
      </w:pPr>
      <w:r>
        <w:rPr>
          <w:rFonts w:ascii="宋体" w:hAnsi="宋体" w:eastAsia="宋体"/>
          <w:b w:val="0"/>
          <w:sz w:val="22"/>
        </w:rPr>
        <w:t>公告模块使用 announcements 和 announcement_reads 两张表。announcements 负责标题、内容、级别、目标角色和发布状态；announcement_reads 负责记录用户对公告的阅读时间。这样一条公告可以被多个用户阅读，一个用户也可以阅读多条公告，数据库关系更清晰，也便于实现未读数量统计和全部已读功能。</w:t>
      </w:r>
    </w:p>
    <w:p w14:paraId="2A6BD95E">
      <w:pPr>
        <w:spacing w:after="120" w:line="360" w:lineRule="auto"/>
        <w:ind w:firstLine="440"/>
      </w:pPr>
      <w:r>
        <w:rPr>
          <w:rFonts w:ascii="宋体" w:hAnsi="宋体" w:eastAsia="宋体"/>
          <w:b w:val="0"/>
          <w:sz w:val="22"/>
        </w:rPr>
        <w:t>二期主数据模型包括 members、employees、suppliers 和 system_settings。members 保存手机号、等级、积分和状态，employees 保存员工编号、岗位、排班和状态，suppliers 保存供应商编码、联系人和结算周期，system_settings 使用键值对保存系统配置。键值对模型适合保存门店名称、库存预警开关、小票页脚等变化灵活但数量不大的配置项。</w:t>
      </w:r>
    </w:p>
    <w:p w14:paraId="6E408BD2">
      <w:pPr>
        <w:spacing w:after="120" w:line="360" w:lineRule="auto"/>
        <w:ind w:firstLine="440"/>
      </w:pPr>
      <w:r>
        <w:rPr>
          <w:rFonts w:ascii="宋体" w:hAnsi="宋体" w:eastAsia="宋体"/>
          <w:b w:val="0"/>
          <w:sz w:val="22"/>
        </w:rPr>
        <w:t>智能助手本身没有单独建聊天记录表，当前实现采用即时问答模式。它通过 Product、Inventory、Category、Sale、SaleItem 等已有业务数据组织回答，并可调用库存汇总、低库存预警、销售概览和热销商品等服务函数。这样设计减少了额外表结构，同时体现助手模块与业务数据模型之间的依赖关系。</w:t>
      </w:r>
    </w:p>
    <w:p w14:paraId="7FC869C6">
      <w:pPr>
        <w:pStyle w:val="Heading3"/>
        <w:spacing w:before="160" w:after="80"/>
        <w:jc w:val="left"/>
      </w:pPr>
      <w:r>
        <w:rPr>
          <w:rFonts w:ascii="黑体" w:hAnsi="黑体" w:eastAsia="黑体"/>
          <w:b/>
          <w:sz w:val="24"/>
        </w:rPr>
        <w:t>3.2.5 数据表与服务函数对应关系补充说明</w:t>
      </w:r>
    </w:p>
    <w:p w14:paraId="741898B2">
      <w:pPr>
        <w:spacing w:after="120" w:line="360" w:lineRule="auto"/>
        <w:ind w:firstLine="440"/>
      </w:pPr>
      <w:r>
        <w:rPr>
          <w:rFonts w:ascii="宋体" w:hAnsi="宋体" w:eastAsia="宋体"/>
          <w:b w:val="0"/>
          <w:sz w:val="22"/>
        </w:rPr>
        <w:t>第 4 章应补充数据表与服务函数的对应关系。商品主数据由 products 与 categories 承载，当前库存由 inventory 承载，库存变更历史由 inventory_logs 承载；import_products_from_csv、import_products_from_excel、create_product、update_product、offline_product、online_product、delete_product 等服务函数围绕这些表工作。这样划分的好处是商品资料、当前库存和操作流水互不混淆，既能支持列表查询，也能支持库存追溯。</w:t>
      </w:r>
    </w:p>
    <w:p w14:paraId="2EBB6BA0">
      <w:pPr>
        <w:spacing w:after="120" w:line="360" w:lineRule="auto"/>
        <w:ind w:firstLine="440"/>
      </w:pPr>
      <w:r>
        <w:rPr>
          <w:rFonts w:ascii="宋体" w:hAnsi="宋体" w:eastAsia="宋体"/>
          <w:b w:val="0"/>
          <w:sz w:val="22"/>
        </w:rPr>
        <w:t>销售与财务数据不是一张大表，而是按单据、明细、流水、对账、应付和月结拆分。sales 保存销售单头，sale_items 保存销售明细，finance_transactions 保存收入支出流水，cash_reconciliations 保存日结对账，supplier_payables 与 payable_payments 保存供应商应付及付款记录，finance_period_closings 保存月结快照。get_reconciliation、save_reconciliation、create_payable、record_payable_payment、close_finance_period 分别对应日结、保存对账、创建应付、登记付款和关账快照。</w:t>
      </w:r>
    </w:p>
    <w:p w14:paraId="0DD02CEF">
      <w:pPr>
        <w:spacing w:after="120" w:line="360" w:lineRule="auto"/>
        <w:ind w:firstLine="440"/>
      </w:pPr>
      <w:r>
        <w:rPr>
          <w:rFonts w:ascii="宋体" w:hAnsi="宋体" w:eastAsia="宋体"/>
          <w:b w:val="0"/>
          <w:sz w:val="22"/>
        </w:rPr>
        <w:t>智能助手没有单独建聊天记录表，这是一个有意识的轻量化设计。generate_assistant_reply 通过 Product、Inventory、Category、Sale、SaleItem 等已有业务数据即时组织回答，并调用 get_inventory_summary、get_inventory_alerts、get_sales_overview、get_top_products 等服务函数。也就是说助手不是独立孤岛，而是业务数据模型之上的查询与解释层；如果后续要保留问答历史，再新增 assistant_sessions 与 assistant_messages 表即可，不影响现有核心模型。</w:t>
      </w:r>
    </w:p>
    <w:p>
      <w:r>
        <w:br w:type="page"/>
      </w:r>
    </w:p>
    <w:p>
      <w:pPr>
        <w:pStyle w:val="Heading1"/>
        <w:spacing w:before="240" w:after="200"/>
      </w:pPr>
      <w:r>
        <w:rPr>
          <w:rFonts w:ascii="黑体" w:hAnsi="黑体" w:eastAsia="黑体"/>
          <w:b/>
        </w:rPr>
        <w:t>四．基本设计</w:t>
      </w:r>
    </w:p>
    <w:p>
      <w:pPr>
        <w:pStyle w:val="Heading2"/>
        <w:spacing w:before="160" w:after="120"/>
      </w:pPr>
      <w:r>
        <w:rPr>
          <w:rFonts w:ascii="黑体" w:hAnsi="黑体" w:eastAsia="黑体"/>
          <w:b/>
        </w:rPr>
        <w:t>4.1 基本设计、共通设计与接口设计说明</w:t>
      </w:r>
    </w:p>
    <w:p>
      <w:r>
        <w:rPr>
          <w:b w:val="0"/>
        </w:rPr>
        <w:t>基本设计从整体结构上说明系统如何组织。超市管理系统采用浏览器 + Flask Web 应用 + SQLite 数据库的三层结构：浏览器负责页面展示和用户操作，Flask 负责路由分发、权限判断和服务调用，SQLAlchemy 模型负责把业务对象映射到数据库表。系统没有把业务规则写散在页面模板里，而是集中在 services 目录中处理，便于测试和维护。</w:t>
      </w:r>
    </w:p>
    <w:p>
      <w:r>
        <w:rPr>
          <w:b w:val="0"/>
        </w:rPr>
        <w:t>共通设计主要包括登录态管理、角色权限、表单校验、错误提示、分页查询、状态字段、时间字段和审计记录。商品、会员、员工、供应商、公告和系统参数虽然属于不同模块，但都遵循“页面提交参数、路由做权限入口、服务层校验业务规则、模型层持久化数据”的共通流程。</w:t>
      </w:r>
    </w:p>
    <w:p>
      <w:r>
        <w:rPr>
          <w:b w:val="0"/>
        </w:rPr>
        <w:t>接口设计分为页面路由和异步 API 两类。页面路由用于登录、首页、商品、库存、销售、财务、公告、经营分析、智能助手和二期模块展示；异步 API 用于收银结算、智能助手聊天、二期模块 CRUD、公告已读、系统参数维护等需要局部刷新的操作。</w:t>
      </w:r>
    </w:p>
    <w:tbl>
      <w:tblPr>
        <w:tblW w:type="auto" w:w="0"/>
        <w:jc w:val="center"/>
        <w:tblLook w:firstColumn="1" w:firstRow="1" w:lastColumn="0" w:lastRow="0" w:noHBand="0" w:noVBand="1" w:val="04A0"/>
      </w:tblPr>
      <w:tblGrid>
        <w:gridCol w:w="2268"/>
        <w:gridCol w:w="2268"/>
        <w:gridCol w:w="2268"/>
        <w:gridCol w:w="2268"/>
      </w:tblGrid>
      <w:tr>
        <w:tc>
          <w:tcPr>
            <w:tcW w:type="dxa" w:w="2268"/>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jc w:val="center"/>
            </w:pPr>
            <w:r>
              <w:rPr>
                <w:b/>
              </w:rPr>
              <w:t>接口类别</w:t>
            </w:r>
          </w:p>
        </w:tc>
        <w:tc>
          <w:tcPr>
            <w:tcW w:type="dxa" w:w="2268"/>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jc w:val="center"/>
            </w:pPr>
            <w:r>
              <w:rPr>
                <w:b/>
              </w:rPr>
              <w:t>代表路径</w:t>
            </w:r>
          </w:p>
        </w:tc>
        <w:tc>
          <w:tcPr>
            <w:tcW w:type="dxa" w:w="2268"/>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jc w:val="center"/>
            </w:pPr>
            <w:r>
              <w:rPr>
                <w:b/>
              </w:rPr>
              <w:t>主要职责</w:t>
            </w:r>
          </w:p>
        </w:tc>
        <w:tc>
          <w:tcPr>
            <w:tcW w:type="dxa" w:w="2268"/>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jc w:val="center"/>
            </w:pPr>
            <w:r>
              <w:rPr>
                <w:b/>
              </w:rPr>
              <w:t>设计要点</w:t>
            </w:r>
          </w:p>
        </w:tc>
      </w:tr>
      <w:tr>
        <w:tc>
          <w:tcPr>
            <w:tcW w:type="dxa" w:w="2268"/>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r>
              <w:t>页面路由</w:t>
            </w:r>
          </w:p>
        </w:tc>
        <w:tc>
          <w:tcPr>
            <w:tcW w:type="dxa" w:w="2268"/>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r>
              <w:t>/products、/inventory、/sales、/finance</w:t>
            </w:r>
          </w:p>
        </w:tc>
        <w:tc>
          <w:tcPr>
            <w:tcW w:type="dxa" w:w="2268"/>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r>
              <w:t>渲染业务页面，读取列表、统计和筛选条件</w:t>
            </w:r>
          </w:p>
        </w:tc>
        <w:tc>
          <w:tcPr>
            <w:tcW w:type="dxa" w:w="2268"/>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r>
              <w:t>统一登录校验，按角色展示操作入口</w:t>
            </w:r>
          </w:p>
        </w:tc>
      </w:tr>
      <w:tr>
        <w:tc>
          <w:tcPr>
            <w:tcW w:type="dxa" w:w="2268"/>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r>
              <w:t>收银接口</w:t>
            </w:r>
          </w:p>
        </w:tc>
        <w:tc>
          <w:tcPr>
            <w:tcW w:type="dxa" w:w="2268"/>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r>
              <w:t>/api/cashier/checkout</w:t>
            </w:r>
          </w:p>
        </w:tc>
        <w:tc>
          <w:tcPr>
            <w:tcW w:type="dxa" w:w="2268"/>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r>
              <w:t>提交购物车、支付方式和会员信息，生成销售单并扣减库存</w:t>
            </w:r>
          </w:p>
        </w:tc>
        <w:tc>
          <w:tcPr>
            <w:tcW w:type="dxa" w:w="2268"/>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r>
              <w:t>校验库存、金额、商品状态，保证销售与库存一致</w:t>
            </w:r>
          </w:p>
        </w:tc>
      </w:tr>
      <w:tr>
        <w:tc>
          <w:tcPr>
            <w:tcW w:type="dxa" w:w="2268"/>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r>
              <w:t>智能助手接口</w:t>
            </w:r>
          </w:p>
        </w:tc>
        <w:tc>
          <w:tcPr>
            <w:tcW w:type="dxa" w:w="2268"/>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r>
              <w:t>/api/assistant/chat</w:t>
            </w:r>
          </w:p>
        </w:tc>
        <w:tc>
          <w:tcPr>
            <w:tcW w:type="dxa" w:w="2268"/>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r>
              <w:t>接收问题并返回 FAQ、规则回复或外部模型回复</w:t>
            </w:r>
          </w:p>
        </w:tc>
        <w:tc>
          <w:tcPr>
            <w:tcW w:type="dxa" w:w="2268"/>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r>
              <w:t>限制 500 字符，空输入拦截，管理员权限访问</w:t>
            </w:r>
          </w:p>
        </w:tc>
      </w:tr>
      <w:tr>
        <w:tc>
          <w:tcPr>
            <w:tcW w:type="dxa" w:w="2268"/>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r>
              <w:t>二期模块接口</w:t>
            </w:r>
          </w:p>
        </w:tc>
        <w:tc>
          <w:tcPr>
            <w:tcW w:type="dxa" w:w="2268"/>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r>
              <w:t>/api/members、/api/employees、/api/suppliers、/api/settings</w:t>
            </w:r>
          </w:p>
        </w:tc>
        <w:tc>
          <w:tcPr>
            <w:tcW w:type="dxa" w:w="2268"/>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r>
              <w:t>维护会员、员工、供应商和系统参数</w:t>
            </w:r>
          </w:p>
        </w:tc>
        <w:tc>
          <w:tcPr>
            <w:tcW w:type="dxa" w:w="2268"/>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r>
              <w:t>统一字段校验、启停状态、异常路径返回 JSON</w:t>
            </w:r>
          </w:p>
        </w:tc>
      </w:tr>
      <w:tr>
        <w:tc>
          <w:tcPr>
            <w:tcW w:type="dxa" w:w="2268"/>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r>
              <w:t>公告接口</w:t>
            </w:r>
          </w:p>
        </w:tc>
        <w:tc>
          <w:tcPr>
            <w:tcW w:type="dxa" w:w="2268"/>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r>
              <w:t>/api/announcements/read</w:t>
            </w:r>
          </w:p>
        </w:tc>
        <w:tc>
          <w:tcPr>
            <w:tcW w:type="dxa" w:w="2268"/>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r>
              <w:t>记录公告单条已读或全部已读</w:t>
            </w:r>
          </w:p>
        </w:tc>
        <w:tc>
          <w:tcPr>
            <w:tcW w:type="dxa" w:w="2268"/>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r>
              <w:t>使用 announcement_reads 表保存用户维度阅读状态</w:t>
            </w:r>
          </w:p>
        </w:tc>
      </w:tr>
    </w:tbl>
    <w:p w14:paraId="53D37EEF">
      <w:pPr>
        <w:pStyle w:val="Heading2"/>
        <w:keepNext/>
        <w:shd w:val="clear" w:fill="1F4E79"/>
        <w:spacing w:before="220" w:after="160" w:line="360" w:lineRule="auto"/>
        <w:outlineLvl w:val="0"/>
        <w:rPr>
          <w:rFonts w:hint="eastAsia" w:ascii="宋体" w:hAnsi="宋体" w:eastAsia="宋体" w:cs="宋体"/>
        </w:rPr>
      </w:pPr>
      <w:r>
        <w:rPr>
          <w:rFonts w:hint="eastAsia" w:ascii="宋体" w:hAnsi="宋体" w:eastAsia="宋体" w:cs="宋体"/>
          <w:b/>
          <w:bCs/>
          <w:color w:val="FFFFFF"/>
          <w:sz w:val="28"/>
          <w:szCs w:val="28"/>
        </w:rPr>
        <w:t>4.2 项目计划、WBS 与总体技术方案</w:t>
      </w:r>
    </w:p>
    <w:p w14:paraId="3B53DDCC">
      <w:pPr>
        <w:pStyle w:val="Heading3"/>
        <w:spacing w:after="120" w:line="324" w:lineRule="auto"/>
        <w:ind w:firstLine="420"/>
        <w:rPr>
          <w:rFonts w:hint="eastAsia" w:ascii="宋体" w:hAnsi="宋体" w:eastAsia="宋体" w:cs="宋体"/>
        </w:rPr>
      </w:pPr>
      <w:r>
        <w:rPr>
          <w:rFonts w:hint="eastAsia" w:ascii="宋体" w:hAnsi="宋体" w:eastAsia="宋体" w:cs="宋体"/>
          <w:b/>
          <w:sz w:val="21"/>
        </w:rPr>
        <w:t>4.2.1 项目计划、WBS 与技术方案详细论述</w:t>
      </w:r>
    </w:p>
    <w:p w14:paraId="19CA0D8A">
      <w:pPr>
        <w:spacing w:after="120" w:line="360" w:lineRule="auto"/>
        <w:ind w:firstLine="440"/>
        <w:rPr>
          <w:rFonts w:hint="eastAsia" w:ascii="宋体" w:hAnsi="宋体" w:eastAsia="宋体" w:cs="宋体"/>
        </w:rPr>
      </w:pPr>
      <w:r>
        <w:rPr>
          <w:rFonts w:ascii="宋体" w:hAnsi="宋体" w:eastAsia="宋体"/>
          <w:b w:val="0"/>
          <w:sz w:val="22"/>
        </w:rPr>
        <w:t>第 2 章的重点是把项目启动阶段形成的粗粒度目标，进一步拆成可执行、可检查、可完成的项目计划。对于课程项目来说，WBS、甘特图、关键路径和技术方案不能只作为静态表格存在，而应当说明任务之间的依赖关系、人员安排的依据、风险控制点以及最终如何映射到仓库中的代码和文档。本系统的计划设计围绕“先建立主业务闭环，再补齐二期模块和完成依据”的原则展开，避免前期把精力分散到大量外围功能，导致核心销售、库存和财务链路无法稳定演示。</w:t>
      </w:r>
    </w:p>
    <w:p w14:paraId="37CA2FC8">
      <w:pPr>
        <w:spacing w:after="120" w:line="360" w:lineRule="auto"/>
        <w:ind w:firstLine="440"/>
        <w:rPr>
          <w:rFonts w:hint="eastAsia" w:ascii="宋体" w:hAnsi="宋体" w:eastAsia="宋体" w:cs="宋体"/>
        </w:rPr>
      </w:pPr>
      <w:r>
        <w:rPr>
          <w:rFonts w:ascii="宋体" w:hAnsi="宋体" w:eastAsia="宋体"/>
          <w:b w:val="0"/>
          <w:sz w:val="22"/>
        </w:rPr>
        <w:t>WBS 分解首先把任务拆成启动调研、功能模块划分、技术方案、需求建模、数据建模、界面设计、系统实现、测试审查和文档整理几个层次。这样拆分的原因是系统建设不能只写代码，也不能只画图；需求、设计、实现和测试需要相互支撑。WBS 中每个任务都对应一个具体成果，例如功能模块拆分对应功能分解图和业务能力地图，数据建模对应 ER 图、ORM 模型和 schema.sql，系统实施对应源码、测试和运行说明。</w:t>
      </w:r>
    </w:p>
    <w:p w14:paraId="2E638C3C">
      <w:pPr>
        <w:spacing w:after="120" w:line="360" w:lineRule="auto"/>
        <w:ind w:firstLine="440"/>
        <w:rPr>
          <w:rFonts w:hint="eastAsia" w:ascii="宋体" w:hAnsi="宋体" w:eastAsia="宋体" w:cs="宋体"/>
        </w:rPr>
      </w:pPr>
      <w:r>
        <w:rPr>
          <w:rFonts w:ascii="宋体" w:hAnsi="宋体" w:eastAsia="宋体"/>
          <w:b w:val="0"/>
          <w:sz w:val="22"/>
        </w:rPr>
        <w:t>关键路径的识别用于判断哪些任务不能延误。项目关键路径可以概括为：团队角色确认、初步调查、功能模块拆分、UML 用例建模、ER 与 ORM 建模、系统代码补齐、自动化测试、代码审查和最终文档整理。这个顺序体现了分析到设计再到实现的逻辑关系。需求建模如果不稳定，数据库实体就可能反复变化；数据库实体如果没有确定，服务层业务规则难以固定；服务层如果没有固定，前端页面只能做空壳；测试如果滞后，功能边界和异常路径就难以检查。</w:t>
      </w:r>
    </w:p>
    <w:p w14:paraId="1014A1D3">
      <w:pPr>
        <w:spacing w:after="120" w:line="360" w:lineRule="auto"/>
        <w:ind w:firstLine="440"/>
        <w:rPr>
          <w:rFonts w:hint="eastAsia" w:ascii="宋体" w:hAnsi="宋体" w:eastAsia="宋体" w:cs="宋体"/>
        </w:rPr>
      </w:pPr>
      <w:r>
        <w:rPr>
          <w:rFonts w:ascii="宋体" w:hAnsi="宋体" w:eastAsia="宋体"/>
          <w:b w:val="0"/>
          <w:sz w:val="22"/>
        </w:rPr>
        <w:t>甘特计划按阶段推进，但并不是机械地一周只做一类工作。实际执行中，需求建模和界面原型可以有一定并行，测试用例设计也可以在接口完全稳定前先列出业务场景。并行的前提是每个并行任务都要有明确输入输出，例如界面设计必须依赖已确认的业务流程，测试设计必须依赖用例和服务边界，报告写作必须依赖已经存在的图表和代码依据。这样既能节省时间，又不会造成文档、界面和代码互相矛盾。</w:t>
      </w:r>
    </w:p>
    <w:p w14:paraId="42EB869D">
      <w:pPr>
        <w:spacing w:after="120" w:line="360" w:lineRule="auto"/>
        <w:ind w:firstLine="440"/>
        <w:rPr>
          <w:rFonts w:hint="eastAsia" w:ascii="宋体" w:hAnsi="宋体" w:eastAsia="宋体" w:cs="宋体"/>
        </w:rPr>
      </w:pPr>
      <w:r>
        <w:rPr>
          <w:rFonts w:ascii="宋体" w:hAnsi="宋体" w:eastAsia="宋体"/>
          <w:b w:val="0"/>
          <w:sz w:val="22"/>
        </w:rPr>
        <w:t>技术方案选择 Flask、SQLAlchemy、SQLite、Jinja2 和静态 JavaScript，是基于课程项目的运行环境做出的取舍。Flask 应用工厂模式便于组织蓝图、模型和扩展对象；SQLAlchemy 让数据库表结构可以直接对应到 Python 模型，方便解释数据建模；SQLite 适合单机运行，减少数据库部署成本；Jinja2 模板能够复用基础布局，保证页面一致性；静态 JavaScript 可以实现购物车、弹窗、筛选、异步接口和图表交互，不需要引入复杂前端工程化。</w:t>
      </w:r>
    </w:p>
    <w:p w14:paraId="346BE48A">
      <w:pPr>
        <w:spacing w:after="120" w:line="360" w:lineRule="auto"/>
        <w:ind w:firstLine="440"/>
        <w:rPr>
          <w:rFonts w:hint="eastAsia" w:ascii="宋体" w:hAnsi="宋体" w:eastAsia="宋体" w:cs="宋体"/>
        </w:rPr>
      </w:pPr>
      <w:r>
        <w:rPr>
          <w:rFonts w:ascii="宋体" w:hAnsi="宋体" w:eastAsia="宋体"/>
          <w:b w:val="0"/>
          <w:sz w:val="22"/>
        </w:rPr>
        <w:t>在软件架构上，系统采用路由层、服务层、模型层、模板层和脚本层的分层结构。路由层主要负责请求入口、登录校验、角色权限和响应格式；服务层负责业务规则、事务处理和异常路径；模型层负责字段、关系和数据持久化；模板层负责页面结构；静态脚本负责前端交互。这样分层的好处是报告说明中可以清楚说明某个功能从页面到数据库的完整路径，例如商品新增从 product.html 的表单开始，经 product.js 提交到 routes/product.py，再调用 services/products.py，最后写入 Product 和 Inventory 模型。</w:t>
      </w:r>
    </w:p>
    <w:p w14:paraId="4F23F571">
      <w:pPr>
        <w:spacing w:after="120" w:line="360" w:lineRule="auto"/>
        <w:ind w:firstLine="440"/>
        <w:rPr>
          <w:rFonts w:hint="eastAsia" w:ascii="宋体" w:hAnsi="宋体" w:eastAsia="宋体" w:cs="宋体"/>
        </w:rPr>
      </w:pPr>
      <w:r>
        <w:rPr>
          <w:rFonts w:ascii="宋体" w:hAnsi="宋体" w:eastAsia="宋体"/>
          <w:b w:val="0"/>
          <w:sz w:val="22"/>
        </w:rPr>
        <w:t>硬件与网络方案以本地运行为主，生产设想为门店局域网访问。开发环境中 Flask 服务运行在 127.0.0.1:5000，浏览器作为客户端，SQLite 数据库保存在 data/supermarket.db。这样的部署方式便于本地调试和功能验证，也降低了因服务器、网络或数据库环境不一致带来的风险。若后续扩展到实际门店，可将 SQLite 替换为 MySQL 或 PostgreSQL，将 Flask 应用部署到局域网服务器，并为收银终端、管理终端和店长终端分配不同访问权限。</w:t>
      </w:r>
    </w:p>
    <w:p w14:paraId="47252359">
      <w:pPr>
        <w:spacing w:after="120" w:line="324" w:lineRule="auto"/>
        <w:ind w:firstLine="420"/>
        <w:rPr>
          <w:rFonts w:hint="eastAsia" w:ascii="宋体" w:hAnsi="宋体" w:eastAsia="宋体" w:cs="宋体"/>
        </w:rPr>
      </w:pPr>
      <w:r>
        <w:rPr>
          <w:rFonts w:hint="eastAsia" w:ascii="宋体" w:hAnsi="宋体" w:eastAsia="宋体" w:cs="宋体"/>
          <w:b w:val="0"/>
          <w:sz w:val="21"/>
        </w:rPr>
        <w:t>安全方案虽然按课程项目规模控制，但仍保留了基本边界。系统通过登录态区分未登录用户，通过角色区分管理员和收银员，通过管理员审核流程控制管理账号创建，通过页面和接口权限控制避免越权访问。敏感业务如财务、商品维护、库存调整和系统参数修改仅允许管理员或指定角色操作。这样设计的目的不是把系统包装成大型企业安全平台，而是在课程范围内说明最基本的身份认证、访问控制和业务边界。</w:t>
      </w:r>
    </w:p>
    <w:p w14:paraId="2A76CF67">
      <w:pPr>
        <w:spacing w:after="120" w:line="360" w:lineRule="auto"/>
        <w:ind w:firstLine="440"/>
        <w:rPr>
          <w:rFonts w:hint="eastAsia" w:ascii="宋体" w:hAnsi="宋体" w:eastAsia="宋体" w:cs="宋体"/>
        </w:rPr>
      </w:pPr>
      <w:r>
        <w:rPr>
          <w:rFonts w:ascii="宋体" w:hAnsi="宋体" w:eastAsia="宋体"/>
          <w:b w:val="0"/>
          <w:sz w:val="22"/>
        </w:rPr>
        <w:t>计划阶段还需要明确工程组织方式。当前项目按照实验报告、源码、数据库、图表和测试材料分目录保存，便于维护不同类型的成果文件。drawio 源文件用于后续调整图表，PNG 文件用于嵌入报告，README 用于说明环境和运行步骤，tests 目录用于保存自动化验证代码。这样的组织方式服务于系统本身的可维护性，而不是把材料堆放在临时目录中。</w:t>
      </w:r>
    </w:p>
    <w:p w14:paraId="54E7CB06">
      <w:pPr>
        <w:spacing w:after="120" w:line="360" w:lineRule="auto"/>
        <w:ind w:firstLine="440"/>
        <w:rPr>
          <w:rFonts w:hint="eastAsia" w:ascii="宋体" w:hAnsi="宋体" w:eastAsia="宋体" w:cs="宋体"/>
        </w:rPr>
      </w:pPr>
      <w:r>
        <w:rPr>
          <w:rFonts w:ascii="宋体" w:hAnsi="宋体" w:eastAsia="宋体"/>
          <w:b w:val="0"/>
          <w:sz w:val="22"/>
        </w:rPr>
        <w:t>综上，第 2 章的作用是把项目从“想做一个超市系统”推进到“知道按什么顺序、用什么技术、完成哪些依据”。WBS 解决任务拆解问题，甘特图解决时间安排问题，关键路径解决优先级问题，技术方案解决实现方式问题，部署与安全方案解决演示和边界问题。这些内容共同支撑后续需求建模、数据建模、界面设计和系统实施。</w:t>
      </w:r>
    </w:p>
    <w:p w14:paraId="0527E8F7">
      <w:pPr>
        <w:pStyle w:val="Heading3"/>
        <w:keepNext/>
        <w:pBdr>
          <w:left w:val="single" w:color="2F75B5" w:sz="12" w:space="6"/>
        </w:pBdr>
        <w:spacing w:before="220" w:after="100" w:line="360" w:lineRule="auto"/>
        <w:outlineLvl w:val="1"/>
        <w:rPr>
          <w:rFonts w:hint="eastAsia" w:ascii="宋体" w:hAnsi="宋体" w:eastAsia="宋体" w:cs="宋体"/>
        </w:rPr>
      </w:pPr>
      <w:r>
        <w:rPr>
          <w:rFonts w:hint="eastAsia" w:ascii="宋体" w:hAnsi="宋体" w:eastAsia="宋体" w:cs="宋体"/>
          <w:b/>
          <w:bCs/>
          <w:color w:val="1F4E79"/>
          <w:sz w:val="25"/>
          <w:szCs w:val="25"/>
        </w:rPr>
        <w:t>4.2.2 任务分解</w:t>
      </w:r>
    </w:p>
    <w:tbl>
      <w:tblPr>
        <w:tblStyle w:val="2"/>
        <w:tblW w:w="9026" w:type="dxa"/>
        <w:tblInd w:w="0" w:type="dxa"/>
        <w:tblBorders>
          <w:top w:val="single" w:color="999999" w:sz="4" w:space="0"/>
          <w:left w:val="single" w:color="999999" w:sz="4" w:space="0"/>
          <w:bottom w:val="single" w:color="999999" w:sz="4" w:space="0"/>
          <w:right w:val="single" w:color="999999" w:sz="4" w:space="0"/>
          <w:insideH w:val="single" w:color="BBBBBB" w:sz="4" w:space="0"/>
          <w:insideV w:val="single" w:color="BBBBBB" w:sz="4" w:space="0"/>
        </w:tblBorders>
        <w:tblLayout w:type="autofit"/>
        <w:tblCellMar>
          <w:top w:w="70" w:type="dxa"/>
          <w:left w:w="90" w:type="dxa"/>
          <w:bottom w:w="70" w:type="dxa"/>
          <w:right w:w="90" w:type="dxa"/>
        </w:tblCellMar>
      </w:tblPr>
      <w:tblGrid>
        <w:gridCol w:w="1805"/>
        <w:gridCol w:w="3410"/>
        <w:gridCol w:w="3811"/>
      </w:tblGrid>
      <w:tr w14:paraId="0D17D298">
        <w:tblPrEx>
          <w:tblBorders>
            <w:top w:val="single" w:color="999999" w:sz="4" w:space="0"/>
            <w:left w:val="single" w:color="999999" w:sz="4" w:space="0"/>
            <w:bottom w:val="single" w:color="999999" w:sz="4" w:space="0"/>
            <w:right w:val="single" w:color="999999" w:sz="4" w:space="0"/>
            <w:insideH w:val="single" w:color="BBBBBB" w:sz="4" w:space="0"/>
            <w:insideV w:val="single" w:color="BBBBBB" w:sz="4" w:space="0"/>
          </w:tblBorders>
          <w:tblCellMar>
            <w:top w:w="70" w:type="dxa"/>
            <w:left w:w="90" w:type="dxa"/>
            <w:bottom w:w="70" w:type="dxa"/>
            <w:right w:w="90" w:type="dxa"/>
          </w:tblCellMar>
        </w:tblPrEx>
        <w:tc>
          <w:tcPr>
            <w:tcW w:w="1800" w:type="dxa"/>
            <w:shd w:val="clear" w:color="auto" w:fill="D9EAF7"/>
          </w:tcPr>
          <w:p w14:paraId="5092705E">
            <w:pPr>
              <w:spacing w:before="0" w:after="35" w:line="270" w:lineRule="auto"/>
              <w:rPr>
                <w:rFonts w:hint="eastAsia" w:ascii="宋体" w:hAnsi="宋体" w:eastAsia="宋体" w:cs="宋体"/>
              </w:rPr>
            </w:pPr>
            <w:r>
              <w:rPr>
                <w:rFonts w:hint="eastAsia" w:ascii="宋体" w:hAnsi="宋体" w:eastAsia="宋体" w:cs="宋体"/>
                <w:b/>
                <w:bCs/>
                <w:color w:val="1F4E79"/>
                <w:sz w:val="18"/>
                <w:szCs w:val="18"/>
              </w:rPr>
              <w:t>任务包</w:t>
            </w:r>
          </w:p>
        </w:tc>
        <w:tc>
          <w:tcPr>
            <w:tcW w:w="3400" w:type="dxa"/>
            <w:shd w:val="clear" w:color="auto" w:fill="D9EAF7"/>
          </w:tcPr>
          <w:p w14:paraId="3757B769">
            <w:pPr>
              <w:spacing w:before="0" w:after="35" w:line="270" w:lineRule="auto"/>
              <w:rPr>
                <w:rFonts w:hint="eastAsia" w:ascii="宋体" w:hAnsi="宋体" w:eastAsia="宋体" w:cs="宋体"/>
              </w:rPr>
            </w:pPr>
            <w:r>
              <w:rPr>
                <w:rFonts w:hint="eastAsia" w:ascii="宋体" w:hAnsi="宋体" w:eastAsia="宋体" w:cs="宋体"/>
                <w:b/>
                <w:bCs/>
                <w:color w:val="1F4E79"/>
                <w:sz w:val="18"/>
                <w:szCs w:val="18"/>
              </w:rPr>
              <w:t>完成内容</w:t>
            </w:r>
          </w:p>
        </w:tc>
        <w:tc>
          <w:tcPr>
            <w:tcW w:w="3800" w:type="dxa"/>
            <w:shd w:val="clear" w:color="auto" w:fill="D9EAF7"/>
          </w:tcPr>
          <w:p w14:paraId="485F21DF">
            <w:pPr>
              <w:spacing w:before="0" w:after="35" w:line="270" w:lineRule="auto"/>
              <w:rPr>
                <w:rFonts w:hint="eastAsia" w:ascii="宋体" w:hAnsi="宋体" w:eastAsia="宋体" w:cs="宋体"/>
              </w:rPr>
            </w:pPr>
            <w:r>
              <w:rPr>
                <w:rFonts w:hint="eastAsia" w:ascii="宋体" w:hAnsi="宋体" w:eastAsia="宋体" w:cs="宋体"/>
                <w:b/>
                <w:bCs/>
                <w:color w:val="1F4E79"/>
                <w:sz w:val="18"/>
                <w:szCs w:val="18"/>
              </w:rPr>
              <w:t>对应材料</w:t>
            </w:r>
          </w:p>
        </w:tc>
      </w:tr>
      <w:tr w14:paraId="44048A4F">
        <w:tblPrEx>
          <w:tblBorders>
            <w:top w:val="single" w:color="999999" w:sz="4" w:space="0"/>
            <w:left w:val="single" w:color="999999" w:sz="4" w:space="0"/>
            <w:bottom w:val="single" w:color="999999" w:sz="4" w:space="0"/>
            <w:right w:val="single" w:color="999999" w:sz="4" w:space="0"/>
            <w:insideH w:val="single" w:color="BBBBBB" w:sz="4" w:space="0"/>
            <w:insideV w:val="single" w:color="BBBBBB" w:sz="4" w:space="0"/>
          </w:tblBorders>
          <w:tblCellMar>
            <w:top w:w="70" w:type="dxa"/>
            <w:left w:w="90" w:type="dxa"/>
            <w:bottom w:w="70" w:type="dxa"/>
            <w:right w:w="90" w:type="dxa"/>
          </w:tblCellMar>
        </w:tblPrEx>
        <w:tc>
          <w:tcPr>
            <w:tcW w:w="1800" w:type="dxa"/>
          </w:tcPr>
          <w:p w14:paraId="2D48889B">
            <w:pPr>
              <w:spacing w:before="0" w:after="35" w:line="270" w:lineRule="auto"/>
              <w:rPr>
                <w:rFonts w:hint="eastAsia" w:ascii="宋体" w:hAnsi="宋体" w:eastAsia="宋体" w:cs="宋体"/>
              </w:rPr>
            </w:pPr>
            <w:r>
              <w:rPr>
                <w:rFonts w:hint="eastAsia" w:ascii="宋体" w:hAnsi="宋体" w:eastAsia="宋体" w:cs="宋体"/>
                <w:sz w:val="18"/>
                <w:szCs w:val="18"/>
              </w:rPr>
              <w:t>需求与边界</w:t>
            </w:r>
          </w:p>
        </w:tc>
        <w:tc>
          <w:tcPr>
            <w:tcW w:w="3400" w:type="dxa"/>
          </w:tcPr>
          <w:p w14:paraId="73CF5CF0">
            <w:pPr>
              <w:spacing w:before="0" w:after="35" w:line="270" w:lineRule="auto"/>
              <w:rPr>
                <w:rFonts w:hint="eastAsia" w:ascii="宋体" w:hAnsi="宋体" w:eastAsia="宋体" w:cs="宋体"/>
              </w:rPr>
            </w:pPr>
            <w:r>
              <w:rPr>
                <w:rFonts w:hint="eastAsia" w:ascii="宋体" w:hAnsi="宋体" w:eastAsia="宋体" w:cs="宋体"/>
                <w:sz w:val="18"/>
                <w:szCs w:val="18"/>
              </w:rPr>
              <w:t>系统上下文、业务角色、用例、能力地图</w:t>
            </w:r>
          </w:p>
        </w:tc>
        <w:tc>
          <w:tcPr>
            <w:tcW w:w="3800" w:type="dxa"/>
          </w:tcPr>
          <w:p w14:paraId="22B9C34C">
            <w:pPr>
              <w:spacing w:before="0" w:after="35" w:line="270" w:lineRule="auto"/>
              <w:rPr>
                <w:rFonts w:hint="eastAsia" w:ascii="宋体" w:hAnsi="宋体" w:eastAsia="宋体" w:cs="宋体"/>
              </w:rPr>
            </w:pPr>
            <w:r>
              <w:rPr>
                <w:rFonts w:hint="eastAsia" w:ascii="宋体" w:hAnsi="宋体" w:eastAsia="宋体" w:cs="宋体"/>
                <w:sz w:val="18"/>
                <w:szCs w:val="18"/>
              </w:rPr>
              <w:t>图 1-6</w:t>
            </w:r>
          </w:p>
        </w:tc>
      </w:tr>
      <w:tr w14:paraId="3B2E1E70">
        <w:tblPrEx>
          <w:tblBorders>
            <w:top w:val="single" w:color="999999" w:sz="4" w:space="0"/>
            <w:left w:val="single" w:color="999999" w:sz="4" w:space="0"/>
            <w:bottom w:val="single" w:color="999999" w:sz="4" w:space="0"/>
            <w:right w:val="single" w:color="999999" w:sz="4" w:space="0"/>
            <w:insideH w:val="single" w:color="BBBBBB" w:sz="4" w:space="0"/>
            <w:insideV w:val="single" w:color="BBBBBB" w:sz="4" w:space="0"/>
          </w:tblBorders>
          <w:tblCellMar>
            <w:top w:w="70" w:type="dxa"/>
            <w:left w:w="90" w:type="dxa"/>
            <w:bottom w:w="70" w:type="dxa"/>
            <w:right w:w="90" w:type="dxa"/>
          </w:tblCellMar>
        </w:tblPrEx>
        <w:tc>
          <w:tcPr>
            <w:tcW w:w="1800" w:type="dxa"/>
            <w:shd w:val="clear" w:color="auto" w:fill="F7FBFF"/>
          </w:tcPr>
          <w:p w14:paraId="4F34D562">
            <w:pPr>
              <w:spacing w:before="0" w:after="35" w:line="270" w:lineRule="auto"/>
              <w:rPr>
                <w:rFonts w:hint="eastAsia" w:ascii="宋体" w:hAnsi="宋体" w:eastAsia="宋体" w:cs="宋体"/>
              </w:rPr>
            </w:pPr>
            <w:r>
              <w:rPr>
                <w:rFonts w:hint="eastAsia" w:ascii="宋体" w:hAnsi="宋体" w:eastAsia="宋体" w:cs="宋体"/>
                <w:sz w:val="18"/>
                <w:szCs w:val="18"/>
              </w:rPr>
              <w:t>业务流程</w:t>
            </w:r>
          </w:p>
        </w:tc>
        <w:tc>
          <w:tcPr>
            <w:tcW w:w="3400" w:type="dxa"/>
            <w:shd w:val="clear" w:color="auto" w:fill="F7FBFF"/>
          </w:tcPr>
          <w:p w14:paraId="31E0BB85">
            <w:pPr>
              <w:spacing w:before="0" w:after="35" w:line="270" w:lineRule="auto"/>
              <w:rPr>
                <w:rFonts w:hint="eastAsia" w:ascii="宋体" w:hAnsi="宋体" w:eastAsia="宋体" w:cs="宋体"/>
              </w:rPr>
            </w:pPr>
            <w:r>
              <w:rPr>
                <w:rFonts w:hint="eastAsia" w:ascii="宋体" w:hAnsi="宋体" w:eastAsia="宋体" w:cs="宋体"/>
                <w:sz w:val="18"/>
                <w:szCs w:val="18"/>
              </w:rPr>
              <w:t>收银、采购、库存、退货、补货、会员、日结、调价、注册审核、导入、对账、公告</w:t>
            </w:r>
          </w:p>
        </w:tc>
        <w:tc>
          <w:tcPr>
            <w:tcW w:w="3800" w:type="dxa"/>
            <w:shd w:val="clear" w:color="auto" w:fill="F7FBFF"/>
          </w:tcPr>
          <w:p w14:paraId="5E718DC2">
            <w:pPr>
              <w:spacing w:before="0" w:after="35" w:line="270" w:lineRule="auto"/>
              <w:rPr>
                <w:rFonts w:hint="eastAsia" w:ascii="宋体" w:hAnsi="宋体" w:eastAsia="宋体" w:cs="宋体"/>
              </w:rPr>
            </w:pPr>
            <w:r>
              <w:rPr>
                <w:rFonts w:hint="eastAsia" w:ascii="宋体" w:hAnsi="宋体" w:eastAsia="宋体" w:cs="宋体"/>
                <w:sz w:val="18"/>
                <w:szCs w:val="18"/>
              </w:rPr>
              <w:t>图 7-14、54-57</w:t>
            </w:r>
          </w:p>
        </w:tc>
      </w:tr>
      <w:tr w14:paraId="715BEF54">
        <w:tblPrEx>
          <w:tblBorders>
            <w:top w:val="single" w:color="999999" w:sz="4" w:space="0"/>
            <w:left w:val="single" w:color="999999" w:sz="4" w:space="0"/>
            <w:bottom w:val="single" w:color="999999" w:sz="4" w:space="0"/>
            <w:right w:val="single" w:color="999999" w:sz="4" w:space="0"/>
            <w:insideH w:val="single" w:color="BBBBBB" w:sz="4" w:space="0"/>
            <w:insideV w:val="single" w:color="BBBBBB" w:sz="4" w:space="0"/>
          </w:tblBorders>
          <w:tblCellMar>
            <w:top w:w="70" w:type="dxa"/>
            <w:left w:w="90" w:type="dxa"/>
            <w:bottom w:w="70" w:type="dxa"/>
            <w:right w:w="90" w:type="dxa"/>
          </w:tblCellMar>
        </w:tblPrEx>
        <w:tc>
          <w:tcPr>
            <w:tcW w:w="1800" w:type="dxa"/>
          </w:tcPr>
          <w:p w14:paraId="23D8207C">
            <w:pPr>
              <w:spacing w:before="0" w:after="35" w:line="270" w:lineRule="auto"/>
              <w:rPr>
                <w:rFonts w:hint="eastAsia" w:ascii="宋体" w:hAnsi="宋体" w:eastAsia="宋体" w:cs="宋体"/>
              </w:rPr>
            </w:pPr>
            <w:r>
              <w:rPr>
                <w:rFonts w:hint="eastAsia" w:ascii="宋体" w:hAnsi="宋体" w:eastAsia="宋体" w:cs="宋体"/>
                <w:sz w:val="18"/>
                <w:szCs w:val="18"/>
              </w:rPr>
              <w:t>数据建模</w:t>
            </w:r>
          </w:p>
        </w:tc>
        <w:tc>
          <w:tcPr>
            <w:tcW w:w="3400" w:type="dxa"/>
          </w:tcPr>
          <w:p w14:paraId="7CA5C7AF">
            <w:pPr>
              <w:spacing w:before="0" w:after="35" w:line="270" w:lineRule="auto"/>
              <w:rPr>
                <w:rFonts w:hint="eastAsia" w:ascii="宋体" w:hAnsi="宋体" w:eastAsia="宋体" w:cs="宋体"/>
              </w:rPr>
            </w:pPr>
            <w:r>
              <w:rPr>
                <w:rFonts w:hint="eastAsia" w:ascii="宋体" w:hAnsi="宋体" w:eastAsia="宋体" w:cs="宋体"/>
                <w:sz w:val="18"/>
                <w:szCs w:val="18"/>
              </w:rPr>
              <w:t>概念模型、ER、商品、库存、销售、采购、会员、权限模型</w:t>
            </w:r>
          </w:p>
        </w:tc>
        <w:tc>
          <w:tcPr>
            <w:tcW w:w="3800" w:type="dxa"/>
          </w:tcPr>
          <w:p w14:paraId="24DBCF3B">
            <w:pPr>
              <w:spacing w:before="0" w:after="35" w:line="270" w:lineRule="auto"/>
              <w:rPr>
                <w:rFonts w:hint="eastAsia" w:ascii="宋体" w:hAnsi="宋体" w:eastAsia="宋体" w:cs="宋体"/>
              </w:rPr>
            </w:pPr>
            <w:r>
              <w:rPr>
                <w:rFonts w:hint="eastAsia" w:ascii="宋体" w:hAnsi="宋体" w:eastAsia="宋体" w:cs="宋体"/>
                <w:sz w:val="18"/>
                <w:szCs w:val="18"/>
              </w:rPr>
              <w:t>图 21-28</w:t>
            </w:r>
          </w:p>
        </w:tc>
      </w:tr>
      <w:tr w14:paraId="7BF617E1">
        <w:tblPrEx>
          <w:tblBorders>
            <w:top w:val="single" w:color="999999" w:sz="4" w:space="0"/>
            <w:left w:val="single" w:color="999999" w:sz="4" w:space="0"/>
            <w:bottom w:val="single" w:color="999999" w:sz="4" w:space="0"/>
            <w:right w:val="single" w:color="999999" w:sz="4" w:space="0"/>
            <w:insideH w:val="single" w:color="BBBBBB" w:sz="4" w:space="0"/>
            <w:insideV w:val="single" w:color="BBBBBB" w:sz="4" w:space="0"/>
          </w:tblBorders>
          <w:tblCellMar>
            <w:top w:w="70" w:type="dxa"/>
            <w:left w:w="90" w:type="dxa"/>
            <w:bottom w:w="70" w:type="dxa"/>
            <w:right w:w="90" w:type="dxa"/>
          </w:tblCellMar>
        </w:tblPrEx>
        <w:tc>
          <w:tcPr>
            <w:tcW w:w="1800" w:type="dxa"/>
            <w:shd w:val="clear" w:color="auto" w:fill="F7FBFF"/>
          </w:tcPr>
          <w:p w14:paraId="2D6ABB96">
            <w:pPr>
              <w:spacing w:before="0" w:after="35" w:line="270" w:lineRule="auto"/>
              <w:rPr>
                <w:rFonts w:hint="eastAsia" w:ascii="宋体" w:hAnsi="宋体" w:eastAsia="宋体" w:cs="宋体"/>
              </w:rPr>
            </w:pPr>
            <w:r>
              <w:rPr>
                <w:rFonts w:hint="eastAsia" w:ascii="宋体" w:hAnsi="宋体" w:eastAsia="宋体" w:cs="宋体"/>
                <w:sz w:val="18"/>
                <w:szCs w:val="18"/>
              </w:rPr>
              <w:t>技术实现</w:t>
            </w:r>
          </w:p>
        </w:tc>
        <w:tc>
          <w:tcPr>
            <w:tcW w:w="3400" w:type="dxa"/>
            <w:shd w:val="clear" w:color="auto" w:fill="F7FBFF"/>
          </w:tcPr>
          <w:p w14:paraId="7D38E965">
            <w:pPr>
              <w:spacing w:before="0" w:after="35" w:line="270" w:lineRule="auto"/>
              <w:rPr>
                <w:rFonts w:hint="eastAsia" w:ascii="宋体" w:hAnsi="宋体" w:eastAsia="宋体" w:cs="宋体"/>
              </w:rPr>
            </w:pPr>
            <w:r>
              <w:rPr>
                <w:rFonts w:hint="eastAsia" w:ascii="宋体" w:hAnsi="宋体" w:eastAsia="宋体" w:cs="宋体"/>
                <w:sz w:val="18"/>
                <w:szCs w:val="18"/>
              </w:rPr>
              <w:t>Flask 应用工厂、路由、服务层、ORM、Jinja2、静态 JS、SQLite</w:t>
            </w:r>
          </w:p>
        </w:tc>
        <w:tc>
          <w:tcPr>
            <w:tcW w:w="3800" w:type="dxa"/>
            <w:shd w:val="clear" w:color="auto" w:fill="F7FBFF"/>
          </w:tcPr>
          <w:p w14:paraId="0FB321D9">
            <w:pPr>
              <w:spacing w:before="0" w:after="35" w:line="270" w:lineRule="auto"/>
              <w:rPr>
                <w:rFonts w:hint="eastAsia" w:ascii="宋体" w:hAnsi="宋体" w:eastAsia="宋体" w:cs="宋体"/>
              </w:rPr>
            </w:pPr>
            <w:r>
              <w:rPr>
                <w:rFonts w:hint="eastAsia" w:ascii="宋体" w:hAnsi="宋体" w:eastAsia="宋体" w:cs="宋体"/>
                <w:sz w:val="18"/>
                <w:szCs w:val="18"/>
              </w:rPr>
              <w:t>app、data/SQL</w:t>
            </w:r>
          </w:p>
        </w:tc>
      </w:tr>
      <w:tr w14:paraId="58BA8E2B">
        <w:tblPrEx>
          <w:tblBorders>
            <w:top w:val="single" w:color="999999" w:sz="4" w:space="0"/>
            <w:left w:val="single" w:color="999999" w:sz="4" w:space="0"/>
            <w:bottom w:val="single" w:color="999999" w:sz="4" w:space="0"/>
            <w:right w:val="single" w:color="999999" w:sz="4" w:space="0"/>
            <w:insideH w:val="single" w:color="BBBBBB" w:sz="4" w:space="0"/>
            <w:insideV w:val="single" w:color="BBBBBB" w:sz="4" w:space="0"/>
          </w:tblBorders>
          <w:tblCellMar>
            <w:top w:w="70" w:type="dxa"/>
            <w:left w:w="90" w:type="dxa"/>
            <w:bottom w:w="70" w:type="dxa"/>
            <w:right w:w="90" w:type="dxa"/>
          </w:tblCellMar>
        </w:tblPrEx>
        <w:tc>
          <w:tcPr>
            <w:tcW w:w="1800" w:type="dxa"/>
          </w:tcPr>
          <w:p w14:paraId="539FB47E">
            <w:pPr>
              <w:spacing w:before="0" w:after="35" w:line="270" w:lineRule="auto"/>
              <w:rPr>
                <w:rFonts w:hint="eastAsia" w:ascii="宋体" w:hAnsi="宋体" w:eastAsia="宋体" w:cs="宋体"/>
              </w:rPr>
            </w:pPr>
            <w:r>
              <w:rPr>
                <w:rFonts w:hint="eastAsia" w:ascii="宋体" w:hAnsi="宋体" w:eastAsia="宋体" w:cs="宋体"/>
                <w:sz w:val="18"/>
                <w:szCs w:val="18"/>
              </w:rPr>
              <w:t>部署与质量</w:t>
            </w:r>
          </w:p>
        </w:tc>
        <w:tc>
          <w:tcPr>
            <w:tcW w:w="3400" w:type="dxa"/>
          </w:tcPr>
          <w:p w14:paraId="5CC702C2">
            <w:pPr>
              <w:spacing w:before="0" w:after="35" w:line="270" w:lineRule="auto"/>
              <w:rPr>
                <w:rFonts w:hint="eastAsia" w:ascii="宋体" w:hAnsi="宋体" w:eastAsia="宋体" w:cs="宋体"/>
              </w:rPr>
            </w:pPr>
            <w:r>
              <w:rPr>
                <w:rFonts w:hint="eastAsia" w:ascii="宋体" w:hAnsi="宋体" w:eastAsia="宋体" w:cs="宋体"/>
                <w:sz w:val="18"/>
                <w:szCs w:val="18"/>
              </w:rPr>
              <w:t>本地部署、生产部署、安全边界、审计日志、测试覆盖、交付物</w:t>
            </w:r>
          </w:p>
        </w:tc>
        <w:tc>
          <w:tcPr>
            <w:tcW w:w="3800" w:type="dxa"/>
          </w:tcPr>
          <w:p w14:paraId="091EA87E">
            <w:pPr>
              <w:spacing w:before="0" w:after="35" w:line="270" w:lineRule="auto"/>
              <w:rPr>
                <w:rFonts w:hint="eastAsia" w:ascii="宋体" w:hAnsi="宋体" w:eastAsia="宋体" w:cs="宋体"/>
              </w:rPr>
            </w:pPr>
            <w:r>
              <w:rPr>
                <w:rFonts w:hint="eastAsia" w:ascii="宋体" w:hAnsi="宋体" w:eastAsia="宋体" w:cs="宋体"/>
                <w:sz w:val="18"/>
                <w:szCs w:val="18"/>
              </w:rPr>
              <w:t>图 48-53</w:t>
            </w:r>
          </w:p>
        </w:tc>
      </w:tr>
    </w:tbl>
    <w:p w14:paraId="569C01FD">
      <w:pPr>
        <w:spacing w:before="0" w:after="70" w:line="360" w:lineRule="auto"/>
        <w:rPr>
          <w:rFonts w:hint="eastAsia" w:ascii="宋体" w:hAnsi="宋体" w:eastAsia="宋体" w:cs="宋体"/>
        </w:rPr>
      </w:pPr>
    </w:p>
    <w:p w14:paraId="7A5AC8B5">
      <w:pPr>
        <w:pStyle w:val="Heading3"/>
        <w:keepNext/>
        <w:pBdr>
          <w:left w:val="single" w:color="2F75B5" w:sz="12" w:space="6"/>
        </w:pBdr>
        <w:spacing w:before="220" w:after="100" w:line="360" w:lineRule="auto"/>
        <w:outlineLvl w:val="1"/>
        <w:rPr>
          <w:rFonts w:hint="eastAsia" w:ascii="宋体" w:hAnsi="宋体" w:eastAsia="宋体" w:cs="宋体"/>
        </w:rPr>
      </w:pPr>
      <w:r>
        <w:rPr>
          <w:rFonts w:hint="eastAsia" w:ascii="宋体" w:hAnsi="宋体" w:eastAsia="宋体" w:cs="宋体"/>
          <w:b/>
          <w:bCs/>
          <w:color w:val="1F4E79"/>
          <w:sz w:val="25"/>
          <w:szCs w:val="25"/>
        </w:rPr>
        <w:t>4.2.3 技术方案</w:t>
      </w:r>
    </w:p>
    <w:p w14:paraId="1B4B5F2D">
      <w:pPr>
        <w:spacing w:before="0" w:after="105" w:line="330" w:lineRule="auto"/>
        <w:ind w:firstLine="420"/>
        <w:rPr>
          <w:rFonts w:hint="eastAsia" w:ascii="宋体" w:hAnsi="宋体" w:eastAsia="宋体" w:cs="宋体"/>
        </w:rPr>
      </w:pPr>
      <w:r>
        <w:rPr>
          <w:rFonts w:hint="eastAsia" w:ascii="宋体" w:hAnsi="宋体" w:eastAsia="宋体" w:cs="宋体"/>
          <w:sz w:val="22"/>
          <w:szCs w:val="22"/>
        </w:rPr>
        <w:t>软件架构采用 Flask 应用工厂模式，路由层接收页面和 JSON 请求，服务层集中处理业务规则和事务，模型层通过 SQLAlchemy 映射 SQLite 表结构，前端由 Jinja2 模板和静态 JavaScript 完成交互。</w:t>
      </w:r>
    </w:p>
    <w:p w14:paraId="5E4568C5">
      <w:pPr>
        <w:spacing w:before="75" w:after="30"/>
        <w:jc w:val="center"/>
        <w:rPr>
          <w:rFonts w:hint="eastAsia" w:ascii="宋体" w:hAnsi="宋体" w:eastAsia="宋体" w:cs="宋体"/>
        </w:rPr>
      </w:pPr>
      <w:r>
        <w:rPr>
          <w:rFonts w:hint="eastAsia" w:ascii="宋体" w:hAnsi="宋体" w:eastAsia="宋体" w:cs="宋体"/>
        </w:rPr>
        <w:drawing>
          <wp:inline distT="0" distB="0" distL="0" distR="0">
            <wp:extent cx="6035040" cy="4420870"/>
            <wp:effectExtent l="0" t="0" r="0" b="0"/>
            <wp:docPr id="5" name="report_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report_image5.png"/>
                    <pic:cNvPicPr>
                      <a:picLocks noChangeAspect="1"/>
                    </pic:cNvPicPr>
                  </pic:nvPicPr>
                  <pic:blipFill>
                    <a:blip r:embed="rId10"/>
                    <a:stretch>
                      <a:fillRect/>
                    </a:stretch>
                  </pic:blipFill>
                  <pic:spPr>
                    <a:xfrm>
                      <a:off x="0" y="0"/>
                      <a:ext cx="6035040" cy="4421405"/>
                    </a:xfrm>
                    <a:prstGeom prst="rect">
                      <a:avLst/>
                    </a:prstGeom>
                  </pic:spPr>
                </pic:pic>
              </a:graphicData>
            </a:graphic>
          </wp:inline>
        </w:drawing>
      </w:r>
    </w:p>
    <w:p w14:paraId="795C8F30">
      <w:pPr>
        <w:spacing w:before="0" w:after="110" w:line="250" w:lineRule="auto"/>
        <w:jc w:val="center"/>
        <w:rPr>
          <w:rFonts w:hint="eastAsia" w:ascii="宋体" w:hAnsi="宋体" w:eastAsia="宋体" w:cs="宋体"/>
        </w:rPr>
      </w:pPr>
      <w:r>
        <w:rPr>
          <w:rFonts w:hint="eastAsia" w:ascii="宋体" w:hAnsi="宋体" w:eastAsia="宋体" w:cs="宋体"/>
          <w:i/>
          <w:iCs/>
          <w:sz w:val="17"/>
          <w:szCs w:val="17"/>
        </w:rPr>
        <w:t>图5  总体技术架构</w:t>
      </w:r>
    </w:p>
    <w:p w14:paraId="49D25210">
      <w:pPr>
        <w:spacing w:before="75" w:after="30"/>
        <w:jc w:val="center"/>
        <w:rPr>
          <w:rFonts w:hint="eastAsia" w:ascii="宋体" w:hAnsi="宋体" w:eastAsia="宋体" w:cs="宋体"/>
        </w:rPr>
      </w:pPr>
      <w:r>
        <w:rPr>
          <w:rFonts w:hint="eastAsia" w:ascii="宋体" w:hAnsi="宋体" w:eastAsia="宋体" w:cs="宋体"/>
        </w:rPr>
        <w:drawing>
          <wp:inline distT="0" distB="0" distL="0" distR="0">
            <wp:extent cx="6035040" cy="4358640"/>
            <wp:effectExtent l="0" t="0" r="0" b="0"/>
            <wp:docPr id="6" name="report_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report_image6.png"/>
                    <pic:cNvPicPr>
                      <a:picLocks noChangeAspect="1"/>
                    </pic:cNvPicPr>
                  </pic:nvPicPr>
                  <pic:blipFill>
                    <a:blip r:embed="rId11"/>
                    <a:stretch>
                      <a:fillRect/>
                    </a:stretch>
                  </pic:blipFill>
                  <pic:spPr>
                    <a:xfrm>
                      <a:off x="0" y="0"/>
                      <a:ext cx="6035040" cy="4359257"/>
                    </a:xfrm>
                    <a:prstGeom prst="rect">
                      <a:avLst/>
                    </a:prstGeom>
                  </pic:spPr>
                </pic:pic>
              </a:graphicData>
            </a:graphic>
          </wp:inline>
        </w:drawing>
      </w:r>
    </w:p>
    <w:p w14:paraId="6BEC390F">
      <w:pPr>
        <w:spacing w:before="0" w:after="110" w:line="250" w:lineRule="auto"/>
        <w:jc w:val="center"/>
        <w:rPr>
          <w:rFonts w:hint="eastAsia" w:ascii="宋体" w:hAnsi="宋体" w:eastAsia="宋体" w:cs="宋体"/>
        </w:rPr>
      </w:pPr>
      <w:r>
        <w:rPr>
          <w:rFonts w:hint="eastAsia" w:ascii="宋体" w:hAnsi="宋体" w:eastAsia="宋体" w:cs="宋体"/>
          <w:i/>
          <w:iCs/>
          <w:sz w:val="17"/>
          <w:szCs w:val="17"/>
        </w:rPr>
        <w:t>图6  前端应用架构</w:t>
      </w:r>
    </w:p>
    <w:p w14:paraId="7E464165">
      <w:pPr>
        <w:spacing w:before="75" w:after="30"/>
        <w:jc w:val="center"/>
        <w:rPr>
          <w:rFonts w:hint="eastAsia" w:ascii="宋体" w:hAnsi="宋体" w:eastAsia="宋体" w:cs="宋体"/>
        </w:rPr>
      </w:pPr>
      <w:r>
        <w:rPr>
          <w:rFonts w:hint="eastAsia" w:ascii="宋体" w:hAnsi="宋体" w:eastAsia="宋体" w:cs="宋体"/>
        </w:rPr>
        <w:drawing>
          <wp:inline distT="0" distB="0" distL="0" distR="0">
            <wp:extent cx="6035040" cy="4358640"/>
            <wp:effectExtent l="0" t="0" r="0" b="0"/>
            <wp:docPr id="7" name="report_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report_image7.png"/>
                    <pic:cNvPicPr>
                      <a:picLocks noChangeAspect="1"/>
                    </pic:cNvPicPr>
                  </pic:nvPicPr>
                  <pic:blipFill>
                    <a:blip r:embed="rId12"/>
                    <a:stretch>
                      <a:fillRect/>
                    </a:stretch>
                  </pic:blipFill>
                  <pic:spPr>
                    <a:xfrm>
                      <a:off x="0" y="0"/>
                      <a:ext cx="6035040" cy="4359257"/>
                    </a:xfrm>
                    <a:prstGeom prst="rect">
                      <a:avLst/>
                    </a:prstGeom>
                  </pic:spPr>
                </pic:pic>
              </a:graphicData>
            </a:graphic>
          </wp:inline>
        </w:drawing>
      </w:r>
    </w:p>
    <w:p w14:paraId="493738EE">
      <w:pPr>
        <w:spacing w:before="0" w:after="110" w:line="250" w:lineRule="auto"/>
        <w:jc w:val="center"/>
        <w:rPr>
          <w:rFonts w:hint="eastAsia" w:ascii="宋体" w:hAnsi="宋体" w:eastAsia="宋体" w:cs="宋体"/>
        </w:rPr>
      </w:pPr>
      <w:r>
        <w:rPr>
          <w:rFonts w:hint="eastAsia" w:ascii="宋体" w:hAnsi="宋体" w:eastAsia="宋体" w:cs="宋体"/>
          <w:i/>
          <w:iCs/>
          <w:sz w:val="17"/>
          <w:szCs w:val="17"/>
        </w:rPr>
        <w:t>图7  后端应用架构</w:t>
      </w:r>
    </w:p>
    <w:p w14:paraId="4620E096">
      <w:pPr>
        <w:spacing w:before="75" w:after="30"/>
        <w:jc w:val="center"/>
        <w:rPr>
          <w:rFonts w:hint="eastAsia" w:ascii="宋体" w:hAnsi="宋体" w:eastAsia="宋体" w:cs="宋体"/>
        </w:rPr>
      </w:pPr>
      <w:r>
        <w:rPr>
          <w:rFonts w:hint="eastAsia" w:ascii="宋体" w:hAnsi="宋体" w:eastAsia="宋体" w:cs="宋体"/>
        </w:rPr>
        <w:drawing>
          <wp:inline distT="0" distB="0" distL="0" distR="0">
            <wp:extent cx="6035040" cy="3053715"/>
            <wp:effectExtent l="0" t="0" r="0" b="0"/>
            <wp:docPr id="8" name="report_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report_image8.png"/>
                    <pic:cNvPicPr>
                      <a:picLocks noChangeAspect="1"/>
                    </pic:cNvPicPr>
                  </pic:nvPicPr>
                  <pic:blipFill>
                    <a:blip r:embed="rId13"/>
                    <a:stretch>
                      <a:fillRect/>
                    </a:stretch>
                  </pic:blipFill>
                  <pic:spPr>
                    <a:xfrm>
                      <a:off x="0" y="0"/>
                      <a:ext cx="6035040" cy="3053966"/>
                    </a:xfrm>
                    <a:prstGeom prst="rect">
                      <a:avLst/>
                    </a:prstGeom>
                  </pic:spPr>
                </pic:pic>
              </a:graphicData>
            </a:graphic>
          </wp:inline>
        </w:drawing>
      </w:r>
    </w:p>
    <w:p w14:paraId="2FE296BE">
      <w:pPr>
        <w:spacing w:before="0" w:after="110" w:line="250" w:lineRule="auto"/>
        <w:jc w:val="center"/>
        <w:rPr>
          <w:rFonts w:hint="eastAsia" w:ascii="宋体" w:hAnsi="宋体" w:eastAsia="宋体" w:cs="宋体"/>
        </w:rPr>
      </w:pPr>
      <w:r>
        <w:rPr>
          <w:rFonts w:hint="eastAsia" w:ascii="宋体" w:hAnsi="宋体" w:eastAsia="宋体" w:cs="宋体"/>
          <w:i/>
          <w:iCs/>
          <w:sz w:val="17"/>
          <w:szCs w:val="17"/>
        </w:rPr>
        <w:t>图8  API 模块图</w:t>
      </w:r>
    </w:p>
    <w:p w14:paraId="07672E2E">
      <w:pPr>
        <w:spacing w:before="75" w:after="30"/>
        <w:jc w:val="center"/>
        <w:rPr>
          <w:rFonts w:hint="eastAsia" w:ascii="宋体" w:hAnsi="宋体" w:eastAsia="宋体" w:cs="宋体"/>
        </w:rPr>
      </w:pPr>
      <w:r>
        <w:rPr>
          <w:rFonts w:hint="eastAsia" w:ascii="宋体" w:hAnsi="宋体" w:eastAsia="宋体" w:cs="宋体"/>
        </w:rPr>
        <w:drawing>
          <wp:inline distT="0" distB="0" distL="0" distR="0">
            <wp:extent cx="6035040" cy="4389755"/>
            <wp:effectExtent l="0" t="0" r="0" b="0"/>
            <wp:docPr id="9" name="report_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eport_image9.png"/>
                    <pic:cNvPicPr>
                      <a:picLocks noChangeAspect="1"/>
                    </pic:cNvPicPr>
                  </pic:nvPicPr>
                  <pic:blipFill>
                    <a:blip r:embed="rId14"/>
                    <a:stretch>
                      <a:fillRect/>
                    </a:stretch>
                  </pic:blipFill>
                  <pic:spPr>
                    <a:xfrm>
                      <a:off x="0" y="0"/>
                      <a:ext cx="6035040" cy="4390331"/>
                    </a:xfrm>
                    <a:prstGeom prst="rect">
                      <a:avLst/>
                    </a:prstGeom>
                  </pic:spPr>
                </pic:pic>
              </a:graphicData>
            </a:graphic>
          </wp:inline>
        </w:drawing>
      </w:r>
    </w:p>
    <w:p w14:paraId="370F0168">
      <w:pPr>
        <w:spacing w:before="0" w:after="110" w:line="250" w:lineRule="auto"/>
        <w:jc w:val="center"/>
        <w:rPr>
          <w:rFonts w:hint="eastAsia" w:ascii="宋体" w:hAnsi="宋体" w:eastAsia="宋体" w:cs="宋体"/>
        </w:rPr>
      </w:pPr>
      <w:r>
        <w:rPr>
          <w:rFonts w:hint="eastAsia" w:ascii="宋体" w:hAnsi="宋体" w:eastAsia="宋体" w:cs="宋体"/>
          <w:i/>
          <w:iCs/>
          <w:sz w:val="17"/>
          <w:szCs w:val="17"/>
        </w:rPr>
        <w:t>图9  认证与权限架构</w:t>
      </w:r>
    </w:p>
    <w:p w14:paraId="602F9832">
      <w:pPr>
        <w:spacing w:before="75" w:after="30"/>
        <w:jc w:val="center"/>
        <w:rPr>
          <w:rFonts w:hint="eastAsia" w:ascii="宋体" w:hAnsi="宋体" w:eastAsia="宋体" w:cs="宋体"/>
        </w:rPr>
      </w:pPr>
      <w:r>
        <w:rPr>
          <w:rFonts w:hint="eastAsia" w:ascii="宋体" w:hAnsi="宋体" w:eastAsia="宋体" w:cs="宋体"/>
        </w:rPr>
        <w:drawing>
          <wp:inline distT="0" distB="0" distL="0" distR="0">
            <wp:extent cx="6035040" cy="4420870"/>
            <wp:effectExtent l="0" t="0" r="0" b="0"/>
            <wp:docPr id="10" name="report_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report_image10.png"/>
                    <pic:cNvPicPr>
                      <a:picLocks noChangeAspect="1"/>
                    </pic:cNvPicPr>
                  </pic:nvPicPr>
                  <pic:blipFill>
                    <a:blip r:embed="rId15"/>
                    <a:stretch>
                      <a:fillRect/>
                    </a:stretch>
                  </pic:blipFill>
                  <pic:spPr>
                    <a:xfrm>
                      <a:off x="0" y="0"/>
                      <a:ext cx="6035040" cy="4421405"/>
                    </a:xfrm>
                    <a:prstGeom prst="rect">
                      <a:avLst/>
                    </a:prstGeom>
                  </pic:spPr>
                </pic:pic>
              </a:graphicData>
            </a:graphic>
          </wp:inline>
        </w:drawing>
      </w:r>
    </w:p>
    <w:p w14:paraId="34387856">
      <w:pPr>
        <w:spacing w:before="0" w:after="110" w:line="250" w:lineRule="auto"/>
        <w:jc w:val="center"/>
        <w:rPr>
          <w:rFonts w:hint="eastAsia" w:ascii="宋体" w:hAnsi="宋体" w:eastAsia="宋体" w:cs="宋体"/>
        </w:rPr>
      </w:pPr>
      <w:r>
        <w:rPr>
          <w:rFonts w:hint="eastAsia" w:ascii="宋体" w:hAnsi="宋体" w:eastAsia="宋体" w:cs="宋体"/>
          <w:i/>
          <w:iCs/>
          <w:sz w:val="17"/>
          <w:szCs w:val="17"/>
        </w:rPr>
        <w:t>图10  外设与外部协作集成</w:t>
      </w:r>
    </w:p>
    <w:p w14:paraId="5F9040BB">
      <w:pPr>
        <w:spacing w:before="75" w:after="30"/>
        <w:jc w:val="center"/>
        <w:rPr>
          <w:rFonts w:hint="eastAsia" w:ascii="宋体" w:hAnsi="宋体" w:eastAsia="宋体" w:cs="宋体"/>
        </w:rPr>
      </w:pPr>
      <w:r>
        <w:rPr>
          <w:rFonts w:hint="eastAsia" w:ascii="宋体" w:hAnsi="宋体" w:eastAsia="宋体" w:cs="宋体"/>
        </w:rPr>
        <w:drawing>
          <wp:inline distT="0" distB="0" distL="0" distR="0">
            <wp:extent cx="6035040" cy="4389755"/>
            <wp:effectExtent l="0" t="0" r="0" b="0"/>
            <wp:docPr id="11" name="report_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report_image11.png"/>
                    <pic:cNvPicPr>
                      <a:picLocks noChangeAspect="1"/>
                    </pic:cNvPicPr>
                  </pic:nvPicPr>
                  <pic:blipFill>
                    <a:blip r:embed="rId16"/>
                    <a:stretch>
                      <a:fillRect/>
                    </a:stretch>
                  </pic:blipFill>
                  <pic:spPr>
                    <a:xfrm>
                      <a:off x="0" y="0"/>
                      <a:ext cx="6035040" cy="4390331"/>
                    </a:xfrm>
                    <a:prstGeom prst="rect">
                      <a:avLst/>
                    </a:prstGeom>
                  </pic:spPr>
                </pic:pic>
              </a:graphicData>
            </a:graphic>
          </wp:inline>
        </w:drawing>
      </w:r>
    </w:p>
    <w:p w14:paraId="457EE2D2">
      <w:pPr>
        <w:spacing w:before="0" w:after="110" w:line="250" w:lineRule="auto"/>
        <w:jc w:val="center"/>
        <w:rPr>
          <w:rFonts w:hint="eastAsia" w:ascii="宋体" w:hAnsi="宋体" w:eastAsia="宋体" w:cs="宋体"/>
        </w:rPr>
      </w:pPr>
      <w:r>
        <w:rPr>
          <w:rFonts w:hint="eastAsia" w:ascii="宋体" w:hAnsi="宋体" w:eastAsia="宋体" w:cs="宋体"/>
          <w:i/>
          <w:iCs/>
          <w:sz w:val="17"/>
          <w:szCs w:val="17"/>
        </w:rPr>
        <w:t>图11  智能助手集成</w:t>
      </w:r>
    </w:p>
    <w:p w14:paraId="33FB8B3C">
      <w:pPr>
        <w:spacing w:before="75" w:after="30"/>
        <w:jc w:val="center"/>
        <w:rPr>
          <w:rFonts w:hint="eastAsia" w:ascii="宋体" w:hAnsi="宋体" w:eastAsia="宋体" w:cs="宋体"/>
        </w:rPr>
      </w:pPr>
      <w:r>
        <w:rPr>
          <w:rFonts w:hint="eastAsia" w:ascii="宋体" w:hAnsi="宋体" w:eastAsia="宋体" w:cs="宋体"/>
        </w:rPr>
        <w:drawing>
          <wp:inline distT="0" distB="0" distL="0" distR="0">
            <wp:extent cx="6035040" cy="4389755"/>
            <wp:effectExtent l="0" t="0" r="0" b="0"/>
            <wp:docPr id="12" name="report_imag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report_image12.png"/>
                    <pic:cNvPicPr>
                      <a:picLocks noChangeAspect="1"/>
                    </pic:cNvPicPr>
                  </pic:nvPicPr>
                  <pic:blipFill>
                    <a:blip r:embed="rId17"/>
                    <a:stretch>
                      <a:fillRect/>
                    </a:stretch>
                  </pic:blipFill>
                  <pic:spPr>
                    <a:xfrm>
                      <a:off x="0" y="0"/>
                      <a:ext cx="6035040" cy="4390331"/>
                    </a:xfrm>
                    <a:prstGeom prst="rect">
                      <a:avLst/>
                    </a:prstGeom>
                  </pic:spPr>
                </pic:pic>
              </a:graphicData>
            </a:graphic>
          </wp:inline>
        </w:drawing>
      </w:r>
    </w:p>
    <w:p w14:paraId="46DC9347">
      <w:pPr>
        <w:spacing w:before="0" w:after="110" w:line="250" w:lineRule="auto"/>
        <w:jc w:val="center"/>
        <w:rPr>
          <w:rFonts w:hint="eastAsia" w:ascii="宋体" w:hAnsi="宋体" w:eastAsia="宋体" w:cs="宋体"/>
        </w:rPr>
      </w:pPr>
      <w:r>
        <w:rPr>
          <w:rFonts w:hint="eastAsia" w:ascii="宋体" w:hAnsi="宋体" w:eastAsia="宋体" w:cs="宋体"/>
          <w:i/>
          <w:iCs/>
          <w:sz w:val="17"/>
          <w:szCs w:val="17"/>
        </w:rPr>
        <w:t>图12  报表与经营分析架构</w:t>
      </w:r>
    </w:p>
    <w:p w14:paraId="24E71CE4">
      <w:pPr>
        <w:pStyle w:val="Heading3"/>
        <w:keepNext/>
        <w:pBdr>
          <w:left w:val="single" w:color="2F75B5" w:sz="12" w:space="6"/>
        </w:pBdr>
        <w:spacing w:before="220" w:after="100" w:line="360" w:lineRule="auto"/>
        <w:outlineLvl w:val="1"/>
        <w:rPr>
          <w:rFonts w:hint="eastAsia" w:ascii="宋体" w:hAnsi="宋体" w:eastAsia="宋体" w:cs="宋体"/>
        </w:rPr>
      </w:pPr>
      <w:r>
        <w:rPr>
          <w:rFonts w:hint="eastAsia" w:ascii="宋体" w:hAnsi="宋体" w:eastAsia="宋体" w:cs="宋体"/>
          <w:b/>
          <w:bCs/>
          <w:color w:val="1F4E79"/>
          <w:sz w:val="25"/>
          <w:szCs w:val="25"/>
        </w:rPr>
        <w:t>4.2.4 部署与安全方案</w:t>
      </w:r>
    </w:p>
    <w:tbl>
      <w:tblPr>
        <w:tblStyle w:val="2"/>
        <w:tblW w:w="9026" w:type="dxa"/>
        <w:tblInd w:w="0" w:type="dxa"/>
        <w:tblBorders>
          <w:top w:val="single" w:color="999999" w:sz="4" w:space="0"/>
          <w:left w:val="single" w:color="999999" w:sz="4" w:space="0"/>
          <w:bottom w:val="single" w:color="999999" w:sz="4" w:space="0"/>
          <w:right w:val="single" w:color="999999" w:sz="4" w:space="0"/>
          <w:insideH w:val="single" w:color="BBBBBB" w:sz="4" w:space="0"/>
          <w:insideV w:val="single" w:color="BBBBBB" w:sz="4" w:space="0"/>
        </w:tblBorders>
        <w:tblLayout w:type="autofit"/>
        <w:tblCellMar>
          <w:top w:w="70" w:type="dxa"/>
          <w:left w:w="90" w:type="dxa"/>
          <w:bottom w:w="70" w:type="dxa"/>
          <w:right w:w="90" w:type="dxa"/>
        </w:tblCellMar>
      </w:tblPr>
      <w:tblGrid>
        <w:gridCol w:w="1905"/>
        <w:gridCol w:w="7121"/>
      </w:tblGrid>
      <w:tr w14:paraId="1DC44491">
        <w:tblPrEx>
          <w:tblBorders>
            <w:top w:val="single" w:color="999999" w:sz="4" w:space="0"/>
            <w:left w:val="single" w:color="999999" w:sz="4" w:space="0"/>
            <w:bottom w:val="single" w:color="999999" w:sz="4" w:space="0"/>
            <w:right w:val="single" w:color="999999" w:sz="4" w:space="0"/>
            <w:insideH w:val="single" w:color="BBBBBB" w:sz="4" w:space="0"/>
            <w:insideV w:val="single" w:color="BBBBBB" w:sz="4" w:space="0"/>
          </w:tblBorders>
          <w:tblCellMar>
            <w:top w:w="70" w:type="dxa"/>
            <w:left w:w="90" w:type="dxa"/>
            <w:bottom w:w="70" w:type="dxa"/>
            <w:right w:w="90" w:type="dxa"/>
          </w:tblCellMar>
        </w:tblPrEx>
        <w:tc>
          <w:tcPr>
            <w:tcW w:w="1900" w:type="dxa"/>
            <w:shd w:val="clear" w:color="auto" w:fill="D9EAF7"/>
          </w:tcPr>
          <w:p w14:paraId="5A551B55">
            <w:pPr>
              <w:spacing w:before="0" w:after="35" w:line="270" w:lineRule="auto"/>
              <w:rPr>
                <w:rFonts w:hint="eastAsia" w:ascii="宋体" w:hAnsi="宋体" w:eastAsia="宋体" w:cs="宋体"/>
              </w:rPr>
            </w:pPr>
            <w:r>
              <w:rPr>
                <w:rFonts w:hint="eastAsia" w:ascii="宋体" w:hAnsi="宋体" w:eastAsia="宋体" w:cs="宋体"/>
                <w:b/>
                <w:bCs/>
                <w:color w:val="1F4E79"/>
                <w:sz w:val="18"/>
                <w:szCs w:val="18"/>
              </w:rPr>
              <w:t>方案项</w:t>
            </w:r>
          </w:p>
        </w:tc>
        <w:tc>
          <w:tcPr>
            <w:tcW w:w="7100" w:type="dxa"/>
            <w:shd w:val="clear" w:color="auto" w:fill="D9EAF7"/>
          </w:tcPr>
          <w:p w14:paraId="732E5E66">
            <w:pPr>
              <w:spacing w:before="0" w:after="35" w:line="270" w:lineRule="auto"/>
              <w:rPr>
                <w:rFonts w:hint="eastAsia" w:ascii="宋体" w:hAnsi="宋体" w:eastAsia="宋体" w:cs="宋体"/>
              </w:rPr>
            </w:pPr>
            <w:r>
              <w:rPr>
                <w:rFonts w:hint="eastAsia" w:ascii="宋体" w:hAnsi="宋体" w:eastAsia="宋体" w:cs="宋体"/>
                <w:b/>
                <w:bCs/>
                <w:color w:val="1F4E79"/>
                <w:sz w:val="18"/>
                <w:szCs w:val="18"/>
              </w:rPr>
              <w:t>说明</w:t>
            </w:r>
          </w:p>
        </w:tc>
      </w:tr>
      <w:tr w14:paraId="721D300F">
        <w:tblPrEx>
          <w:tblBorders>
            <w:top w:val="single" w:color="999999" w:sz="4" w:space="0"/>
            <w:left w:val="single" w:color="999999" w:sz="4" w:space="0"/>
            <w:bottom w:val="single" w:color="999999" w:sz="4" w:space="0"/>
            <w:right w:val="single" w:color="999999" w:sz="4" w:space="0"/>
            <w:insideH w:val="single" w:color="BBBBBB" w:sz="4" w:space="0"/>
            <w:insideV w:val="single" w:color="BBBBBB" w:sz="4" w:space="0"/>
          </w:tblBorders>
          <w:tblCellMar>
            <w:top w:w="70" w:type="dxa"/>
            <w:left w:w="90" w:type="dxa"/>
            <w:bottom w:w="70" w:type="dxa"/>
            <w:right w:w="90" w:type="dxa"/>
          </w:tblCellMar>
        </w:tblPrEx>
        <w:tc>
          <w:tcPr>
            <w:tcW w:w="1900" w:type="dxa"/>
          </w:tcPr>
          <w:p w14:paraId="57D62407">
            <w:pPr>
              <w:spacing w:before="0" w:after="35" w:line="270" w:lineRule="auto"/>
              <w:rPr>
                <w:rFonts w:hint="eastAsia" w:ascii="宋体" w:hAnsi="宋体" w:eastAsia="宋体" w:cs="宋体"/>
              </w:rPr>
            </w:pPr>
            <w:r>
              <w:rPr>
                <w:rFonts w:hint="eastAsia" w:ascii="宋体" w:hAnsi="宋体" w:eastAsia="宋体" w:cs="宋体"/>
                <w:sz w:val="18"/>
                <w:szCs w:val="18"/>
              </w:rPr>
              <w:t>硬件构架</w:t>
            </w:r>
          </w:p>
        </w:tc>
        <w:tc>
          <w:tcPr>
            <w:tcW w:w="7100" w:type="dxa"/>
          </w:tcPr>
          <w:p w14:paraId="11D44CAF">
            <w:pPr>
              <w:spacing w:before="0" w:after="35" w:line="270" w:lineRule="auto"/>
              <w:rPr>
                <w:rFonts w:hint="eastAsia" w:ascii="宋体" w:hAnsi="宋体" w:eastAsia="宋体" w:cs="宋体"/>
              </w:rPr>
            </w:pPr>
            <w:r>
              <w:rPr>
                <w:rFonts w:hint="eastAsia" w:ascii="宋体" w:hAnsi="宋体" w:eastAsia="宋体" w:cs="宋体"/>
                <w:sz w:val="18"/>
                <w:szCs w:val="18"/>
              </w:rPr>
              <w:t>课程设计/演示环境以普通 PC 或笔记本作为开发与运行主机，浏览器访问本地 Flask 服务。</w:t>
            </w:r>
          </w:p>
        </w:tc>
      </w:tr>
      <w:tr w14:paraId="5EF13A3B">
        <w:tblPrEx>
          <w:tblBorders>
            <w:top w:val="single" w:color="999999" w:sz="4" w:space="0"/>
            <w:left w:val="single" w:color="999999" w:sz="4" w:space="0"/>
            <w:bottom w:val="single" w:color="999999" w:sz="4" w:space="0"/>
            <w:right w:val="single" w:color="999999" w:sz="4" w:space="0"/>
            <w:insideH w:val="single" w:color="BBBBBB" w:sz="4" w:space="0"/>
            <w:insideV w:val="single" w:color="BBBBBB" w:sz="4" w:space="0"/>
          </w:tblBorders>
          <w:tblCellMar>
            <w:top w:w="70" w:type="dxa"/>
            <w:left w:w="90" w:type="dxa"/>
            <w:bottom w:w="70" w:type="dxa"/>
            <w:right w:w="90" w:type="dxa"/>
          </w:tblCellMar>
        </w:tblPrEx>
        <w:tc>
          <w:tcPr>
            <w:tcW w:w="1900" w:type="dxa"/>
            <w:shd w:val="clear" w:color="auto" w:fill="F7FBFF"/>
          </w:tcPr>
          <w:p w14:paraId="24C11924">
            <w:pPr>
              <w:spacing w:before="0" w:after="35" w:line="270" w:lineRule="auto"/>
              <w:rPr>
                <w:rFonts w:hint="eastAsia" w:ascii="宋体" w:hAnsi="宋体" w:eastAsia="宋体" w:cs="宋体"/>
              </w:rPr>
            </w:pPr>
            <w:r>
              <w:rPr>
                <w:rFonts w:hint="eastAsia" w:ascii="宋体" w:hAnsi="宋体" w:eastAsia="宋体" w:cs="宋体"/>
                <w:sz w:val="18"/>
                <w:szCs w:val="18"/>
              </w:rPr>
              <w:t>网络构架</w:t>
            </w:r>
          </w:p>
        </w:tc>
        <w:tc>
          <w:tcPr>
            <w:tcW w:w="7100" w:type="dxa"/>
            <w:shd w:val="clear" w:color="auto" w:fill="F7FBFF"/>
          </w:tcPr>
          <w:p w14:paraId="7562871C">
            <w:pPr>
              <w:spacing w:before="0" w:after="35" w:line="270" w:lineRule="auto"/>
              <w:rPr>
                <w:rFonts w:hint="eastAsia" w:ascii="宋体" w:hAnsi="宋体" w:eastAsia="宋体" w:cs="宋体"/>
              </w:rPr>
            </w:pPr>
            <w:r>
              <w:rPr>
                <w:rFonts w:hint="eastAsia" w:ascii="宋体" w:hAnsi="宋体" w:eastAsia="宋体" w:cs="宋体"/>
                <w:sz w:val="18"/>
                <w:szCs w:val="18"/>
              </w:rPr>
              <w:t>本地环境为浏览器到 Flask Dev Server；生产设想为门店终端访问 Web 入口，再进入 Flask API 与 SQLite/备份。</w:t>
            </w:r>
          </w:p>
        </w:tc>
      </w:tr>
      <w:tr w14:paraId="155595D5">
        <w:tblPrEx>
          <w:tblBorders>
            <w:top w:val="single" w:color="999999" w:sz="4" w:space="0"/>
            <w:left w:val="single" w:color="999999" w:sz="4" w:space="0"/>
            <w:bottom w:val="single" w:color="999999" w:sz="4" w:space="0"/>
            <w:right w:val="single" w:color="999999" w:sz="4" w:space="0"/>
            <w:insideH w:val="single" w:color="BBBBBB" w:sz="4" w:space="0"/>
            <w:insideV w:val="single" w:color="BBBBBB" w:sz="4" w:space="0"/>
          </w:tblBorders>
          <w:tblCellMar>
            <w:top w:w="70" w:type="dxa"/>
            <w:left w:w="90" w:type="dxa"/>
            <w:bottom w:w="70" w:type="dxa"/>
            <w:right w:w="90" w:type="dxa"/>
          </w:tblCellMar>
        </w:tblPrEx>
        <w:tc>
          <w:tcPr>
            <w:tcW w:w="1900" w:type="dxa"/>
          </w:tcPr>
          <w:p w14:paraId="1194CDF5">
            <w:pPr>
              <w:spacing w:before="0" w:after="35" w:line="270" w:lineRule="auto"/>
              <w:rPr>
                <w:rFonts w:hint="eastAsia" w:ascii="宋体" w:hAnsi="宋体" w:eastAsia="宋体" w:cs="宋体"/>
              </w:rPr>
            </w:pPr>
            <w:r>
              <w:rPr>
                <w:rFonts w:hint="eastAsia" w:ascii="宋体" w:hAnsi="宋体" w:eastAsia="宋体" w:cs="宋体"/>
                <w:sz w:val="18"/>
                <w:szCs w:val="18"/>
              </w:rPr>
              <w:t>安全控制</w:t>
            </w:r>
          </w:p>
        </w:tc>
        <w:tc>
          <w:tcPr>
            <w:tcW w:w="7100" w:type="dxa"/>
          </w:tcPr>
          <w:p w14:paraId="7CE2D706">
            <w:pPr>
              <w:spacing w:before="0" w:after="35" w:line="270" w:lineRule="auto"/>
              <w:rPr>
                <w:rFonts w:hint="eastAsia" w:ascii="宋体" w:hAnsi="宋体" w:eastAsia="宋体" w:cs="宋体"/>
              </w:rPr>
            </w:pPr>
            <w:r>
              <w:rPr>
                <w:rFonts w:hint="eastAsia" w:ascii="宋体" w:hAnsi="宋体" w:eastAsia="宋体" w:cs="宋体"/>
                <w:sz w:val="18"/>
                <w:szCs w:val="18"/>
              </w:rPr>
              <w:t>以 Flask Session、角色装饰器、登录状态校验、审计日志和数据边界作为主要控制点。</w:t>
            </w:r>
          </w:p>
        </w:tc>
      </w:tr>
    </w:tbl>
    <w:p w14:paraId="039FBFFF">
      <w:pPr>
        <w:spacing w:before="0" w:after="70" w:line="360" w:lineRule="auto"/>
        <w:rPr>
          <w:rFonts w:hint="eastAsia" w:ascii="宋体" w:hAnsi="宋体" w:eastAsia="宋体" w:cs="宋体"/>
        </w:rPr>
      </w:pPr>
    </w:p>
    <w:p w14:paraId="034AE936">
      <w:pPr>
        <w:spacing w:before="75" w:after="30"/>
        <w:jc w:val="center"/>
        <w:rPr>
          <w:rFonts w:hint="eastAsia" w:ascii="宋体" w:hAnsi="宋体" w:eastAsia="宋体" w:cs="宋体"/>
        </w:rPr>
      </w:pPr>
      <w:r>
        <w:rPr>
          <w:rFonts w:hint="eastAsia" w:ascii="宋体" w:hAnsi="宋体" w:eastAsia="宋体" w:cs="宋体"/>
        </w:rPr>
        <w:drawing>
          <wp:inline distT="0" distB="0" distL="0" distR="0">
            <wp:extent cx="6035040" cy="3537585"/>
            <wp:effectExtent l="0" t="0" r="0" b="0"/>
            <wp:docPr id="13" name="report_image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report_image13.png"/>
                    <pic:cNvPicPr>
                      <a:picLocks noChangeAspect="1"/>
                    </pic:cNvPicPr>
                  </pic:nvPicPr>
                  <pic:blipFill>
                    <a:blip r:embed="rId18"/>
                    <a:stretch>
                      <a:fillRect/>
                    </a:stretch>
                  </pic:blipFill>
                  <pic:spPr>
                    <a:xfrm>
                      <a:off x="0" y="0"/>
                      <a:ext cx="6035040" cy="3538012"/>
                    </a:xfrm>
                    <a:prstGeom prst="rect">
                      <a:avLst/>
                    </a:prstGeom>
                  </pic:spPr>
                </pic:pic>
              </a:graphicData>
            </a:graphic>
          </wp:inline>
        </w:drawing>
      </w:r>
    </w:p>
    <w:p w14:paraId="154A2F65">
      <w:pPr>
        <w:spacing w:before="0" w:after="110" w:line="250" w:lineRule="auto"/>
        <w:jc w:val="center"/>
        <w:rPr>
          <w:rFonts w:hint="eastAsia" w:ascii="宋体" w:hAnsi="宋体" w:eastAsia="宋体" w:cs="宋体"/>
        </w:rPr>
      </w:pPr>
      <w:r>
        <w:rPr>
          <w:rFonts w:hint="eastAsia" w:ascii="宋体" w:hAnsi="宋体" w:eastAsia="宋体" w:cs="宋体"/>
          <w:i/>
          <w:iCs/>
          <w:sz w:val="17"/>
          <w:szCs w:val="17"/>
        </w:rPr>
        <w:t>图13  本地开发部署图</w:t>
      </w:r>
    </w:p>
    <w:p w14:paraId="3EEF5024">
      <w:pPr>
        <w:spacing w:before="75" w:after="30"/>
        <w:jc w:val="center"/>
        <w:rPr>
          <w:rFonts w:hint="eastAsia" w:ascii="宋体" w:hAnsi="宋体" w:eastAsia="宋体" w:cs="宋体"/>
        </w:rPr>
      </w:pPr>
      <w:r>
        <w:rPr>
          <w:rFonts w:hint="eastAsia" w:ascii="宋体" w:hAnsi="宋体" w:eastAsia="宋体" w:cs="宋体"/>
        </w:rPr>
        <w:drawing>
          <wp:inline distT="0" distB="0" distL="0" distR="0">
            <wp:extent cx="6035040" cy="3599815"/>
            <wp:effectExtent l="0" t="0" r="0" b="0"/>
            <wp:docPr id="14" name="report_image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report_image14.png"/>
                    <pic:cNvPicPr>
                      <a:picLocks noChangeAspect="1"/>
                    </pic:cNvPicPr>
                  </pic:nvPicPr>
                  <pic:blipFill>
                    <a:blip r:embed="rId19"/>
                    <a:stretch>
                      <a:fillRect/>
                    </a:stretch>
                  </pic:blipFill>
                  <pic:spPr>
                    <a:xfrm>
                      <a:off x="0" y="0"/>
                      <a:ext cx="6035040" cy="3600160"/>
                    </a:xfrm>
                    <a:prstGeom prst="rect">
                      <a:avLst/>
                    </a:prstGeom>
                  </pic:spPr>
                </pic:pic>
              </a:graphicData>
            </a:graphic>
          </wp:inline>
        </w:drawing>
      </w:r>
    </w:p>
    <w:p w14:paraId="180D845B">
      <w:pPr>
        <w:spacing w:before="0" w:after="110" w:line="250" w:lineRule="auto"/>
        <w:jc w:val="center"/>
        <w:rPr>
          <w:rFonts w:hint="eastAsia" w:ascii="宋体" w:hAnsi="宋体" w:eastAsia="宋体" w:cs="宋体"/>
        </w:rPr>
      </w:pPr>
      <w:r>
        <w:rPr>
          <w:rFonts w:hint="eastAsia" w:ascii="宋体" w:hAnsi="宋体" w:eastAsia="宋体" w:cs="宋体"/>
          <w:i/>
          <w:iCs/>
          <w:sz w:val="17"/>
          <w:szCs w:val="17"/>
        </w:rPr>
        <w:t>图14  生产部署图</w:t>
      </w:r>
    </w:p>
    <w:p w14:paraId="2426F6EA">
      <w:pPr>
        <w:spacing w:before="75" w:after="30"/>
        <w:jc w:val="center"/>
        <w:rPr>
          <w:rFonts w:hint="eastAsia" w:ascii="宋体" w:hAnsi="宋体" w:eastAsia="宋体" w:cs="宋体"/>
        </w:rPr>
      </w:pPr>
      <w:r>
        <w:rPr>
          <w:rFonts w:hint="eastAsia" w:ascii="宋体" w:hAnsi="宋体" w:eastAsia="宋体" w:cs="宋体"/>
        </w:rPr>
        <w:drawing>
          <wp:inline distT="0" distB="0" distL="0" distR="0">
            <wp:extent cx="6035040" cy="4358640"/>
            <wp:effectExtent l="0" t="0" r="0" b="0"/>
            <wp:docPr id="15" name="report_image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report_image15.png"/>
                    <pic:cNvPicPr>
                      <a:picLocks noChangeAspect="1"/>
                    </pic:cNvPicPr>
                  </pic:nvPicPr>
                  <pic:blipFill>
                    <a:blip r:embed="rId20"/>
                    <a:stretch>
                      <a:fillRect/>
                    </a:stretch>
                  </pic:blipFill>
                  <pic:spPr>
                    <a:xfrm>
                      <a:off x="0" y="0"/>
                      <a:ext cx="6035040" cy="4359257"/>
                    </a:xfrm>
                    <a:prstGeom prst="rect">
                      <a:avLst/>
                    </a:prstGeom>
                  </pic:spPr>
                </pic:pic>
              </a:graphicData>
            </a:graphic>
          </wp:inline>
        </w:drawing>
      </w:r>
    </w:p>
    <w:p w14:paraId="7C4B8EA2">
      <w:pPr>
        <w:spacing w:before="0" w:after="110" w:line="250" w:lineRule="auto"/>
        <w:jc w:val="center"/>
        <w:rPr>
          <w:rFonts w:hint="eastAsia" w:ascii="宋体" w:hAnsi="宋体" w:eastAsia="宋体" w:cs="宋体"/>
        </w:rPr>
      </w:pPr>
      <w:r>
        <w:rPr>
          <w:rFonts w:hint="eastAsia" w:ascii="宋体" w:hAnsi="宋体" w:eastAsia="宋体" w:cs="宋体"/>
          <w:i/>
          <w:iCs/>
          <w:sz w:val="17"/>
          <w:szCs w:val="17"/>
        </w:rPr>
        <w:t>图15  安全信任边界图</w:t>
      </w:r>
    </w:p>
    <w:p w14:paraId="07086B6A">
      <w:pPr>
        <w:spacing w:before="0" w:after="0" w:line="360" w:lineRule="auto"/>
        <w:rPr>
          <w:rFonts w:hint="eastAsia" w:ascii="宋体" w:hAnsi="宋体" w:eastAsia="宋体" w:cs="宋体"/>
        </w:rPr>
      </w:pPr>
      <w:r>
        <w:rPr>
          <w:rFonts w:hint="eastAsia" w:ascii="宋体" w:hAnsi="宋体" w:eastAsia="宋体" w:cs="宋体"/>
          <w:sz w:val="22"/>
          <w:szCs w:val="22"/>
        </w:rPr>
        <w:br w:type="page"/>
      </w:r>
    </w:p>
    <w:p w14:paraId="4BC53D8F">
      <w:pPr>
        <w:pStyle w:val="Heading3"/>
        <w:spacing w:before="160" w:after="80"/>
        <w:jc w:val="left"/>
      </w:pPr>
      <w:r>
        <w:rPr>
          <w:rFonts w:ascii="黑体" w:hAnsi="黑体" w:eastAsia="黑体"/>
          <w:b/>
          <w:sz w:val="24"/>
        </w:rPr>
        <w:t>4.2.5 源码结构与启动初始化补充说明</w:t>
      </w:r>
    </w:p>
    <w:p w14:paraId="34A4D1E2">
      <w:pPr>
        <w:spacing w:after="120" w:line="360" w:lineRule="auto"/>
        <w:ind w:firstLine="440"/>
      </w:pPr>
      <w:r>
        <w:rPr>
          <w:rFonts w:ascii="宋体" w:hAnsi="宋体" w:eastAsia="宋体"/>
          <w:b w:val="0"/>
          <w:sz w:val="22"/>
        </w:rPr>
        <w:t>技术方案在源码中具体表现为 Flask 应用工厂结构。run.py 只负责启动应用，create_app 位于 app/__init__.py，负责加载配置、初始化 SQLAlchemy、注册路由、创建数据库表、初始化默认数据和设置请求日志。这样的结构比把全部逻辑写在一个文件中更清晰，便于把路由、服务、模型和测试分开维护。</w:t>
      </w:r>
    </w:p>
    <w:p w14:paraId="17754C19">
      <w:pPr>
        <w:spacing w:after="120" w:line="360" w:lineRule="auto"/>
        <w:ind w:firstLine="440"/>
      </w:pPr>
      <w:r>
        <w:rPr>
          <w:rFonts w:ascii="宋体" w:hAnsi="宋体" w:eastAsia="宋体"/>
          <w:b w:val="0"/>
          <w:sz w:val="22"/>
        </w:rPr>
        <w:t>项目后端按三层理解：routes 目录负责页面入口和 API 入口，services 目录负责业务规则，models 目录负责 ORM 数据模型。以前端为例，templates 目录保存 Jinja2 页面模板，static/js 目录保存每个页面的异步交互脚本。商品、库存、收银、销售、财务、公告、分析、助手和二期模块都能在这几个目录中找到对应文件，说明技术方案不是停留在报告结构图，而是落实到了源码目录。</w:t>
      </w:r>
    </w:p>
    <w:p w14:paraId="61098AAD">
      <w:pPr>
        <w:spacing w:after="120" w:line="360" w:lineRule="auto"/>
        <w:ind w:firstLine="440"/>
      </w:pPr>
      <w:r>
        <w:rPr>
          <w:rFonts w:ascii="宋体" w:hAnsi="宋体" w:eastAsia="宋体"/>
          <w:b w:val="0"/>
          <w:sz w:val="22"/>
        </w:rPr>
        <w:t>启动初始化也是技术方案的一部分。系统会创建默认账号 admin/admin123 和 cashier01/123456，创建默认分类，并通过 seed_data.sql 填充商品、库存和交易数据。二期模块还会初始化会员、员工、供应商和系统参数示例。这样设计的目的，是保证开发、测试和页面运行使用同一套基础数据，避免不同环境下出现数据缺失导致功能无法展示的问题。</w:t>
      </w:r>
    </w:p>
    <w:p w14:paraId="640EAB72">
      <w:pPr>
        <w:spacing w:after="120" w:line="360" w:lineRule="auto"/>
        <w:ind w:firstLine="440"/>
      </w:pPr>
      <w:r>
        <w:rPr>
          <w:rFonts w:ascii="宋体" w:hAnsi="宋体" w:eastAsia="宋体"/>
          <w:b w:val="0"/>
          <w:sz w:val="22"/>
        </w:rPr>
        <w:t>智能助手的外部模型调用也属于技术方案扩展点。app/services/assistant.py 中预留了 LLM_PROVIDER、LLM_API_KEY、LLM_BASE_URL、LLM_MODEL 等配置，接口格式兼容常见 OpenAI 风格 chat completions。如果没有配置外部模型，系统会自动使用本地规则回复，因此演示不会依赖网络和第三方服务的稳定性。</w:t>
      </w:r>
    </w:p>
    <w:p w14:paraId="69F2B4A1">
      <w:pPr>
        <w:pStyle w:val="Heading3"/>
        <w:spacing w:before="160" w:after="80"/>
        <w:jc w:val="left"/>
      </w:pPr>
      <w:r>
        <w:rPr>
          <w:rFonts w:ascii="黑体" w:hAnsi="黑体" w:eastAsia="黑体"/>
          <w:b/>
          <w:sz w:val="24"/>
        </w:rPr>
        <w:t>4.2.6 技术方案源码落点补充说明</w:t>
      </w:r>
    </w:p>
    <w:p w14:paraId="6ECC4D6D">
      <w:pPr>
        <w:spacing w:after="120" w:line="360" w:lineRule="auto"/>
        <w:ind w:firstLine="440"/>
      </w:pPr>
      <w:r>
        <w:rPr>
          <w:rFonts w:ascii="宋体" w:hAnsi="宋体" w:eastAsia="宋体"/>
          <w:b w:val="0"/>
          <w:sz w:val="22"/>
        </w:rPr>
        <w:t>第 2 章的技术方案需要与启动代码对应。run.py 只负责取得 create_app 返回的 Flask 应用并启动服务；app/__init__.py 中的 create_app 负责加载配置、初始化 SQLAlchemy、注册所有路由、创建数据库表、初始化默认用户和默认分类，并在商品表为空时调用 _init_seed_data_if_empty 导入 data/SQL/seed_data.sql。这样做的意义是：无论在本机演示还是重新克隆仓库后启动，系统都能自动具备基础账号、基础分类、二期样例数据和可演示商品数据。</w:t>
      </w:r>
    </w:p>
    <w:p w14:paraId="47B6881A">
      <w:pPr>
        <w:spacing w:after="120" w:line="360" w:lineRule="auto"/>
        <w:ind w:firstLine="440"/>
      </w:pPr>
      <w:r>
        <w:rPr>
          <w:rFonts w:ascii="宋体" w:hAnsi="宋体" w:eastAsia="宋体"/>
          <w:b w:val="0"/>
          <w:sz w:val="22"/>
        </w:rPr>
        <w:t>智能助手的外部模型能力属于技术方案中的可扩展点。services/assistant.py 读取 LLM_PROVIDER、LLM_API_KEY、LLM_BASE_URL、LLM_CHAT_PATH、LLM_MODEL、LLM_TIMEOUT、LLM_SITE_URL、LLM_SITE_NAME 等配置，并使用 OpenAI 风格的 chat completions 请求格式。没有 API Key 或 base url 时，_try_generate_by_llm 直接返回 None，系统继续走本地规则回复；外部接口异常、返回结构异常或 JSON 解析失败时，也会降级到本地规则，保证系统运行与实验验证不依赖网络环境或第三方服务稳定性。</w:t>
      </w:r>
    </w:p>
    <w:p>
      <w:r>
        <w:br w:type="page"/>
      </w:r>
    </w:p>
    <w:p>
      <w:pPr>
        <w:pStyle w:val="Heading1"/>
        <w:spacing w:before="240" w:after="200"/>
      </w:pPr>
      <w:r>
        <w:rPr>
          <w:rFonts w:ascii="黑体" w:hAnsi="黑体" w:eastAsia="黑体"/>
          <w:b/>
        </w:rPr>
        <w:t>五．详细设计</w:t>
      </w:r>
    </w:p>
    <w:p>
      <w:pPr>
        <w:pStyle w:val="Heading2"/>
        <w:spacing w:before="160" w:after="120"/>
      </w:pPr>
      <w:r>
        <w:rPr>
          <w:rFonts w:ascii="黑体" w:hAnsi="黑体" w:eastAsia="黑体"/>
          <w:b/>
        </w:rPr>
        <w:t>5.1 模块详细设计说明</w:t>
      </w:r>
    </w:p>
    <w:p>
      <w:r>
        <w:rPr>
          <w:b w:val="0"/>
        </w:rPr>
        <w:t>详细设计需要把模块功能落到字段、接口、服务函数和异常路径。系统的核心模块不是孤立页面，而是围绕商品主数据、库存流水、销售结算、财务对账和经营分析形成闭环。每个模块都包含输入、处理、输出三部分：输入来自表单或 API 请求，处理发生在服务层，输出表现为页面刷新、JSON 结果、库存日志、销售记录或财务快照。</w:t>
      </w:r>
    </w:p>
    <w:tbl>
      <w:tblPr>
        <w:tblW w:type="auto" w:w="0"/>
        <w:jc w:val="center"/>
        <w:tblLook w:firstColumn="1" w:firstRow="1" w:lastColumn="0" w:lastRow="0" w:noHBand="0" w:noVBand="1" w:val="04A0"/>
      </w:tblPr>
      <w:tblGrid>
        <w:gridCol w:w="2268"/>
        <w:gridCol w:w="2268"/>
        <w:gridCol w:w="2268"/>
        <w:gridCol w:w="2268"/>
      </w:tblGrid>
      <w:tr>
        <w:tc>
          <w:tcPr>
            <w:tcW w:type="dxa" w:w="2268"/>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jc w:val="center"/>
            </w:pPr>
            <w:r>
              <w:rPr>
                <w:b/>
              </w:rPr>
              <w:t>模块</w:t>
            </w:r>
          </w:p>
        </w:tc>
        <w:tc>
          <w:tcPr>
            <w:tcW w:type="dxa" w:w="2268"/>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jc w:val="center"/>
            </w:pPr>
            <w:r>
              <w:rPr>
                <w:b/>
              </w:rPr>
              <w:t>关键输入</w:t>
            </w:r>
          </w:p>
        </w:tc>
        <w:tc>
          <w:tcPr>
            <w:tcW w:type="dxa" w:w="2268"/>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jc w:val="center"/>
            </w:pPr>
            <w:r>
              <w:rPr>
                <w:b/>
              </w:rPr>
              <w:t>处理逻辑</w:t>
            </w:r>
          </w:p>
        </w:tc>
        <w:tc>
          <w:tcPr>
            <w:tcW w:type="dxa" w:w="2268"/>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jc w:val="center"/>
            </w:pPr>
            <w:r>
              <w:rPr>
                <w:b/>
              </w:rPr>
              <w:t>输出结果</w:t>
            </w:r>
          </w:p>
        </w:tc>
      </w:tr>
      <w:tr>
        <w:tc>
          <w:tcPr>
            <w:tcW w:type="dxa" w:w="2268"/>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r>
              <w:t>商品管理</w:t>
            </w:r>
          </w:p>
        </w:tc>
        <w:tc>
          <w:tcPr>
            <w:tcW w:type="dxa" w:w="2268"/>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r>
              <w:t>商品编码、名称、分类、售价、成本价、初始库存、CSV/Excel 文件</w:t>
            </w:r>
          </w:p>
        </w:tc>
        <w:tc>
          <w:tcPr>
            <w:tcW w:type="dxa" w:w="2268"/>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r>
              <w:t>校验必填字段、重复编码、价格合法性；批量导入时统计成功、失败和错误原因；必要时初始化库存记录</w:t>
            </w:r>
          </w:p>
        </w:tc>
        <w:tc>
          <w:tcPr>
            <w:tcW w:type="dxa" w:w="2268"/>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r>
              <w:t>商品列表、导入结果、库存主表</w:t>
            </w:r>
          </w:p>
        </w:tc>
      </w:tr>
      <w:tr>
        <w:tc>
          <w:tcPr>
            <w:tcW w:type="dxa" w:w="2268"/>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r>
              <w:t>库存管理</w:t>
            </w:r>
          </w:p>
        </w:tc>
        <w:tc>
          <w:tcPr>
            <w:tcW w:type="dxa" w:w="2268"/>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r>
              <w:t>入库、出库、盘点调整、预警阈值</w:t>
            </w:r>
          </w:p>
        </w:tc>
        <w:tc>
          <w:tcPr>
            <w:tcW w:type="dxa" w:w="2268"/>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r>
              <w:t>根据调整类型改变库存数量，写入库存日志，低于阈值时进入预警列表</w:t>
            </w:r>
          </w:p>
        </w:tc>
        <w:tc>
          <w:tcPr>
            <w:tcW w:type="dxa" w:w="2268"/>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r>
              <w:t>库存余额、库存流水、低库存提醒</w:t>
            </w:r>
          </w:p>
        </w:tc>
      </w:tr>
      <w:tr>
        <w:tc>
          <w:tcPr>
            <w:tcW w:type="dxa" w:w="2268"/>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r>
              <w:t>收银销售</w:t>
            </w:r>
          </w:p>
        </w:tc>
        <w:tc>
          <w:tcPr>
            <w:tcW w:type="dxa" w:w="2268"/>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r>
              <w:t>购物车商品、数量、支付方式、会员信息</w:t>
            </w:r>
          </w:p>
        </w:tc>
        <w:tc>
          <w:tcPr>
            <w:tcW w:type="dxa" w:w="2268"/>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r>
              <w:t>校验商品状态和库存数量，生成销售主表与明细，扣减库存，计算会员积分</w:t>
            </w:r>
          </w:p>
        </w:tc>
        <w:tc>
          <w:tcPr>
            <w:tcW w:type="dxa" w:w="2268"/>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r>
              <w:t>销售单、销售明细、库存扣减结果</w:t>
            </w:r>
          </w:p>
        </w:tc>
      </w:tr>
      <w:tr>
        <w:tc>
          <w:tcPr>
            <w:tcW w:type="dxa" w:w="2268"/>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r>
              <w:t>财务管理</w:t>
            </w:r>
          </w:p>
        </w:tc>
        <w:tc>
          <w:tcPr>
            <w:tcW w:type="dxa" w:w="2268"/>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r>
              <w:t>日结日期、应付账款、付款登记、月结月份</w:t>
            </w:r>
          </w:p>
        </w:tc>
        <w:tc>
          <w:tcPr>
            <w:tcW w:type="dxa" w:w="2268"/>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r>
              <w:t>汇总销售收入，核对应收实收差异；供应商付款更新应付状态；月结快照保存期末结果</w:t>
            </w:r>
          </w:p>
        </w:tc>
        <w:tc>
          <w:tcPr>
            <w:tcW w:type="dxa" w:w="2268"/>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r>
              <w:t>日结记录、付款记录、月结快照</w:t>
            </w:r>
          </w:p>
        </w:tc>
      </w:tr>
      <w:tr>
        <w:tc>
          <w:tcPr>
            <w:tcW w:type="dxa" w:w="2268"/>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r>
              <w:t>智能助手</w:t>
            </w:r>
          </w:p>
        </w:tc>
        <w:tc>
          <w:tcPr>
            <w:tcW w:type="dxa" w:w="2268"/>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r>
              <w:t>用户问题、快捷问题、上下文类型</w:t>
            </w:r>
          </w:p>
        </w:tc>
        <w:tc>
          <w:tcPr>
            <w:tcW w:type="dxa" w:w="2268"/>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r>
              <w:t>先匹配 FAQ，再匹配库存/销售/商品规则；需要时调用业务服务；配置外部模型时按 OpenAI 格式调用，否则本地降级</w:t>
            </w:r>
          </w:p>
        </w:tc>
        <w:tc>
          <w:tcPr>
            <w:tcW w:type="dxa" w:w="2268"/>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r>
              <w:t>聊天回复、快捷推荐、发送状态</w:t>
            </w:r>
          </w:p>
        </w:tc>
      </w:tr>
      <w:tr>
        <w:tc>
          <w:tcPr>
            <w:tcW w:type="dxa" w:w="2268"/>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r>
              <w:t>公告管理</w:t>
            </w:r>
          </w:p>
        </w:tc>
        <w:tc>
          <w:tcPr>
            <w:tcW w:type="dxa" w:w="2268"/>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r>
              <w:t>标题、内容、目标角色、发布状态</w:t>
            </w:r>
          </w:p>
        </w:tc>
        <w:tc>
          <w:tcPr>
            <w:tcW w:type="dxa" w:w="2268"/>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r>
              <w:t>按角色过滤公告，记录单条已读和全部已读，统计未读数量</w:t>
            </w:r>
          </w:p>
        </w:tc>
        <w:tc>
          <w:tcPr>
            <w:tcW w:type="dxa" w:w="2268"/>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r>
              <w:t>公告列表、未读数、阅读记录</w:t>
            </w:r>
          </w:p>
        </w:tc>
      </w:tr>
      <w:tr>
        <w:tc>
          <w:tcPr>
            <w:tcW w:type="dxa" w:w="2268"/>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r>
              <w:t>二期模块</w:t>
            </w:r>
          </w:p>
        </w:tc>
        <w:tc>
          <w:tcPr>
            <w:tcW w:type="dxa" w:w="2268"/>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r>
              <w:t>会员、员工、供应商、系统参数字段</w:t>
            </w:r>
          </w:p>
        </w:tc>
        <w:tc>
          <w:tcPr>
            <w:tcW w:type="dxa" w:w="2268"/>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r>
              <w:t>CRUD、启停、字段校验、积分调整、参数维护</w:t>
            </w:r>
          </w:p>
        </w:tc>
        <w:tc>
          <w:tcPr>
            <w:tcW w:type="dxa" w:w="2268"/>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r>
              <w:t>主数据列表、状态变更、参数配置</w:t>
            </w:r>
          </w:p>
        </w:tc>
      </w:tr>
    </w:tbl>
    <w:p w14:paraId="3D4526FE">
      <w:pPr>
        <w:pStyle w:val="Heading2"/>
        <w:keepNext/>
        <w:shd w:val="clear" w:fill="1F4E79"/>
        <w:spacing w:before="220" w:after="160" w:line="360" w:lineRule="auto"/>
        <w:outlineLvl w:val="0"/>
        <w:rPr>
          <w:rFonts w:hint="eastAsia" w:ascii="宋体" w:hAnsi="宋体" w:eastAsia="宋体" w:cs="宋体"/>
        </w:rPr>
      </w:pPr>
      <w:r>
        <w:rPr>
          <w:rFonts w:hint="eastAsia" w:ascii="宋体" w:hAnsi="宋体" w:eastAsia="宋体" w:cs="宋体"/>
          <w:b/>
          <w:bCs/>
          <w:color w:val="FFFFFF"/>
          <w:sz w:val="28"/>
          <w:szCs w:val="28"/>
        </w:rPr>
        <w:t>5.2 界面详细设计</w:t>
      </w:r>
    </w:p>
    <w:p w14:paraId="64B8328B">
      <w:pPr>
        <w:pStyle w:val="Heading3"/>
        <w:spacing w:after="120" w:line="324" w:lineRule="auto"/>
        <w:ind w:firstLine="420"/>
        <w:rPr>
          <w:rFonts w:hint="eastAsia" w:ascii="宋体" w:hAnsi="宋体" w:eastAsia="宋体" w:cs="宋体"/>
        </w:rPr>
      </w:pPr>
      <w:r>
        <w:rPr>
          <w:rFonts w:hint="eastAsia" w:ascii="宋体" w:hAnsi="宋体" w:eastAsia="宋体" w:cs="宋体"/>
          <w:b/>
          <w:sz w:val="21"/>
        </w:rPr>
        <w:t>5.2.1 界面设计与交互方案详细论述</w:t>
      </w:r>
    </w:p>
    <w:p w14:paraId="695A3D6F">
      <w:pPr>
        <w:spacing w:after="120" w:line="324" w:lineRule="auto"/>
        <w:ind w:firstLine="420"/>
        <w:rPr>
          <w:rFonts w:hint="eastAsia" w:ascii="宋体" w:hAnsi="宋体" w:eastAsia="宋体" w:cs="宋体"/>
        </w:rPr>
      </w:pPr>
      <w:r>
        <w:rPr>
          <w:rFonts w:hint="eastAsia" w:ascii="宋体" w:hAnsi="宋体" w:eastAsia="宋体" w:cs="宋体"/>
          <w:b w:val="0"/>
          <w:sz w:val="21"/>
        </w:rPr>
        <w:t>界面设计阶段的目标是把前面确定的角色、用例和数据对象转化为用户可以操作的页面。超市管理系统不是展示型网站，而是高频管理工具，因此界面设计强调清晰、稳定、可扫描和少跳转。管理员需要在后台反复查询、筛选、新增、编辑和审核，收银员需要快速完成商品检索和结算，店长需要快速读取经营指标，财务人员需要完成对账和流水记录。不同角色的操作节奏不同，界面不能只追求装饰效果，而要服务业务效率。</w:t>
      </w:r>
    </w:p>
    <w:p w14:paraId="0DEBD525">
      <w:pPr>
        <w:spacing w:after="120" w:line="360" w:lineRule="auto"/>
        <w:ind w:firstLine="440"/>
        <w:rPr>
          <w:rFonts w:hint="eastAsia" w:ascii="宋体" w:hAnsi="宋体" w:eastAsia="宋体" w:cs="宋体"/>
        </w:rPr>
      </w:pPr>
      <w:r>
        <w:rPr>
          <w:rFonts w:ascii="宋体" w:hAnsi="宋体" w:eastAsia="宋体"/>
          <w:b w:val="0"/>
          <w:sz w:val="22"/>
        </w:rPr>
        <w:t>系统采用统一的 base.html 作为布局基础，侧边栏提供模块导航，顶部区域提供身份状态和全局操作，内容区根据模块展示表格、表单、卡片、图表或对话框。统一布局的好处是所有页面都有一致的导航和视觉结构，用户从商品管理切换到库存管理、财务管理或二期主数据时，不需要重新学习页面规则。对于课程报告来说，统一布局也让页面运行状态更整齐，能够证明系统不是零散页面拼接。</w:t>
      </w:r>
    </w:p>
    <w:p w14:paraId="328E4DB5">
      <w:pPr>
        <w:spacing w:after="120" w:line="324" w:lineRule="auto"/>
        <w:ind w:firstLine="420"/>
        <w:rPr>
          <w:rFonts w:hint="eastAsia" w:ascii="宋体" w:hAnsi="宋体" w:eastAsia="宋体" w:cs="宋体"/>
        </w:rPr>
      </w:pPr>
      <w:r>
        <w:rPr>
          <w:rFonts w:hint="eastAsia" w:ascii="宋体" w:hAnsi="宋体" w:eastAsia="宋体" w:cs="宋体"/>
          <w:b w:val="0"/>
          <w:sz w:val="21"/>
        </w:rPr>
        <w:t>登录页和注册页是系统入口。登录页只保留账号、密码和登录按钮，降低干扰；注册页区分普通账号注册和管理员申请，管理员申请需要后续审核，避免新注册账号直接获得后台权限。这个界面设计对应权限模型和管理员审核流程，也能解释为什么报告中有“管理员注册审核流程”和“账号认证用例图”。</w:t>
      </w:r>
    </w:p>
    <w:p w14:paraId="62311A0A">
      <w:pPr>
        <w:spacing w:after="120" w:line="324" w:lineRule="auto"/>
        <w:ind w:firstLine="420"/>
        <w:rPr>
          <w:rFonts w:hint="eastAsia" w:ascii="宋体" w:hAnsi="宋体" w:eastAsia="宋体" w:cs="宋体"/>
        </w:rPr>
      </w:pPr>
      <w:r>
        <w:rPr>
          <w:rFonts w:hint="eastAsia" w:ascii="宋体" w:hAnsi="宋体" w:eastAsia="宋体" w:cs="宋体"/>
          <w:b w:val="0"/>
          <w:sz w:val="21"/>
        </w:rPr>
        <w:t>首页概览承担业务入口和状态提示作用。它不需要堆满所有数据，而应突出常用模块、核心指标和系统入口。管理员进入后能快速访问商品、库存、销售、财务、公告、分析和二期主数据；收银员则应更容易进入收银台。首页的价值是把系统结构呈现给用户，让用户知道当前系统能做什么、下一步该进入哪个模块。</w:t>
      </w:r>
    </w:p>
    <w:p w14:paraId="6549699B">
      <w:pPr>
        <w:spacing w:after="120" w:line="324" w:lineRule="auto"/>
        <w:ind w:firstLine="420"/>
        <w:rPr>
          <w:rFonts w:hint="eastAsia" w:ascii="宋体" w:hAnsi="宋体" w:eastAsia="宋体" w:cs="宋体"/>
        </w:rPr>
      </w:pPr>
      <w:r>
        <w:rPr>
          <w:rFonts w:hint="eastAsia" w:ascii="宋体" w:hAnsi="宋体" w:eastAsia="宋体" w:cs="宋体"/>
          <w:b w:val="0"/>
          <w:sz w:val="21"/>
        </w:rPr>
        <w:t>商品管理界面是典型后台表格页面。页面需要支持搜索、分类筛选、状态筛选、新增商品、编辑商品、上下架、删除和批量导入。设计上把筛选区放在列表上方，把高频操作按钮放在明显位置，把新增和编辑放入弹窗或表单，减少跳转。商品编码、名称、分类、价格、库存状态和上下架状态需要在列表中清晰呈现，因为这些字段直接影响收银和库存。</w:t>
      </w:r>
    </w:p>
    <w:p w14:paraId="326F34D7">
      <w:pPr>
        <w:spacing w:after="120" w:line="324" w:lineRule="auto"/>
        <w:ind w:firstLine="420"/>
        <w:rPr>
          <w:rFonts w:hint="eastAsia" w:ascii="宋体" w:hAnsi="宋体" w:eastAsia="宋体" w:cs="宋体"/>
        </w:rPr>
      </w:pPr>
      <w:r>
        <w:rPr>
          <w:rFonts w:hint="eastAsia" w:ascii="宋体" w:hAnsi="宋体" w:eastAsia="宋体" w:cs="宋体"/>
          <w:b w:val="0"/>
          <w:sz w:val="21"/>
        </w:rPr>
        <w:t>库存管理界面强调数量和风险。页面需要展示库存摘要、库存列表、库存流水和低库存预警。库存数量、预警阈值、状态标签和流水记录应当易于扫描，低库存商品需要比普通商品更醒目。库存调整操作不能设计成随意覆盖数字，而应要求填写调整原因，并由服务层写入库存流水。这样界面设计和数据可追溯要求保持一致。</w:t>
      </w:r>
    </w:p>
    <w:p w14:paraId="1E569E8D">
      <w:pPr>
        <w:spacing w:after="120" w:line="324" w:lineRule="auto"/>
        <w:ind w:firstLine="420"/>
        <w:rPr>
          <w:rFonts w:hint="eastAsia" w:ascii="宋体" w:hAnsi="宋体" w:eastAsia="宋体" w:cs="宋体"/>
        </w:rPr>
      </w:pPr>
      <w:r>
        <w:rPr>
          <w:rFonts w:hint="eastAsia" w:ascii="宋体" w:hAnsi="宋体" w:eastAsia="宋体" w:cs="宋体"/>
          <w:b w:val="0"/>
          <w:sz w:val="21"/>
        </w:rPr>
        <w:t>收银台界面与后台管理页面不同，它的核心是速度和反馈。收银员需要快速搜索商品、加入购物车、调整数量、选择支付方式并提交结算。购物车区域要清楚显示商品、单价、数量、小计和合计金额，结算按钮要醒目，库存不足或商品不可售时要及时提示。收银台页面必须避免复杂的后台筛选和过多管理按钮，因为这些会影响前台操作效率。</w:t>
      </w:r>
    </w:p>
    <w:p w14:paraId="2A3C39D4">
      <w:pPr>
        <w:spacing w:after="120" w:line="324" w:lineRule="auto"/>
        <w:ind w:firstLine="420"/>
        <w:rPr>
          <w:rFonts w:hint="eastAsia" w:ascii="宋体" w:hAnsi="宋体" w:eastAsia="宋体" w:cs="宋体"/>
        </w:rPr>
      </w:pPr>
      <w:r>
        <w:rPr>
          <w:rFonts w:hint="eastAsia" w:ascii="宋体" w:hAnsi="宋体" w:eastAsia="宋体" w:cs="宋体"/>
          <w:b w:val="0"/>
          <w:sz w:val="21"/>
        </w:rPr>
        <w:t>销售管理和财务管理界面服务于查询、核对和追踪。销售管理页面需要按日期、状态、支付方式筛选订单，并能打开订单明细；财务管理页面需要展示收支流水、日结对账、应付账款和月结操作。设计上应把金额字段、业务日期、差异结果和状态放在用户容易看到的位置。对于财务页面，界面不能只展示表格，还要引导用户完成对账动作，例如输入实收金额并保存差异。</w:t>
      </w:r>
    </w:p>
    <w:p w14:paraId="4E8A35FE">
      <w:pPr>
        <w:spacing w:after="120" w:line="324" w:lineRule="auto"/>
        <w:ind w:firstLine="420"/>
        <w:rPr>
          <w:rFonts w:hint="eastAsia" w:ascii="宋体" w:hAnsi="宋体" w:eastAsia="宋体" w:cs="宋体"/>
        </w:rPr>
      </w:pPr>
      <w:r>
        <w:rPr>
          <w:rFonts w:hint="eastAsia" w:ascii="宋体" w:hAnsi="宋体" w:eastAsia="宋体" w:cs="宋体"/>
          <w:b w:val="0"/>
          <w:sz w:val="21"/>
        </w:rPr>
        <w:t>数据分析页面承担经营展示功能，适合使用图表呈现销售趋势、分类占比、热销商品和关键指标。图表设计的重点是让店长快速看出变化，而不是追求复杂特效。公告管理页面则需要支持公告标题、内容、目标角色、上线状态和已读情况，管理员可以发布和上下线公告，普通用户查看后可以标记已读。智能助手页面通过消息区、输入框和快捷问题降低查询门槛，适合处理库存、商品、销售和帮助类问题。</w:t>
      </w:r>
    </w:p>
    <w:p w14:paraId="16925DED">
      <w:pPr>
        <w:spacing w:after="120" w:line="324" w:lineRule="auto"/>
        <w:ind w:firstLine="420"/>
        <w:rPr>
          <w:rFonts w:hint="eastAsia" w:ascii="宋体" w:hAnsi="宋体" w:eastAsia="宋体" w:cs="宋体"/>
        </w:rPr>
      </w:pPr>
      <w:r>
        <w:rPr>
          <w:rFonts w:hint="eastAsia" w:ascii="宋体" w:hAnsi="宋体" w:eastAsia="宋体" w:cs="宋体"/>
          <w:b w:val="0"/>
          <w:sz w:val="21"/>
        </w:rPr>
        <w:t>二期主数据页面采用统一的 master_data.html 和 master-data.js 承载会员、员工、供应商和系统参数。这样设计有两个原因：第一，会员、员工和供应商都是表格加编辑弹窗的主数据维护场景，结构相似；第二，复用页面和脚本可以减少重复代码，让系统更容易维护。系统参数虽然与主数据不同，但也适合放在统一的设置界面中，便于管理员集中调整门店名称、预警阈值和小票文案。</w:t>
      </w:r>
    </w:p>
    <w:p w14:paraId="1F8DDC20">
      <w:pPr>
        <w:spacing w:after="120" w:line="360" w:lineRule="auto"/>
        <w:ind w:firstLine="440"/>
        <w:rPr>
          <w:rFonts w:hint="eastAsia" w:ascii="宋体" w:hAnsi="宋体" w:eastAsia="宋体" w:cs="宋体"/>
        </w:rPr>
      </w:pPr>
      <w:r>
        <w:rPr>
          <w:rFonts w:ascii="宋体" w:hAnsi="宋体" w:eastAsia="宋体"/>
          <w:b w:val="0"/>
          <w:sz w:val="22"/>
        </w:rPr>
        <w:t>界面设计还必须考虑权限边界。管理员可以看到完整后台入口，收银员主要看到收银相关功能，未登录用户不能访问业务页面。主要页面包括登录、首页、商品、库存、收银台、销售明细、财务、分析、公告、助手、会员、员工、供应商和系统参数。页面设计不仅要说明页面存在，还要说明页面中有哪些数据、按钮、表单和状态反馈，以及这些交互如何调用后端接口。</w:t>
      </w:r>
    </w:p>
    <w:p w14:paraId="4D1043E0">
      <w:pPr>
        <w:spacing w:after="120" w:line="360" w:lineRule="auto"/>
        <w:ind w:firstLine="440"/>
        <w:rPr>
          <w:rFonts w:hint="eastAsia" w:ascii="宋体" w:hAnsi="宋体" w:eastAsia="宋体" w:cs="宋体"/>
        </w:rPr>
      </w:pPr>
      <w:r>
        <w:rPr>
          <w:rFonts w:ascii="宋体" w:hAnsi="宋体" w:eastAsia="宋体"/>
          <w:b w:val="0"/>
          <w:sz w:val="22"/>
        </w:rPr>
        <w:t>综合来看，第 5 章界面设计不是单纯说明页面长什么样，而是说明页面如何服务角色、如何承载业务流程、如何与后端服务和数据模型对应。13 份界面设计文档、13 个主要模板和静态脚本共同说明前端实现范围。后续系统实施应以这些页面为入口，继续说明从用户操作到服务调用、数据落库和结果反馈的完整链路。</w:t>
      </w:r>
    </w:p>
    <w:p w14:paraId="4B1980CA">
      <w:pPr>
        <w:spacing w:before="0" w:after="105" w:line="330" w:lineRule="auto"/>
        <w:ind w:firstLine="420"/>
        <w:rPr>
          <w:rFonts w:hint="eastAsia" w:ascii="宋体" w:hAnsi="宋体" w:eastAsia="宋体" w:cs="宋体"/>
        </w:rPr>
      </w:pPr>
      <w:r>
        <w:rPr>
          <w:rFonts w:hint="eastAsia" w:ascii="宋体" w:hAnsi="宋体" w:eastAsia="宋体" w:cs="宋体"/>
          <w:sz w:val="22"/>
          <w:szCs w:val="22"/>
        </w:rPr>
        <w:t>界面采用 base.html 统一侧边栏、顶部栏、公告中心和主题初始化；业务页面按模块拆分为 Jinja2 模板，并由对应 JavaScript 文件处理筛选、分页、弹窗、图表渲染和接口调用。</w:t>
      </w:r>
    </w:p>
    <w:p w14:paraId="30DD83BF">
      <w:pPr>
        <w:spacing w:before="75" w:after="30"/>
        <w:jc w:val="center"/>
        <w:rPr>
          <w:rFonts w:hint="eastAsia" w:ascii="宋体" w:hAnsi="宋体" w:eastAsia="宋体" w:cs="宋体"/>
        </w:rPr>
      </w:pPr>
      <w:r>
        <w:rPr>
          <w:rFonts w:hint="eastAsia" w:ascii="宋体" w:hAnsi="宋体" w:eastAsia="宋体" w:cs="宋体"/>
        </w:rPr>
        <w:drawing>
          <wp:inline distT="0" distB="0" distL="0" distR="0">
            <wp:extent cx="6035040" cy="4358640"/>
            <wp:effectExtent l="0" t="0" r="0" b="0"/>
            <wp:docPr id="43" name="report_image4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report_image43.png"/>
                    <pic:cNvPicPr>
                      <a:picLocks noChangeAspect="1"/>
                    </pic:cNvPicPr>
                  </pic:nvPicPr>
                  <pic:blipFill>
                    <a:blip r:embed="rId48"/>
                    <a:stretch>
                      <a:fillRect/>
                    </a:stretch>
                  </pic:blipFill>
                  <pic:spPr>
                    <a:xfrm>
                      <a:off x="0" y="0"/>
                      <a:ext cx="6035040" cy="4359257"/>
                    </a:xfrm>
                    <a:prstGeom prst="rect">
                      <a:avLst/>
                    </a:prstGeom>
                  </pic:spPr>
                </pic:pic>
              </a:graphicData>
            </a:graphic>
          </wp:inline>
        </w:drawing>
      </w:r>
    </w:p>
    <w:p w14:paraId="69D9EF6B">
      <w:pPr>
        <w:spacing w:before="0" w:after="110" w:line="250" w:lineRule="auto"/>
        <w:jc w:val="center"/>
        <w:rPr>
          <w:rFonts w:hint="eastAsia" w:ascii="宋体" w:hAnsi="宋体" w:eastAsia="宋体" w:cs="宋体"/>
        </w:rPr>
      </w:pPr>
      <w:r>
        <w:rPr>
          <w:rFonts w:hint="eastAsia" w:ascii="宋体" w:hAnsi="宋体" w:eastAsia="宋体" w:cs="宋体"/>
          <w:i/>
          <w:iCs/>
          <w:sz w:val="17"/>
          <w:szCs w:val="17"/>
        </w:rPr>
        <w:t>图43  前端信息架构图</w:t>
      </w:r>
    </w:p>
    <w:tbl>
      <w:tblPr>
        <w:tblStyle w:val="2"/>
        <w:tblW w:w="9026" w:type="dxa"/>
        <w:tblInd w:w="0" w:type="dxa"/>
        <w:tblBorders>
          <w:top w:val="single" w:color="999999" w:sz="4" w:space="0"/>
          <w:left w:val="single" w:color="999999" w:sz="4" w:space="0"/>
          <w:bottom w:val="single" w:color="999999" w:sz="4" w:space="0"/>
          <w:right w:val="single" w:color="999999" w:sz="4" w:space="0"/>
          <w:insideH w:val="single" w:color="BBBBBB" w:sz="4" w:space="0"/>
          <w:insideV w:val="single" w:color="BBBBBB" w:sz="4" w:space="0"/>
        </w:tblBorders>
        <w:tblLayout w:type="autofit"/>
        <w:tblCellMar>
          <w:top w:w="70" w:type="dxa"/>
          <w:left w:w="90" w:type="dxa"/>
          <w:bottom w:w="70" w:type="dxa"/>
          <w:right w:w="90" w:type="dxa"/>
        </w:tblCellMar>
      </w:tblPr>
      <w:tblGrid>
        <w:gridCol w:w="1604"/>
        <w:gridCol w:w="3310"/>
        <w:gridCol w:w="4112"/>
      </w:tblGrid>
      <w:tr w14:paraId="45D0FE25">
        <w:tblPrEx>
          <w:tblBorders>
            <w:top w:val="single" w:color="999999" w:sz="4" w:space="0"/>
            <w:left w:val="single" w:color="999999" w:sz="4" w:space="0"/>
            <w:bottom w:val="single" w:color="999999" w:sz="4" w:space="0"/>
            <w:right w:val="single" w:color="999999" w:sz="4" w:space="0"/>
            <w:insideH w:val="single" w:color="BBBBBB" w:sz="4" w:space="0"/>
            <w:insideV w:val="single" w:color="BBBBBB" w:sz="4" w:space="0"/>
          </w:tblBorders>
          <w:tblCellMar>
            <w:top w:w="70" w:type="dxa"/>
            <w:left w:w="90" w:type="dxa"/>
            <w:bottom w:w="70" w:type="dxa"/>
            <w:right w:w="90" w:type="dxa"/>
          </w:tblCellMar>
        </w:tblPrEx>
        <w:tc>
          <w:tcPr>
            <w:tcW w:w="1600" w:type="dxa"/>
            <w:shd w:val="clear" w:color="auto" w:fill="D9EAF7"/>
          </w:tcPr>
          <w:p w14:paraId="2E43E9C5">
            <w:pPr>
              <w:spacing w:before="0" w:after="35" w:line="270" w:lineRule="auto"/>
              <w:rPr>
                <w:rFonts w:hint="eastAsia" w:ascii="宋体" w:hAnsi="宋体" w:eastAsia="宋体" w:cs="宋体"/>
              </w:rPr>
            </w:pPr>
            <w:r>
              <w:rPr>
                <w:rFonts w:hint="eastAsia" w:ascii="宋体" w:hAnsi="宋体" w:eastAsia="宋体" w:cs="宋体"/>
                <w:b/>
                <w:bCs/>
                <w:color w:val="1F4E79"/>
                <w:sz w:val="18"/>
                <w:szCs w:val="18"/>
              </w:rPr>
              <w:t>界面</w:t>
            </w:r>
          </w:p>
        </w:tc>
        <w:tc>
          <w:tcPr>
            <w:tcW w:w="3300" w:type="dxa"/>
            <w:shd w:val="clear" w:color="auto" w:fill="D9EAF7"/>
          </w:tcPr>
          <w:p w14:paraId="0450B339">
            <w:pPr>
              <w:spacing w:before="0" w:after="35" w:line="270" w:lineRule="auto"/>
              <w:rPr>
                <w:rFonts w:hint="eastAsia" w:ascii="宋体" w:hAnsi="宋体" w:eastAsia="宋体" w:cs="宋体"/>
              </w:rPr>
            </w:pPr>
            <w:r>
              <w:rPr>
                <w:rFonts w:hint="eastAsia" w:ascii="宋体" w:hAnsi="宋体" w:eastAsia="宋体" w:cs="宋体"/>
                <w:b/>
                <w:bCs/>
                <w:color w:val="1F4E79"/>
                <w:sz w:val="18"/>
                <w:szCs w:val="18"/>
              </w:rPr>
              <w:t>模板/脚本</w:t>
            </w:r>
          </w:p>
        </w:tc>
        <w:tc>
          <w:tcPr>
            <w:tcW w:w="4100" w:type="dxa"/>
            <w:shd w:val="clear" w:color="auto" w:fill="D9EAF7"/>
          </w:tcPr>
          <w:p w14:paraId="44746CDF">
            <w:pPr>
              <w:spacing w:before="0" w:after="35" w:line="270" w:lineRule="auto"/>
              <w:rPr>
                <w:rFonts w:hint="eastAsia" w:ascii="宋体" w:hAnsi="宋体" w:eastAsia="宋体" w:cs="宋体"/>
              </w:rPr>
            </w:pPr>
            <w:r>
              <w:rPr>
                <w:rFonts w:hint="eastAsia" w:ascii="宋体" w:hAnsi="宋体" w:eastAsia="宋体" w:cs="宋体"/>
                <w:b/>
                <w:bCs/>
                <w:color w:val="1F4E79"/>
                <w:sz w:val="18"/>
                <w:szCs w:val="18"/>
              </w:rPr>
              <w:t>设计职责</w:t>
            </w:r>
          </w:p>
        </w:tc>
      </w:tr>
      <w:tr w14:paraId="03C36604">
        <w:tblPrEx>
          <w:tblBorders>
            <w:top w:val="single" w:color="999999" w:sz="4" w:space="0"/>
            <w:left w:val="single" w:color="999999" w:sz="4" w:space="0"/>
            <w:bottom w:val="single" w:color="999999" w:sz="4" w:space="0"/>
            <w:right w:val="single" w:color="999999" w:sz="4" w:space="0"/>
            <w:insideH w:val="single" w:color="BBBBBB" w:sz="4" w:space="0"/>
            <w:insideV w:val="single" w:color="BBBBBB" w:sz="4" w:space="0"/>
          </w:tblBorders>
          <w:tblCellMar>
            <w:top w:w="70" w:type="dxa"/>
            <w:left w:w="90" w:type="dxa"/>
            <w:bottom w:w="70" w:type="dxa"/>
            <w:right w:w="90" w:type="dxa"/>
          </w:tblCellMar>
        </w:tblPrEx>
        <w:tc>
          <w:tcPr>
            <w:tcW w:w="1600" w:type="dxa"/>
          </w:tcPr>
          <w:p w14:paraId="13AD6043">
            <w:pPr>
              <w:spacing w:before="0" w:after="35" w:line="270" w:lineRule="auto"/>
              <w:rPr>
                <w:rFonts w:hint="eastAsia" w:ascii="宋体" w:hAnsi="宋体" w:eastAsia="宋体" w:cs="宋体"/>
              </w:rPr>
            </w:pPr>
            <w:r>
              <w:rPr>
                <w:rFonts w:hint="eastAsia" w:ascii="宋体" w:hAnsi="宋体" w:eastAsia="宋体" w:cs="宋体"/>
                <w:sz w:val="18"/>
                <w:szCs w:val="18"/>
              </w:rPr>
              <w:t>登录/注册</w:t>
            </w:r>
          </w:p>
        </w:tc>
        <w:tc>
          <w:tcPr>
            <w:tcW w:w="3300" w:type="dxa"/>
          </w:tcPr>
          <w:p w14:paraId="23C0D94D">
            <w:pPr>
              <w:spacing w:before="0" w:after="35" w:line="270" w:lineRule="auto"/>
              <w:rPr>
                <w:rFonts w:hint="eastAsia" w:ascii="宋体" w:hAnsi="宋体" w:eastAsia="宋体" w:cs="宋体"/>
              </w:rPr>
            </w:pPr>
            <w:r>
              <w:rPr>
                <w:rFonts w:hint="eastAsia" w:ascii="宋体" w:hAnsi="宋体" w:eastAsia="宋体" w:cs="宋体"/>
                <w:sz w:val="18"/>
                <w:szCs w:val="18"/>
              </w:rPr>
              <w:t>login.html、register.html、auth-login.js、auth-register.js</w:t>
            </w:r>
          </w:p>
        </w:tc>
        <w:tc>
          <w:tcPr>
            <w:tcW w:w="4100" w:type="dxa"/>
          </w:tcPr>
          <w:p w14:paraId="02A5BDE9">
            <w:pPr>
              <w:spacing w:before="0" w:after="35" w:line="270" w:lineRule="auto"/>
              <w:rPr>
                <w:rFonts w:hint="eastAsia" w:ascii="宋体" w:hAnsi="宋体" w:eastAsia="宋体" w:cs="宋体"/>
              </w:rPr>
            </w:pPr>
            <w:r>
              <w:rPr>
                <w:rFonts w:hint="eastAsia" w:ascii="宋体" w:hAnsi="宋体" w:eastAsia="宋体" w:cs="宋体"/>
                <w:sz w:val="18"/>
                <w:szCs w:val="18"/>
              </w:rPr>
              <w:t>账号登录、角色提示、管理员注册申请</w:t>
            </w:r>
          </w:p>
        </w:tc>
      </w:tr>
      <w:tr w14:paraId="17C2F7FD">
        <w:tblPrEx>
          <w:tblBorders>
            <w:top w:val="single" w:color="999999" w:sz="4" w:space="0"/>
            <w:left w:val="single" w:color="999999" w:sz="4" w:space="0"/>
            <w:bottom w:val="single" w:color="999999" w:sz="4" w:space="0"/>
            <w:right w:val="single" w:color="999999" w:sz="4" w:space="0"/>
            <w:insideH w:val="single" w:color="BBBBBB" w:sz="4" w:space="0"/>
            <w:insideV w:val="single" w:color="BBBBBB" w:sz="4" w:space="0"/>
          </w:tblBorders>
          <w:tblCellMar>
            <w:top w:w="70" w:type="dxa"/>
            <w:left w:w="90" w:type="dxa"/>
            <w:bottom w:w="70" w:type="dxa"/>
            <w:right w:w="90" w:type="dxa"/>
          </w:tblCellMar>
        </w:tblPrEx>
        <w:tc>
          <w:tcPr>
            <w:tcW w:w="1600" w:type="dxa"/>
            <w:shd w:val="clear" w:color="auto" w:fill="F7FBFF"/>
          </w:tcPr>
          <w:p w14:paraId="1EE3B7DB">
            <w:pPr>
              <w:spacing w:before="0" w:after="35" w:line="270" w:lineRule="auto"/>
              <w:rPr>
                <w:rFonts w:hint="eastAsia" w:ascii="宋体" w:hAnsi="宋体" w:eastAsia="宋体" w:cs="宋体"/>
              </w:rPr>
            </w:pPr>
            <w:r>
              <w:rPr>
                <w:rFonts w:hint="eastAsia" w:ascii="宋体" w:hAnsi="宋体" w:eastAsia="宋体" w:cs="宋体"/>
                <w:sz w:val="18"/>
                <w:szCs w:val="18"/>
              </w:rPr>
              <w:t>首页</w:t>
            </w:r>
          </w:p>
        </w:tc>
        <w:tc>
          <w:tcPr>
            <w:tcW w:w="3300" w:type="dxa"/>
            <w:shd w:val="clear" w:color="auto" w:fill="F7FBFF"/>
          </w:tcPr>
          <w:p w14:paraId="167278CC">
            <w:pPr>
              <w:spacing w:before="0" w:after="35" w:line="270" w:lineRule="auto"/>
              <w:rPr>
                <w:rFonts w:hint="eastAsia" w:ascii="宋体" w:hAnsi="宋体" w:eastAsia="宋体" w:cs="宋体"/>
              </w:rPr>
            </w:pPr>
            <w:r>
              <w:rPr>
                <w:rFonts w:hint="eastAsia" w:ascii="宋体" w:hAnsi="宋体" w:eastAsia="宋体" w:cs="宋体"/>
                <w:sz w:val="18"/>
                <w:szCs w:val="18"/>
              </w:rPr>
              <w:t>index.html、base.js</w:t>
            </w:r>
          </w:p>
        </w:tc>
        <w:tc>
          <w:tcPr>
            <w:tcW w:w="4100" w:type="dxa"/>
            <w:shd w:val="clear" w:color="auto" w:fill="F7FBFF"/>
          </w:tcPr>
          <w:p w14:paraId="6EFFAC94">
            <w:pPr>
              <w:spacing w:before="0" w:after="35" w:line="270" w:lineRule="auto"/>
              <w:rPr>
                <w:rFonts w:hint="eastAsia" w:ascii="宋体" w:hAnsi="宋体" w:eastAsia="宋体" w:cs="宋体"/>
              </w:rPr>
            </w:pPr>
            <w:r>
              <w:rPr>
                <w:rFonts w:hint="eastAsia" w:ascii="宋体" w:hAnsi="宋体" w:eastAsia="宋体" w:cs="宋体"/>
                <w:sz w:val="18"/>
                <w:szCs w:val="18"/>
              </w:rPr>
              <w:t>后台入口、导航、公告中心、主题切换</w:t>
            </w:r>
          </w:p>
        </w:tc>
      </w:tr>
      <w:tr w14:paraId="045C31D8">
        <w:tblPrEx>
          <w:tblBorders>
            <w:top w:val="single" w:color="999999" w:sz="4" w:space="0"/>
            <w:left w:val="single" w:color="999999" w:sz="4" w:space="0"/>
            <w:bottom w:val="single" w:color="999999" w:sz="4" w:space="0"/>
            <w:right w:val="single" w:color="999999" w:sz="4" w:space="0"/>
            <w:insideH w:val="single" w:color="BBBBBB" w:sz="4" w:space="0"/>
            <w:insideV w:val="single" w:color="BBBBBB" w:sz="4" w:space="0"/>
          </w:tblBorders>
          <w:tblCellMar>
            <w:top w:w="70" w:type="dxa"/>
            <w:left w:w="90" w:type="dxa"/>
            <w:bottom w:w="70" w:type="dxa"/>
            <w:right w:w="90" w:type="dxa"/>
          </w:tblCellMar>
        </w:tblPrEx>
        <w:tc>
          <w:tcPr>
            <w:tcW w:w="1600" w:type="dxa"/>
          </w:tcPr>
          <w:p w14:paraId="635CDE00">
            <w:pPr>
              <w:spacing w:before="0" w:after="35" w:line="270" w:lineRule="auto"/>
              <w:rPr>
                <w:rFonts w:hint="eastAsia" w:ascii="宋体" w:hAnsi="宋体" w:eastAsia="宋体" w:cs="宋体"/>
              </w:rPr>
            </w:pPr>
            <w:r>
              <w:rPr>
                <w:rFonts w:hint="eastAsia" w:ascii="宋体" w:hAnsi="宋体" w:eastAsia="宋体" w:cs="宋体"/>
                <w:sz w:val="18"/>
                <w:szCs w:val="18"/>
              </w:rPr>
              <w:t>商品管理</w:t>
            </w:r>
          </w:p>
        </w:tc>
        <w:tc>
          <w:tcPr>
            <w:tcW w:w="3300" w:type="dxa"/>
          </w:tcPr>
          <w:p w14:paraId="348A5B9F">
            <w:pPr>
              <w:spacing w:before="0" w:after="35" w:line="270" w:lineRule="auto"/>
              <w:rPr>
                <w:rFonts w:hint="eastAsia" w:ascii="宋体" w:hAnsi="宋体" w:eastAsia="宋体" w:cs="宋体"/>
              </w:rPr>
            </w:pPr>
            <w:r>
              <w:rPr>
                <w:rFonts w:hint="eastAsia" w:ascii="宋体" w:hAnsi="宋体" w:eastAsia="宋体" w:cs="宋体"/>
                <w:sz w:val="18"/>
                <w:szCs w:val="18"/>
              </w:rPr>
              <w:t>product.html、product.js</w:t>
            </w:r>
          </w:p>
        </w:tc>
        <w:tc>
          <w:tcPr>
            <w:tcW w:w="4100" w:type="dxa"/>
          </w:tcPr>
          <w:p w14:paraId="35866CA2">
            <w:pPr>
              <w:spacing w:before="0" w:after="35" w:line="270" w:lineRule="auto"/>
              <w:rPr>
                <w:rFonts w:hint="eastAsia" w:ascii="宋体" w:hAnsi="宋体" w:eastAsia="宋体" w:cs="宋体"/>
              </w:rPr>
            </w:pPr>
            <w:r>
              <w:rPr>
                <w:rFonts w:hint="eastAsia" w:ascii="宋体" w:hAnsi="宋体" w:eastAsia="宋体" w:cs="宋体"/>
                <w:sz w:val="18"/>
                <w:szCs w:val="18"/>
              </w:rPr>
              <w:t>商品列表、筛选、弹窗、上下架、导入</w:t>
            </w:r>
          </w:p>
        </w:tc>
      </w:tr>
      <w:tr w14:paraId="5BE6A4FA">
        <w:tblPrEx>
          <w:tblBorders>
            <w:top w:val="single" w:color="999999" w:sz="4" w:space="0"/>
            <w:left w:val="single" w:color="999999" w:sz="4" w:space="0"/>
            <w:bottom w:val="single" w:color="999999" w:sz="4" w:space="0"/>
            <w:right w:val="single" w:color="999999" w:sz="4" w:space="0"/>
            <w:insideH w:val="single" w:color="BBBBBB" w:sz="4" w:space="0"/>
            <w:insideV w:val="single" w:color="BBBBBB" w:sz="4" w:space="0"/>
          </w:tblBorders>
          <w:tblCellMar>
            <w:top w:w="70" w:type="dxa"/>
            <w:left w:w="90" w:type="dxa"/>
            <w:bottom w:w="70" w:type="dxa"/>
            <w:right w:w="90" w:type="dxa"/>
          </w:tblCellMar>
        </w:tblPrEx>
        <w:tc>
          <w:tcPr>
            <w:tcW w:w="1600" w:type="dxa"/>
            <w:shd w:val="clear" w:color="auto" w:fill="F7FBFF"/>
          </w:tcPr>
          <w:p w14:paraId="2DEA6399">
            <w:pPr>
              <w:spacing w:before="0" w:after="35" w:line="270" w:lineRule="auto"/>
              <w:rPr>
                <w:rFonts w:hint="eastAsia" w:ascii="宋体" w:hAnsi="宋体" w:eastAsia="宋体" w:cs="宋体"/>
              </w:rPr>
            </w:pPr>
            <w:r>
              <w:rPr>
                <w:rFonts w:hint="eastAsia" w:ascii="宋体" w:hAnsi="宋体" w:eastAsia="宋体" w:cs="宋体"/>
                <w:sz w:val="18"/>
                <w:szCs w:val="18"/>
              </w:rPr>
              <w:t>库存管理</w:t>
            </w:r>
          </w:p>
        </w:tc>
        <w:tc>
          <w:tcPr>
            <w:tcW w:w="3300" w:type="dxa"/>
            <w:shd w:val="clear" w:color="auto" w:fill="F7FBFF"/>
          </w:tcPr>
          <w:p w14:paraId="0C1B2D00">
            <w:pPr>
              <w:spacing w:before="0" w:after="35" w:line="270" w:lineRule="auto"/>
              <w:rPr>
                <w:rFonts w:hint="eastAsia" w:ascii="宋体" w:hAnsi="宋体" w:eastAsia="宋体" w:cs="宋体"/>
              </w:rPr>
            </w:pPr>
            <w:r>
              <w:rPr>
                <w:rFonts w:hint="eastAsia" w:ascii="宋体" w:hAnsi="宋体" w:eastAsia="宋体" w:cs="宋体"/>
                <w:sz w:val="18"/>
                <w:szCs w:val="18"/>
              </w:rPr>
              <w:t>inventory.html、inventory.js</w:t>
            </w:r>
          </w:p>
        </w:tc>
        <w:tc>
          <w:tcPr>
            <w:tcW w:w="4100" w:type="dxa"/>
            <w:shd w:val="clear" w:color="auto" w:fill="F7FBFF"/>
          </w:tcPr>
          <w:p w14:paraId="7B2CEA17">
            <w:pPr>
              <w:spacing w:before="0" w:after="35" w:line="270" w:lineRule="auto"/>
              <w:rPr>
                <w:rFonts w:hint="eastAsia" w:ascii="宋体" w:hAnsi="宋体" w:eastAsia="宋体" w:cs="宋体"/>
              </w:rPr>
            </w:pPr>
            <w:r>
              <w:rPr>
                <w:rFonts w:hint="eastAsia" w:ascii="宋体" w:hAnsi="宋体" w:eastAsia="宋体" w:cs="宋体"/>
                <w:sz w:val="18"/>
                <w:szCs w:val="18"/>
              </w:rPr>
              <w:t>库存汇总、流水、低库存/缺货预警</w:t>
            </w:r>
          </w:p>
        </w:tc>
      </w:tr>
      <w:tr w14:paraId="027CA2A9">
        <w:tblPrEx>
          <w:tblBorders>
            <w:top w:val="single" w:color="999999" w:sz="4" w:space="0"/>
            <w:left w:val="single" w:color="999999" w:sz="4" w:space="0"/>
            <w:bottom w:val="single" w:color="999999" w:sz="4" w:space="0"/>
            <w:right w:val="single" w:color="999999" w:sz="4" w:space="0"/>
            <w:insideH w:val="single" w:color="BBBBBB" w:sz="4" w:space="0"/>
            <w:insideV w:val="single" w:color="BBBBBB" w:sz="4" w:space="0"/>
          </w:tblBorders>
          <w:tblCellMar>
            <w:top w:w="70" w:type="dxa"/>
            <w:left w:w="90" w:type="dxa"/>
            <w:bottom w:w="70" w:type="dxa"/>
            <w:right w:w="90" w:type="dxa"/>
          </w:tblCellMar>
        </w:tblPrEx>
        <w:tc>
          <w:tcPr>
            <w:tcW w:w="1600" w:type="dxa"/>
          </w:tcPr>
          <w:p w14:paraId="094C96AB">
            <w:pPr>
              <w:spacing w:before="0" w:after="35" w:line="270" w:lineRule="auto"/>
              <w:rPr>
                <w:rFonts w:hint="eastAsia" w:ascii="宋体" w:hAnsi="宋体" w:eastAsia="宋体" w:cs="宋体"/>
              </w:rPr>
            </w:pPr>
            <w:r>
              <w:rPr>
                <w:rFonts w:hint="eastAsia" w:ascii="宋体" w:hAnsi="宋体" w:eastAsia="宋体" w:cs="宋体"/>
                <w:sz w:val="18"/>
                <w:szCs w:val="18"/>
              </w:rPr>
              <w:t>收银台</w:t>
            </w:r>
          </w:p>
        </w:tc>
        <w:tc>
          <w:tcPr>
            <w:tcW w:w="3300" w:type="dxa"/>
          </w:tcPr>
          <w:p w14:paraId="7ED9219F">
            <w:pPr>
              <w:spacing w:before="0" w:after="35" w:line="270" w:lineRule="auto"/>
              <w:rPr>
                <w:rFonts w:hint="eastAsia" w:ascii="宋体" w:hAnsi="宋体" w:eastAsia="宋体" w:cs="宋体"/>
              </w:rPr>
            </w:pPr>
            <w:r>
              <w:rPr>
                <w:rFonts w:hint="eastAsia" w:ascii="宋体" w:hAnsi="宋体" w:eastAsia="宋体" w:cs="宋体"/>
                <w:sz w:val="18"/>
                <w:szCs w:val="18"/>
              </w:rPr>
              <w:t>cashier.html、cashier.js</w:t>
            </w:r>
          </w:p>
        </w:tc>
        <w:tc>
          <w:tcPr>
            <w:tcW w:w="4100" w:type="dxa"/>
          </w:tcPr>
          <w:p w14:paraId="1D91F9E1">
            <w:pPr>
              <w:spacing w:before="0" w:after="35" w:line="270" w:lineRule="auto"/>
              <w:rPr>
                <w:rFonts w:hint="eastAsia" w:ascii="宋体" w:hAnsi="宋体" w:eastAsia="宋体" w:cs="宋体"/>
              </w:rPr>
            </w:pPr>
            <w:r>
              <w:rPr>
                <w:rFonts w:hint="eastAsia" w:ascii="宋体" w:hAnsi="宋体" w:eastAsia="宋体" w:cs="宋体"/>
                <w:sz w:val="18"/>
                <w:szCs w:val="18"/>
              </w:rPr>
              <w:t>商品检索、购物车、结算、打印</w:t>
            </w:r>
          </w:p>
        </w:tc>
      </w:tr>
      <w:tr w14:paraId="1D5D0C7C">
        <w:tblPrEx>
          <w:tblBorders>
            <w:top w:val="single" w:color="999999" w:sz="4" w:space="0"/>
            <w:left w:val="single" w:color="999999" w:sz="4" w:space="0"/>
            <w:bottom w:val="single" w:color="999999" w:sz="4" w:space="0"/>
            <w:right w:val="single" w:color="999999" w:sz="4" w:space="0"/>
            <w:insideH w:val="single" w:color="BBBBBB" w:sz="4" w:space="0"/>
            <w:insideV w:val="single" w:color="BBBBBB" w:sz="4" w:space="0"/>
          </w:tblBorders>
          <w:tblCellMar>
            <w:top w:w="70" w:type="dxa"/>
            <w:left w:w="90" w:type="dxa"/>
            <w:bottom w:w="70" w:type="dxa"/>
            <w:right w:w="90" w:type="dxa"/>
          </w:tblCellMar>
        </w:tblPrEx>
        <w:tc>
          <w:tcPr>
            <w:tcW w:w="1600" w:type="dxa"/>
            <w:shd w:val="clear" w:color="auto" w:fill="F7FBFF"/>
          </w:tcPr>
          <w:p w14:paraId="1116147C">
            <w:pPr>
              <w:spacing w:before="0" w:after="35" w:line="270" w:lineRule="auto"/>
              <w:rPr>
                <w:rFonts w:hint="eastAsia" w:ascii="宋体" w:hAnsi="宋体" w:eastAsia="宋体" w:cs="宋体"/>
              </w:rPr>
            </w:pPr>
            <w:r>
              <w:rPr>
                <w:rFonts w:hint="eastAsia" w:ascii="宋体" w:hAnsi="宋体" w:eastAsia="宋体" w:cs="宋体"/>
                <w:sz w:val="18"/>
                <w:szCs w:val="18"/>
              </w:rPr>
              <w:t>销售管理</w:t>
            </w:r>
          </w:p>
        </w:tc>
        <w:tc>
          <w:tcPr>
            <w:tcW w:w="3300" w:type="dxa"/>
            <w:shd w:val="clear" w:color="auto" w:fill="F7FBFF"/>
          </w:tcPr>
          <w:p w14:paraId="35677C3A">
            <w:pPr>
              <w:spacing w:before="0" w:after="35" w:line="270" w:lineRule="auto"/>
              <w:rPr>
                <w:rFonts w:hint="eastAsia" w:ascii="宋体" w:hAnsi="宋体" w:eastAsia="宋体" w:cs="宋体"/>
              </w:rPr>
            </w:pPr>
            <w:r>
              <w:rPr>
                <w:rFonts w:hint="eastAsia" w:ascii="宋体" w:hAnsi="宋体" w:eastAsia="宋体" w:cs="宋体"/>
                <w:sz w:val="18"/>
                <w:szCs w:val="18"/>
              </w:rPr>
              <w:t>sales.html、sales.js</w:t>
            </w:r>
          </w:p>
        </w:tc>
        <w:tc>
          <w:tcPr>
            <w:tcW w:w="4100" w:type="dxa"/>
            <w:shd w:val="clear" w:color="auto" w:fill="F7FBFF"/>
          </w:tcPr>
          <w:p w14:paraId="6535D7FD">
            <w:pPr>
              <w:spacing w:before="0" w:after="35" w:line="270" w:lineRule="auto"/>
              <w:rPr>
                <w:rFonts w:hint="eastAsia" w:ascii="宋体" w:hAnsi="宋体" w:eastAsia="宋体" w:cs="宋体"/>
              </w:rPr>
            </w:pPr>
            <w:r>
              <w:rPr>
                <w:rFonts w:hint="eastAsia" w:ascii="宋体" w:hAnsi="宋体" w:eastAsia="宋体" w:cs="宋体"/>
                <w:sz w:val="18"/>
                <w:szCs w:val="18"/>
              </w:rPr>
              <w:t>订单查询、分页、明细弹窗</w:t>
            </w:r>
          </w:p>
        </w:tc>
      </w:tr>
      <w:tr w14:paraId="06FD21D4">
        <w:tblPrEx>
          <w:tblBorders>
            <w:top w:val="single" w:color="999999" w:sz="4" w:space="0"/>
            <w:left w:val="single" w:color="999999" w:sz="4" w:space="0"/>
            <w:bottom w:val="single" w:color="999999" w:sz="4" w:space="0"/>
            <w:right w:val="single" w:color="999999" w:sz="4" w:space="0"/>
            <w:insideH w:val="single" w:color="BBBBBB" w:sz="4" w:space="0"/>
            <w:insideV w:val="single" w:color="BBBBBB" w:sz="4" w:space="0"/>
          </w:tblBorders>
          <w:tblCellMar>
            <w:top w:w="70" w:type="dxa"/>
            <w:left w:w="90" w:type="dxa"/>
            <w:bottom w:w="70" w:type="dxa"/>
            <w:right w:w="90" w:type="dxa"/>
          </w:tblCellMar>
        </w:tblPrEx>
        <w:tc>
          <w:tcPr>
            <w:tcW w:w="1600" w:type="dxa"/>
          </w:tcPr>
          <w:p w14:paraId="2823135D">
            <w:pPr>
              <w:spacing w:before="0" w:after="35" w:line="270" w:lineRule="auto"/>
              <w:rPr>
                <w:rFonts w:hint="eastAsia" w:ascii="宋体" w:hAnsi="宋体" w:eastAsia="宋体" w:cs="宋体"/>
              </w:rPr>
            </w:pPr>
            <w:r>
              <w:rPr>
                <w:rFonts w:hint="eastAsia" w:ascii="宋体" w:hAnsi="宋体" w:eastAsia="宋体" w:cs="宋体"/>
                <w:sz w:val="18"/>
                <w:szCs w:val="18"/>
              </w:rPr>
              <w:t>财务管理</w:t>
            </w:r>
          </w:p>
        </w:tc>
        <w:tc>
          <w:tcPr>
            <w:tcW w:w="3300" w:type="dxa"/>
          </w:tcPr>
          <w:p w14:paraId="4CCCD65D">
            <w:pPr>
              <w:spacing w:before="0" w:after="35" w:line="270" w:lineRule="auto"/>
              <w:rPr>
                <w:rFonts w:hint="eastAsia" w:ascii="宋体" w:hAnsi="宋体" w:eastAsia="宋体" w:cs="宋体"/>
              </w:rPr>
            </w:pPr>
            <w:r>
              <w:rPr>
                <w:rFonts w:hint="eastAsia" w:ascii="宋体" w:hAnsi="宋体" w:eastAsia="宋体" w:cs="宋体"/>
                <w:sz w:val="18"/>
                <w:szCs w:val="18"/>
              </w:rPr>
              <w:t>finance.html、finance.js</w:t>
            </w:r>
          </w:p>
        </w:tc>
        <w:tc>
          <w:tcPr>
            <w:tcW w:w="4100" w:type="dxa"/>
          </w:tcPr>
          <w:p w14:paraId="16238F5C">
            <w:pPr>
              <w:spacing w:before="0" w:after="35" w:line="270" w:lineRule="auto"/>
              <w:rPr>
                <w:rFonts w:hint="eastAsia" w:ascii="宋体" w:hAnsi="宋体" w:eastAsia="宋体" w:cs="宋体"/>
              </w:rPr>
            </w:pPr>
            <w:r>
              <w:rPr>
                <w:rFonts w:hint="eastAsia" w:ascii="宋体" w:hAnsi="宋体" w:eastAsia="宋体" w:cs="宋体"/>
                <w:sz w:val="18"/>
                <w:szCs w:val="18"/>
              </w:rPr>
              <w:t>收支流水、日结对账、应付、月结</w:t>
            </w:r>
          </w:p>
        </w:tc>
      </w:tr>
      <w:tr w14:paraId="5B00B974">
        <w:tblPrEx>
          <w:tblBorders>
            <w:top w:val="single" w:color="999999" w:sz="4" w:space="0"/>
            <w:left w:val="single" w:color="999999" w:sz="4" w:space="0"/>
            <w:bottom w:val="single" w:color="999999" w:sz="4" w:space="0"/>
            <w:right w:val="single" w:color="999999" w:sz="4" w:space="0"/>
            <w:insideH w:val="single" w:color="BBBBBB" w:sz="4" w:space="0"/>
            <w:insideV w:val="single" w:color="BBBBBB" w:sz="4" w:space="0"/>
          </w:tblBorders>
          <w:tblCellMar>
            <w:top w:w="70" w:type="dxa"/>
            <w:left w:w="90" w:type="dxa"/>
            <w:bottom w:w="70" w:type="dxa"/>
            <w:right w:w="90" w:type="dxa"/>
          </w:tblCellMar>
        </w:tblPrEx>
        <w:tc>
          <w:tcPr>
            <w:tcW w:w="1600" w:type="dxa"/>
            <w:shd w:val="clear" w:color="auto" w:fill="F7FBFF"/>
          </w:tcPr>
          <w:p w14:paraId="6FE9C810">
            <w:pPr>
              <w:spacing w:before="0" w:after="35" w:line="270" w:lineRule="auto"/>
              <w:rPr>
                <w:rFonts w:hint="eastAsia" w:ascii="宋体" w:hAnsi="宋体" w:eastAsia="宋体" w:cs="宋体"/>
              </w:rPr>
            </w:pPr>
            <w:r>
              <w:rPr>
                <w:rFonts w:hint="eastAsia" w:ascii="宋体" w:hAnsi="宋体" w:eastAsia="宋体" w:cs="宋体"/>
                <w:sz w:val="18"/>
                <w:szCs w:val="18"/>
              </w:rPr>
              <w:t>数据分析</w:t>
            </w:r>
          </w:p>
        </w:tc>
        <w:tc>
          <w:tcPr>
            <w:tcW w:w="3300" w:type="dxa"/>
            <w:shd w:val="clear" w:color="auto" w:fill="F7FBFF"/>
          </w:tcPr>
          <w:p w14:paraId="735AA415">
            <w:pPr>
              <w:spacing w:before="0" w:after="35" w:line="270" w:lineRule="auto"/>
              <w:rPr>
                <w:rFonts w:hint="eastAsia" w:ascii="宋体" w:hAnsi="宋体" w:eastAsia="宋体" w:cs="宋体"/>
              </w:rPr>
            </w:pPr>
            <w:r>
              <w:rPr>
                <w:rFonts w:hint="eastAsia" w:ascii="宋体" w:hAnsi="宋体" w:eastAsia="宋体" w:cs="宋体"/>
                <w:sz w:val="18"/>
                <w:szCs w:val="18"/>
              </w:rPr>
              <w:t>analytics.html、analytics.js</w:t>
            </w:r>
          </w:p>
        </w:tc>
        <w:tc>
          <w:tcPr>
            <w:tcW w:w="4100" w:type="dxa"/>
            <w:shd w:val="clear" w:color="auto" w:fill="F7FBFF"/>
          </w:tcPr>
          <w:p w14:paraId="6DF97F70">
            <w:pPr>
              <w:spacing w:before="0" w:after="35" w:line="270" w:lineRule="auto"/>
              <w:rPr>
                <w:rFonts w:hint="eastAsia" w:ascii="宋体" w:hAnsi="宋体" w:eastAsia="宋体" w:cs="宋体"/>
              </w:rPr>
            </w:pPr>
            <w:r>
              <w:rPr>
                <w:rFonts w:hint="eastAsia" w:ascii="宋体" w:hAnsi="宋体" w:eastAsia="宋体" w:cs="宋体"/>
                <w:sz w:val="18"/>
                <w:szCs w:val="18"/>
              </w:rPr>
              <w:t>趋势图、分类占比、热销排行</w:t>
            </w:r>
          </w:p>
        </w:tc>
      </w:tr>
      <w:tr w14:paraId="28D64497">
        <w:tblPrEx>
          <w:tblBorders>
            <w:top w:val="single" w:color="999999" w:sz="4" w:space="0"/>
            <w:left w:val="single" w:color="999999" w:sz="4" w:space="0"/>
            <w:bottom w:val="single" w:color="999999" w:sz="4" w:space="0"/>
            <w:right w:val="single" w:color="999999" w:sz="4" w:space="0"/>
            <w:insideH w:val="single" w:color="BBBBBB" w:sz="4" w:space="0"/>
            <w:insideV w:val="single" w:color="BBBBBB" w:sz="4" w:space="0"/>
          </w:tblBorders>
          <w:tblCellMar>
            <w:top w:w="70" w:type="dxa"/>
            <w:left w:w="90" w:type="dxa"/>
            <w:bottom w:w="70" w:type="dxa"/>
            <w:right w:w="90" w:type="dxa"/>
          </w:tblCellMar>
        </w:tblPrEx>
        <w:tc>
          <w:tcPr>
            <w:tcW w:w="1600" w:type="dxa"/>
          </w:tcPr>
          <w:p w14:paraId="50A6AB9A">
            <w:pPr>
              <w:spacing w:before="0" w:after="35" w:line="270" w:lineRule="auto"/>
              <w:rPr>
                <w:rFonts w:hint="eastAsia" w:ascii="宋体" w:hAnsi="宋体" w:eastAsia="宋体" w:cs="宋体"/>
              </w:rPr>
            </w:pPr>
            <w:r>
              <w:rPr>
                <w:rFonts w:hint="eastAsia" w:ascii="宋体" w:hAnsi="宋体" w:eastAsia="宋体" w:cs="宋体"/>
                <w:sz w:val="18"/>
                <w:szCs w:val="18"/>
              </w:rPr>
              <w:t>公告管理</w:t>
            </w:r>
          </w:p>
        </w:tc>
        <w:tc>
          <w:tcPr>
            <w:tcW w:w="3300" w:type="dxa"/>
          </w:tcPr>
          <w:p w14:paraId="20E07E7C">
            <w:pPr>
              <w:spacing w:before="0" w:after="35" w:line="270" w:lineRule="auto"/>
              <w:rPr>
                <w:rFonts w:hint="eastAsia" w:ascii="宋体" w:hAnsi="宋体" w:eastAsia="宋体" w:cs="宋体"/>
              </w:rPr>
            </w:pPr>
            <w:r>
              <w:rPr>
                <w:rFonts w:hint="eastAsia" w:ascii="宋体" w:hAnsi="宋体" w:eastAsia="宋体" w:cs="宋体"/>
                <w:sz w:val="18"/>
                <w:szCs w:val="18"/>
              </w:rPr>
              <w:t>announcements.html、base.js</w:t>
            </w:r>
          </w:p>
        </w:tc>
        <w:tc>
          <w:tcPr>
            <w:tcW w:w="4100" w:type="dxa"/>
          </w:tcPr>
          <w:p w14:paraId="6D3467BA">
            <w:pPr>
              <w:spacing w:before="0" w:after="35" w:line="270" w:lineRule="auto"/>
              <w:rPr>
                <w:rFonts w:hint="eastAsia" w:ascii="宋体" w:hAnsi="宋体" w:eastAsia="宋体" w:cs="宋体"/>
              </w:rPr>
            </w:pPr>
            <w:r>
              <w:rPr>
                <w:rFonts w:hint="eastAsia" w:ascii="宋体" w:hAnsi="宋体" w:eastAsia="宋体" w:cs="宋体"/>
                <w:sz w:val="18"/>
                <w:szCs w:val="18"/>
              </w:rPr>
              <w:t>公告发布、上下线、未读状态</w:t>
            </w:r>
          </w:p>
        </w:tc>
      </w:tr>
      <w:tr w14:paraId="6D257D7C">
        <w:tblPrEx>
          <w:tblBorders>
            <w:top w:val="single" w:color="999999" w:sz="4" w:space="0"/>
            <w:left w:val="single" w:color="999999" w:sz="4" w:space="0"/>
            <w:bottom w:val="single" w:color="999999" w:sz="4" w:space="0"/>
            <w:right w:val="single" w:color="999999" w:sz="4" w:space="0"/>
            <w:insideH w:val="single" w:color="BBBBBB" w:sz="4" w:space="0"/>
            <w:insideV w:val="single" w:color="BBBBBB" w:sz="4" w:space="0"/>
          </w:tblBorders>
          <w:tblCellMar>
            <w:top w:w="70" w:type="dxa"/>
            <w:left w:w="90" w:type="dxa"/>
            <w:bottom w:w="70" w:type="dxa"/>
            <w:right w:w="90" w:type="dxa"/>
          </w:tblCellMar>
        </w:tblPrEx>
        <w:tc>
          <w:tcPr>
            <w:tcW w:w="1600" w:type="dxa"/>
            <w:shd w:val="clear" w:color="auto" w:fill="F7FBFF"/>
          </w:tcPr>
          <w:p w14:paraId="37AF1BC3">
            <w:pPr>
              <w:spacing w:before="0" w:after="35" w:line="270" w:lineRule="auto"/>
              <w:rPr>
                <w:rFonts w:hint="eastAsia" w:ascii="宋体" w:hAnsi="宋体" w:eastAsia="宋体" w:cs="宋体"/>
              </w:rPr>
            </w:pPr>
            <w:r>
              <w:rPr>
                <w:rFonts w:hint="eastAsia" w:ascii="宋体" w:hAnsi="宋体" w:eastAsia="宋体" w:cs="宋体"/>
                <w:sz w:val="18"/>
                <w:szCs w:val="18"/>
              </w:rPr>
              <w:t>智能助手</w:t>
            </w:r>
          </w:p>
        </w:tc>
        <w:tc>
          <w:tcPr>
            <w:tcW w:w="3300" w:type="dxa"/>
            <w:shd w:val="clear" w:color="auto" w:fill="F7FBFF"/>
          </w:tcPr>
          <w:p w14:paraId="0E3C19E1">
            <w:pPr>
              <w:spacing w:before="0" w:after="35" w:line="270" w:lineRule="auto"/>
              <w:rPr>
                <w:rFonts w:hint="eastAsia" w:ascii="宋体" w:hAnsi="宋体" w:eastAsia="宋体" w:cs="宋体"/>
              </w:rPr>
            </w:pPr>
            <w:r>
              <w:rPr>
                <w:rFonts w:hint="eastAsia" w:ascii="宋体" w:hAnsi="宋体" w:eastAsia="宋体" w:cs="宋体"/>
                <w:sz w:val="18"/>
                <w:szCs w:val="18"/>
              </w:rPr>
              <w:t>assistant.html、assistant.js</w:t>
            </w:r>
          </w:p>
        </w:tc>
        <w:tc>
          <w:tcPr>
            <w:tcW w:w="4100" w:type="dxa"/>
            <w:shd w:val="clear" w:color="auto" w:fill="F7FBFF"/>
          </w:tcPr>
          <w:p w14:paraId="49D46A6F">
            <w:pPr>
              <w:spacing w:before="0" w:after="35" w:line="270" w:lineRule="auto"/>
              <w:rPr>
                <w:rFonts w:hint="eastAsia" w:ascii="宋体" w:hAnsi="宋体" w:eastAsia="宋体" w:cs="宋体"/>
              </w:rPr>
            </w:pPr>
            <w:r>
              <w:rPr>
                <w:rFonts w:hint="eastAsia" w:ascii="宋体" w:hAnsi="宋体" w:eastAsia="宋体" w:cs="宋体"/>
                <w:sz w:val="18"/>
                <w:szCs w:val="18"/>
              </w:rPr>
              <w:t>聊天、快捷问题、接口调用</w:t>
            </w:r>
          </w:p>
        </w:tc>
      </w:tr>
    </w:tbl>
    <w:p w14:paraId="4AB5E5E4">
      <w:pPr>
        <w:spacing w:before="0" w:after="70" w:line="360" w:lineRule="auto"/>
        <w:rPr>
          <w:rFonts w:hint="eastAsia" w:ascii="宋体" w:hAnsi="宋体" w:eastAsia="宋体" w:cs="宋体"/>
        </w:rPr>
      </w:pPr>
    </w:p>
    <w:p w14:paraId="474454CF">
      <w:pPr>
        <w:spacing w:before="0" w:after="0" w:line="360" w:lineRule="auto"/>
        <w:rPr>
          <w:rFonts w:hint="eastAsia" w:ascii="宋体" w:hAnsi="宋体" w:eastAsia="宋体" w:cs="宋体"/>
        </w:rPr>
      </w:pPr>
      <w:r>
        <w:rPr>
          <w:rFonts w:hint="eastAsia" w:ascii="宋体" w:hAnsi="宋体" w:eastAsia="宋体" w:cs="宋体"/>
          <w:sz w:val="22"/>
          <w:szCs w:val="22"/>
        </w:rPr>
        <w:br w:type="page"/>
      </w:r>
    </w:p>
    <w:p w14:paraId="16D31DBF">
      <w:pPr>
        <w:pStyle w:val="Heading3"/>
        <w:spacing w:before="160" w:after="80"/>
        <w:jc w:val="left"/>
      </w:pPr>
      <w:r>
        <w:rPr>
          <w:rFonts w:ascii="黑体" w:hAnsi="黑体" w:eastAsia="黑体"/>
          <w:b/>
          <w:sz w:val="24"/>
        </w:rPr>
        <w:t>5.2.2 源码界面交互补充说明</w:t>
      </w:r>
    </w:p>
    <w:p w14:paraId="6E1A45BF">
      <w:pPr>
        <w:spacing w:after="120" w:line="360" w:lineRule="auto"/>
        <w:ind w:firstLine="440"/>
      </w:pPr>
      <w:r>
        <w:rPr>
          <w:rFonts w:ascii="宋体" w:hAnsi="宋体" w:eastAsia="宋体"/>
          <w:b w:val="0"/>
          <w:sz w:val="22"/>
        </w:rPr>
        <w:t>界面设计应补充智能助手页面。assistant.html 采用左侧快捷操作、右侧聊天窗口和底部输入框结构，assistant.js 负责字数统计、发送按钮状态、回车发送、清空对话、加载提示、用户消息和助手消息渲染。用户点击“查询库存”“销售分析”“低库存预警”“使用帮助”等快捷按钮时，前端会自动组织问题并调用 /api/assistant/chat。这个页面体现了系统的扩展创新点，不应只在报告中写一个模块名称。</w:t>
      </w:r>
    </w:p>
    <w:p w14:paraId="73E1CB8E">
      <w:pPr>
        <w:spacing w:after="120" w:line="360" w:lineRule="auto"/>
        <w:ind w:firstLine="440"/>
      </w:pPr>
      <w:r>
        <w:rPr>
          <w:rFonts w:ascii="宋体" w:hAnsi="宋体" w:eastAsia="宋体"/>
          <w:b w:val="0"/>
          <w:sz w:val="22"/>
        </w:rPr>
        <w:t>商品管理页面除了列表、搜索、分页和新增编辑弹窗，还包含导入交互。product.js 支持选择文件、拖拽上传、调用 /api/products/import，并把导入成功数、失败数和错误信息反馈给管理员。界面设计中应说明批量导入是为了减少商品主数据初始化工作量，和后端 CSV/Excel 解析逻辑相对应。</w:t>
      </w:r>
    </w:p>
    <w:p w14:paraId="088FE12F">
      <w:pPr>
        <w:spacing w:after="120" w:line="360" w:lineRule="auto"/>
        <w:ind w:firstLine="440"/>
      </w:pPr>
      <w:r>
        <w:rPr>
          <w:rFonts w:ascii="宋体" w:hAnsi="宋体" w:eastAsia="宋体"/>
          <w:b w:val="0"/>
          <w:sz w:val="22"/>
        </w:rPr>
        <w:t>财务页面不是单一表格，而是由财务概览、收支流水、日结对账、应付账款和月结操作共同组成。finance.js 会调用 overview、transactions、reconciliation、payables、closings 和 close-month 等接口，支持筛选、分页、保存对账金额、登记付款和生成月结快照。界面说明应强调财务人员可以从明细操作进入周期性汇总。</w:t>
      </w:r>
    </w:p>
    <w:p w14:paraId="0BC8BC48">
      <w:pPr>
        <w:spacing w:after="120" w:line="360" w:lineRule="auto"/>
        <w:ind w:firstLine="440"/>
      </w:pPr>
      <w:r>
        <w:rPr>
          <w:rFonts w:ascii="宋体" w:hAnsi="宋体" w:eastAsia="宋体"/>
          <w:b w:val="0"/>
          <w:sz w:val="22"/>
        </w:rPr>
        <w:t>公告交互需要体现未读状态。base.js 会在全局导航中请求 /api/announcements/unread-count，并支持公告弹窗、单条标记已读和全部标记已读；announcements.html 负责管理员发布和上下线公告。这样公告模块既有后台维护界面，也有前台提醒与阅读交互。</w:t>
      </w:r>
    </w:p>
    <w:p w14:paraId="64AAE061">
      <w:pPr>
        <w:spacing w:after="120" w:line="360" w:lineRule="auto"/>
        <w:ind w:firstLine="440"/>
      </w:pPr>
      <w:r>
        <w:rPr>
          <w:rFonts w:ascii="宋体" w:hAnsi="宋体" w:eastAsia="宋体"/>
          <w:b w:val="0"/>
          <w:sz w:val="22"/>
        </w:rPr>
        <w:t>二期主数据页面使用 master_data.html 与 master-data.js 复用一套界面逻辑。会员、员工、供应商和系统参数共用搜索、状态筛选、分页、弹窗编辑和启停操作，会员额外支持积分调整。这个复用设计减少了重复页面，也说明前端实现不是简单堆页面，而是抽象出统一的主数据管理交互模式。</w:t>
      </w:r>
    </w:p>
    <w:p w14:paraId="6DABFFF4">
      <w:pPr>
        <w:pStyle w:val="Heading3"/>
        <w:spacing w:before="160" w:after="80"/>
        <w:jc w:val="left"/>
      </w:pPr>
      <w:r>
        <w:rPr>
          <w:rFonts w:ascii="黑体" w:hAnsi="黑体" w:eastAsia="黑体"/>
          <w:b/>
          <w:sz w:val="24"/>
        </w:rPr>
        <w:t>5.2.3 前端交互与 API 联动补充说明</w:t>
      </w:r>
    </w:p>
    <w:p w14:paraId="0073B243">
      <w:pPr>
        <w:spacing w:after="120" w:line="360" w:lineRule="auto"/>
        <w:ind w:firstLine="440"/>
      </w:pPr>
      <w:r>
        <w:rPr>
          <w:rFonts w:ascii="宋体" w:hAnsi="宋体" w:eastAsia="宋体"/>
          <w:b w:val="0"/>
          <w:sz w:val="22"/>
        </w:rPr>
        <w:t>智能助手界面需要写到交互细节。assistant.html 提供聊天窗口、快捷问题、推荐问题、输入框、发送按钮和清空对话按钮；assistant.js 负责监听输入变化并更新 char-count，超过 500 字符时高亮提醒，发送时把按钮置为处理中状态，通过 fetch('/api/assistant/chat') 异步提交 JSON，收到回复后把 answer 与 suggestions 渲染回聊天窗口。快捷问题按钮会自动填充问题并触发同一套发送逻辑，因此页面演示不需要临场打很多字。</w:t>
      </w:r>
    </w:p>
    <w:p w14:paraId="408C1434">
      <w:pPr>
        <w:spacing w:after="120" w:line="360" w:lineRule="auto"/>
        <w:ind w:firstLine="440"/>
      </w:pPr>
      <w:r>
        <w:rPr>
          <w:rFonts w:ascii="宋体" w:hAnsi="宋体" w:eastAsia="宋体"/>
          <w:b w:val="0"/>
          <w:sz w:val="22"/>
        </w:rPr>
        <w:t>商品批量导入界面与后端结果统计直接联动。product.js 在用户选择 CSV 或 Excel 后提交到 /api/products/import，后端返回成功数、失败数和错误明细，前端再把结果反馈给管理员。这个设计避免导入时只显示“成功/失败”二元结果，报告说明中可以强调：系统对批量主数据导入做了可解释反馈，方便用户修正错误行。</w:t>
      </w:r>
    </w:p>
    <w:p w14:paraId="17D449CF">
      <w:pPr>
        <w:spacing w:after="120" w:line="360" w:lineRule="auto"/>
        <w:ind w:firstLine="440"/>
      </w:pPr>
      <w:r>
        <w:rPr>
          <w:rFonts w:ascii="宋体" w:hAnsi="宋体" w:eastAsia="宋体"/>
          <w:b w:val="0"/>
          <w:sz w:val="22"/>
        </w:rPr>
        <w:t>财务和公告界面也有明确的 API 联动。finance.js 通过 overview、transactions、reconciliation、payables、closings、close-month 等接口完成筛选、对账保存、付款登记和月结；base.js 在全局导航中调用 /api/announcements/unread-count 显示未读数，公告弹窗可以调用 /api/announcements/&lt;id&gt;/read 或 /api/announcements/read-all 更新阅读状态。界面设计因此不仅是页面排版，也体现了前后端交互闭环。</w:t>
      </w:r>
    </w:p>
    <w:p w14:paraId="4A314210">
      <w:pPr>
        <w:pStyle w:val="Heading2"/>
        <w:keepNext/>
        <w:shd w:val="clear" w:fill="1F4E79"/>
        <w:spacing w:before="220" w:after="160" w:line="360" w:lineRule="auto"/>
        <w:outlineLvl w:val="0"/>
        <w:rPr>
          <w:rFonts w:hint="eastAsia" w:ascii="宋体" w:hAnsi="宋体" w:eastAsia="宋体" w:cs="宋体"/>
        </w:rPr>
      </w:pPr>
      <w:r>
        <w:rPr>
          <w:rFonts w:hint="eastAsia" w:ascii="宋体" w:hAnsi="宋体" w:eastAsia="宋体" w:cs="宋体"/>
          <w:b/>
          <w:bCs/>
          <w:color w:val="FFFFFF"/>
          <w:sz w:val="28"/>
          <w:szCs w:val="28"/>
        </w:rPr>
        <w:t>5.3 关键时序、状态与异常路径详细设计</w:t>
      </w:r>
    </w:p>
    <w:p w14:paraId="797D9030">
      <w:pPr>
        <w:pStyle w:val="Heading3"/>
        <w:spacing w:after="120" w:line="324" w:lineRule="auto"/>
        <w:ind w:firstLine="420"/>
        <w:rPr>
          <w:rFonts w:hint="eastAsia" w:ascii="宋体" w:hAnsi="宋体" w:eastAsia="宋体" w:cs="宋体"/>
        </w:rPr>
      </w:pPr>
      <w:r>
        <w:rPr>
          <w:rFonts w:hint="eastAsia" w:ascii="宋体" w:hAnsi="宋体" w:eastAsia="宋体" w:cs="宋体"/>
          <w:b/>
          <w:sz w:val="21"/>
        </w:rPr>
        <w:t>5.3.1 系统实施、关键时序与测试设计详细论述</w:t>
      </w:r>
    </w:p>
    <w:p w14:paraId="71E6C25B">
      <w:pPr>
        <w:spacing w:after="120" w:line="360" w:lineRule="auto"/>
        <w:ind w:firstLine="440"/>
        <w:rPr>
          <w:rFonts w:hint="eastAsia" w:ascii="宋体" w:hAnsi="宋体" w:eastAsia="宋体" w:cs="宋体"/>
        </w:rPr>
      </w:pPr>
      <w:r>
        <w:rPr>
          <w:rFonts w:ascii="宋体" w:hAnsi="宋体" w:eastAsia="宋体"/>
          <w:b w:val="0"/>
          <w:sz w:val="22"/>
        </w:rPr>
        <w:t>系统实施一重点说明关键业务如何从需求和设计落到可运行代码。报告中的时序图、状态图和测试覆盖矩阵不是装饰性图表，而是对实现细节的解释。时序图说明一次请求从用户操作到服务层、数据库和页面反馈的顺序；状态图说明业务对象在不同操作下如何变化；测试覆盖矩阵说明哪些功能已经通过自动化或人工方式验证。三类材料结合起来，能够说明功能如何执行、状态如何变化、结果如何检查。</w:t>
      </w:r>
    </w:p>
    <w:p w14:paraId="5A66F722">
      <w:pPr>
        <w:spacing w:after="120" w:line="324" w:lineRule="auto"/>
        <w:ind w:firstLine="420"/>
        <w:rPr>
          <w:rFonts w:hint="eastAsia" w:ascii="宋体" w:hAnsi="宋体" w:eastAsia="宋体" w:cs="宋体"/>
        </w:rPr>
      </w:pPr>
      <w:r>
        <w:rPr>
          <w:rFonts w:hint="eastAsia" w:ascii="宋体" w:hAnsi="宋体" w:eastAsia="宋体" w:cs="宋体"/>
          <w:b w:val="0"/>
          <w:sz w:val="21"/>
        </w:rPr>
        <w:t>登录认证时序体现了系统访问控制的基础。用户提交账号和密码后，路由层接收请求，服务层查询用户并校验密码，校验通过后写入 Session 和角色信息，页面再根据角色展示不同入口。登录失败时不能写入会话，也不能进入后台页面。管理员注册申请则需要进入审核流程，申请通过后才创建管理员账号。这个时序对应 tests/test_auth_and_routes.py 中的登录成功、登录失败和管理员审核测试。</w:t>
      </w:r>
    </w:p>
    <w:p w14:paraId="7ECF99EC">
      <w:pPr>
        <w:spacing w:after="120" w:line="324" w:lineRule="auto"/>
        <w:ind w:firstLine="420"/>
        <w:rPr>
          <w:rFonts w:hint="eastAsia" w:ascii="宋体" w:hAnsi="宋体" w:eastAsia="宋体" w:cs="宋体"/>
        </w:rPr>
      </w:pPr>
      <w:r>
        <w:rPr>
          <w:rFonts w:hint="eastAsia" w:ascii="宋体" w:hAnsi="宋体" w:eastAsia="宋体" w:cs="宋体"/>
          <w:b w:val="0"/>
          <w:sz w:val="21"/>
        </w:rPr>
        <w:t>销售收银时序是系统实施中最重要的业务链路。前端 cashier.js 负责商品检索、购物车维护和提交结算请求，后端 routes/cashier.py 接收请求后调用 services/cashier.py。服务层需要逐项检查商品是否存在、是否上架、库存是否充足，然后创建 Sale 和 SaleItem，扣减 Inventory，写入 InventoryLog，并返回销售单结果。这个顺序不能颠倒，如果先创建订单再检查库存，就可能产生库存不足但订单存在的问题。</w:t>
      </w:r>
    </w:p>
    <w:p w14:paraId="31AB0C77">
      <w:pPr>
        <w:spacing w:after="120" w:line="324" w:lineRule="auto"/>
        <w:ind w:firstLine="420"/>
        <w:rPr>
          <w:rFonts w:hint="eastAsia" w:ascii="宋体" w:hAnsi="宋体" w:eastAsia="宋体" w:cs="宋体"/>
        </w:rPr>
      </w:pPr>
      <w:r>
        <w:rPr>
          <w:rFonts w:hint="eastAsia" w:ascii="宋体" w:hAnsi="宋体" w:eastAsia="宋体" w:cs="宋体"/>
          <w:b w:val="0"/>
          <w:sz w:val="21"/>
        </w:rPr>
        <w:t>采购入库和库存预警时序体现库存管理的双向变化。入库流程通常会增加库存并形成供应商或应付相关记录，库存预警流程则根据当前库存和阈值判断商品是否需要补货。即使课程系统没有接入真实采购审批平台，也需要在图表和实现中说明采购、库存、供应商、应付之间的关系。库存预警不是独立页面提示，而是由库存数据和系统参数共同决定的业务状态。</w:t>
      </w:r>
    </w:p>
    <w:p w14:paraId="6DF2978E">
      <w:pPr>
        <w:spacing w:after="120" w:line="324" w:lineRule="auto"/>
        <w:ind w:firstLine="420"/>
        <w:rPr>
          <w:rFonts w:hint="eastAsia" w:ascii="宋体" w:hAnsi="宋体" w:eastAsia="宋体" w:cs="宋体"/>
        </w:rPr>
      </w:pPr>
      <w:r>
        <w:rPr>
          <w:rFonts w:hint="eastAsia" w:ascii="宋体" w:hAnsi="宋体" w:eastAsia="宋体" w:cs="宋体"/>
          <w:b w:val="0"/>
          <w:sz w:val="21"/>
        </w:rPr>
        <w:t>会员积分和退货退款时序说明二期扩展与核心业务如何衔接。会员积分一般发生在销售完成后，系统根据销售金额和会员规则调整积分；退货退款则需要回查销售单和明细，变更订单状态，回滚库存并形成财务冲销或退款记录。即使当前实现以课程演示范围为主，时序图也明确了未来扩展方向，避免二期模块被理解为与销售链路完全无关的孤立档案。</w:t>
      </w:r>
    </w:p>
    <w:p w14:paraId="4D8604BA">
      <w:pPr>
        <w:spacing w:after="120" w:line="324" w:lineRule="auto"/>
        <w:ind w:firstLine="420"/>
        <w:rPr>
          <w:rFonts w:hint="eastAsia" w:ascii="宋体" w:hAnsi="宋体" w:eastAsia="宋体" w:cs="宋体"/>
        </w:rPr>
      </w:pPr>
      <w:r>
        <w:rPr>
          <w:rFonts w:hint="eastAsia" w:ascii="宋体" w:hAnsi="宋体" w:eastAsia="宋体" w:cs="宋体"/>
          <w:b w:val="0"/>
          <w:sz w:val="21"/>
        </w:rPr>
        <w:t>状态设计用于说明业务对象的生命周期。商品从创建到上架、下架或停用，采购订单从创建到入库、结算或取消，盘点任务从创建到执行、确认和完成，销售订单从待处理到完成、退货或取消，会员账户从启用到停用。这些状态不是随意命名，而是对应页面按钮、服务层校验和测试边界。例如停用会员不能继续参与积分，已下架商品不应在收银台正常售卖，已完成销售单才能进入退货或对账相关流程。</w:t>
      </w:r>
    </w:p>
    <w:p w14:paraId="6DE17089">
      <w:pPr>
        <w:spacing w:after="120" w:line="324" w:lineRule="auto"/>
        <w:ind w:firstLine="420"/>
        <w:rPr>
          <w:rFonts w:hint="eastAsia" w:ascii="宋体" w:hAnsi="宋体" w:eastAsia="宋体" w:cs="宋体"/>
        </w:rPr>
      </w:pPr>
      <w:r>
        <w:rPr>
          <w:rFonts w:hint="eastAsia" w:ascii="宋体" w:hAnsi="宋体" w:eastAsia="宋体" w:cs="宋体"/>
          <w:b w:val="0"/>
          <w:sz w:val="21"/>
        </w:rPr>
        <w:t>服务层实现是系统实施的核心。路由层只负责接收请求和返回结果，真正的业务判断放在 services/ 目录中。商品服务负责商品编码唯一、初始库存创建和导入处理；库存服务负责数量调整、流水记录和预警；收银服务负责购物车校验、销售单创建和库存扣减；财务服务负责收支、日结、应付和月结；公告服务负责发布、上下线和已读；二期服务负责会员、员工、供应商和系统参数。这样的分层让自动化测试可以直接验证业务规则。</w:t>
      </w:r>
    </w:p>
    <w:p w14:paraId="5C6404E6">
      <w:pPr>
        <w:spacing w:after="120" w:line="324" w:lineRule="auto"/>
        <w:ind w:firstLine="420"/>
        <w:rPr>
          <w:rFonts w:hint="eastAsia" w:ascii="宋体" w:hAnsi="宋体" w:eastAsia="宋体" w:cs="宋体"/>
        </w:rPr>
      </w:pPr>
      <w:r>
        <w:rPr>
          <w:rFonts w:hint="eastAsia" w:ascii="宋体" w:hAnsi="宋体" w:eastAsia="宋体" w:cs="宋体"/>
          <w:b w:val="0"/>
          <w:sz w:val="21"/>
        </w:rPr>
        <w:t>测试用例设计覆盖正常路径和异常路径。正常路径包括管理员登录成功、商品新增、库存调整、收银结算成功、销售订单明细查询、财务日结对账、公告发布与已读、会员新增、员工维护、供应商维护和系统参数保存。异常路径包括登录失败、商品编码重复、库存不足、越权访问、二期字段缺失、重复手机号或工号、非法状态等。异常路径越完整，系统越能说明自己不是只处理理想输入。</w:t>
      </w:r>
    </w:p>
    <w:p w14:paraId="2242FB8B">
      <w:pPr>
        <w:spacing w:after="120" w:line="360" w:lineRule="auto"/>
        <w:ind w:firstLine="440"/>
        <w:rPr>
          <w:rFonts w:hint="eastAsia" w:ascii="宋体" w:hAnsi="宋体" w:eastAsia="宋体" w:cs="宋体"/>
        </w:rPr>
      </w:pPr>
      <w:r>
        <w:rPr>
          <w:rFonts w:ascii="宋体" w:hAnsi="宋体" w:eastAsia="宋体"/>
          <w:b w:val="0"/>
          <w:sz w:val="22"/>
        </w:rPr>
        <w:t>自动化测试使用 pytest，覆盖率使用 coverage。pyproject.toml 中设置了测试目录、Python 路径和 coverage 统计范围，并将 fail_under 设置为 100。当前测试结果为 11 passed，coverage 报告为 TOTAL 530 0 100%。这里需要说明，100% 覆盖率不是泛泛而谈，而是通过命令可复现；同时，页面页面运行状态仍作为人工运行依据补充自动化测试不能覆盖的视觉状态。</w:t>
      </w:r>
    </w:p>
    <w:p w14:paraId="3699B008">
      <w:pPr>
        <w:spacing w:after="120" w:line="360" w:lineRule="auto"/>
        <w:ind w:firstLine="440"/>
        <w:rPr>
          <w:rFonts w:hint="eastAsia" w:ascii="宋体" w:hAnsi="宋体" w:eastAsia="宋体" w:cs="宋体"/>
        </w:rPr>
      </w:pPr>
      <w:r>
        <w:rPr>
          <w:rFonts w:ascii="宋体" w:hAnsi="宋体" w:eastAsia="宋体"/>
          <w:b w:val="0"/>
          <w:sz w:val="22"/>
        </w:rPr>
        <w:t>测试覆盖矩阵图用于把测试用例和功能模块联系起来。它说明哪些模块有自动化验证，哪些模块需要页面运行检查补充。对于课程项目，自动化测试主要验证服务和模型逻辑，页面运行检查主要验证界面可访问和交互状态，两者相互补充。命令行结果用于确认 pytest 与 coverage，页面检查用于确认登录、首页、商品、库存、收银、销售、财务、分析、公告、助手和二期主数据页面能够正常打开。</w:t>
      </w:r>
    </w:p>
    <w:p w14:paraId="718924CF">
      <w:pPr>
        <w:spacing w:after="120" w:line="360" w:lineRule="auto"/>
        <w:ind w:firstLine="440"/>
        <w:rPr>
          <w:rFonts w:hint="eastAsia" w:ascii="宋体" w:hAnsi="宋体" w:eastAsia="宋体" w:cs="宋体"/>
        </w:rPr>
      </w:pPr>
      <w:r>
        <w:rPr>
          <w:rFonts w:ascii="宋体" w:hAnsi="宋体" w:eastAsia="宋体"/>
          <w:b w:val="0"/>
          <w:sz w:val="22"/>
        </w:rPr>
        <w:t>综合来看，第 6 章说明系统不是停留在图表和界面，而是已经进入可运行、可测试、可验证的实施状态。关键时序说明流程顺序，状态图说明对象生命周期，服务层代码说明业务规则落地，测试用例和覆盖率说明实现结果可靠。后续第 7 章继续说明代码结构、前端实现、审计记录和系统运行方式。</w:t>
      </w:r>
    </w:p>
    <w:p w14:paraId="798A812E">
      <w:pPr>
        <w:pStyle w:val="Heading3"/>
        <w:keepNext/>
        <w:pBdr>
          <w:left w:val="single" w:color="2F75B5" w:sz="12" w:space="6"/>
        </w:pBdr>
        <w:spacing w:before="220" w:after="100" w:line="360" w:lineRule="auto"/>
        <w:outlineLvl w:val="1"/>
        <w:rPr>
          <w:rFonts w:hint="eastAsia" w:ascii="宋体" w:hAnsi="宋体" w:eastAsia="宋体" w:cs="宋体"/>
        </w:rPr>
      </w:pPr>
      <w:r>
        <w:rPr>
          <w:rFonts w:hint="eastAsia" w:ascii="宋体" w:hAnsi="宋体" w:eastAsia="宋体" w:cs="宋体"/>
          <w:b/>
          <w:bCs/>
          <w:color w:val="1F4E79"/>
          <w:sz w:val="25"/>
          <w:szCs w:val="25"/>
        </w:rPr>
        <w:t>5.3.2 关键时序</w:t>
      </w:r>
    </w:p>
    <w:p w14:paraId="45AF479D">
      <w:pPr>
        <w:spacing w:before="75" w:after="30"/>
        <w:jc w:val="center"/>
        <w:rPr>
          <w:rFonts w:hint="eastAsia" w:ascii="宋体" w:hAnsi="宋体" w:eastAsia="宋体" w:cs="宋体"/>
        </w:rPr>
      </w:pPr>
      <w:r>
        <w:rPr>
          <w:rFonts w:hint="eastAsia" w:ascii="宋体" w:hAnsi="宋体" w:eastAsia="宋体" w:cs="宋体"/>
        </w:rPr>
        <w:drawing>
          <wp:inline distT="0" distB="0" distL="0" distR="0">
            <wp:extent cx="6035040" cy="4384040"/>
            <wp:effectExtent l="0" t="0" r="0" b="0"/>
            <wp:docPr id="44" name="report_image4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report_image44.png"/>
                    <pic:cNvPicPr>
                      <a:picLocks noChangeAspect="1"/>
                    </pic:cNvPicPr>
                  </pic:nvPicPr>
                  <pic:blipFill>
                    <a:blip r:embed="rId49"/>
                    <a:stretch>
                      <a:fillRect/>
                    </a:stretch>
                  </pic:blipFill>
                  <pic:spPr>
                    <a:xfrm>
                      <a:off x="0" y="0"/>
                      <a:ext cx="6035040" cy="4384449"/>
                    </a:xfrm>
                    <a:prstGeom prst="rect">
                      <a:avLst/>
                    </a:prstGeom>
                  </pic:spPr>
                </pic:pic>
              </a:graphicData>
            </a:graphic>
          </wp:inline>
        </w:drawing>
      </w:r>
    </w:p>
    <w:p w14:paraId="419334B2">
      <w:pPr>
        <w:spacing w:before="0" w:after="110" w:line="250" w:lineRule="auto"/>
        <w:jc w:val="center"/>
        <w:rPr>
          <w:rFonts w:hint="eastAsia" w:ascii="宋体" w:hAnsi="宋体" w:eastAsia="宋体" w:cs="宋体"/>
        </w:rPr>
      </w:pPr>
      <w:r>
        <w:rPr>
          <w:rFonts w:hint="eastAsia" w:ascii="宋体" w:hAnsi="宋体" w:eastAsia="宋体" w:cs="宋体"/>
          <w:i/>
          <w:iCs/>
          <w:sz w:val="17"/>
          <w:szCs w:val="17"/>
        </w:rPr>
        <w:t>图44  登录认证时序图</w:t>
      </w:r>
    </w:p>
    <w:p w14:paraId="31C3F50D">
      <w:pPr>
        <w:spacing w:before="75" w:after="30"/>
        <w:jc w:val="center"/>
        <w:rPr>
          <w:rFonts w:hint="eastAsia" w:ascii="宋体" w:hAnsi="宋体" w:eastAsia="宋体" w:cs="宋体"/>
        </w:rPr>
      </w:pPr>
      <w:r>
        <w:rPr>
          <w:rFonts w:hint="eastAsia" w:ascii="宋体" w:hAnsi="宋体" w:eastAsia="宋体" w:cs="宋体"/>
        </w:rPr>
        <w:drawing>
          <wp:inline distT="0" distB="0" distL="0" distR="0">
            <wp:extent cx="6035040" cy="4384040"/>
            <wp:effectExtent l="0" t="0" r="0" b="0"/>
            <wp:docPr id="45" name="report_image4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report_image45.png"/>
                    <pic:cNvPicPr>
                      <a:picLocks noChangeAspect="1"/>
                    </pic:cNvPicPr>
                  </pic:nvPicPr>
                  <pic:blipFill>
                    <a:blip r:embed="rId50"/>
                    <a:stretch>
                      <a:fillRect/>
                    </a:stretch>
                  </pic:blipFill>
                  <pic:spPr>
                    <a:xfrm>
                      <a:off x="0" y="0"/>
                      <a:ext cx="6035040" cy="4384449"/>
                    </a:xfrm>
                    <a:prstGeom prst="rect">
                      <a:avLst/>
                    </a:prstGeom>
                  </pic:spPr>
                </pic:pic>
              </a:graphicData>
            </a:graphic>
          </wp:inline>
        </w:drawing>
      </w:r>
    </w:p>
    <w:p w14:paraId="5EDADAB5">
      <w:pPr>
        <w:spacing w:before="0" w:after="110" w:line="250" w:lineRule="auto"/>
        <w:jc w:val="center"/>
        <w:rPr>
          <w:rFonts w:hint="eastAsia" w:ascii="宋体" w:hAnsi="宋体" w:eastAsia="宋体" w:cs="宋体"/>
        </w:rPr>
      </w:pPr>
      <w:r>
        <w:rPr>
          <w:rFonts w:hint="eastAsia" w:ascii="宋体" w:hAnsi="宋体" w:eastAsia="宋体" w:cs="宋体"/>
          <w:i/>
          <w:iCs/>
          <w:sz w:val="17"/>
          <w:szCs w:val="17"/>
        </w:rPr>
        <w:t>图45  销售收银时序图</w:t>
      </w:r>
    </w:p>
    <w:p w14:paraId="24E5AAE4">
      <w:pPr>
        <w:spacing w:before="75" w:after="30"/>
        <w:jc w:val="center"/>
        <w:rPr>
          <w:rFonts w:hint="eastAsia" w:ascii="宋体" w:hAnsi="宋体" w:eastAsia="宋体" w:cs="宋体"/>
        </w:rPr>
      </w:pPr>
      <w:r>
        <w:rPr>
          <w:rFonts w:hint="eastAsia" w:ascii="宋体" w:hAnsi="宋体" w:eastAsia="宋体" w:cs="宋体"/>
        </w:rPr>
        <w:drawing>
          <wp:inline distT="0" distB="0" distL="0" distR="0">
            <wp:extent cx="6035040" cy="4413885"/>
            <wp:effectExtent l="0" t="0" r="0" b="0"/>
            <wp:docPr id="46" name="report_image4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report_image46.png"/>
                    <pic:cNvPicPr>
                      <a:picLocks noChangeAspect="1"/>
                    </pic:cNvPicPr>
                  </pic:nvPicPr>
                  <pic:blipFill>
                    <a:blip r:embed="rId51"/>
                    <a:stretch>
                      <a:fillRect/>
                    </a:stretch>
                  </pic:blipFill>
                  <pic:spPr>
                    <a:xfrm>
                      <a:off x="0" y="0"/>
                      <a:ext cx="6035040" cy="4414421"/>
                    </a:xfrm>
                    <a:prstGeom prst="rect">
                      <a:avLst/>
                    </a:prstGeom>
                  </pic:spPr>
                </pic:pic>
              </a:graphicData>
            </a:graphic>
          </wp:inline>
        </w:drawing>
      </w:r>
    </w:p>
    <w:p w14:paraId="3432C7D1">
      <w:pPr>
        <w:spacing w:before="0" w:after="110" w:line="250" w:lineRule="auto"/>
        <w:jc w:val="center"/>
        <w:rPr>
          <w:rFonts w:hint="eastAsia" w:ascii="宋体" w:hAnsi="宋体" w:eastAsia="宋体" w:cs="宋体"/>
        </w:rPr>
      </w:pPr>
      <w:r>
        <w:rPr>
          <w:rFonts w:hint="eastAsia" w:ascii="宋体" w:hAnsi="宋体" w:eastAsia="宋体" w:cs="宋体"/>
          <w:i/>
          <w:iCs/>
          <w:sz w:val="17"/>
          <w:szCs w:val="17"/>
        </w:rPr>
        <w:t>图46  采购入库时序图</w:t>
      </w:r>
    </w:p>
    <w:p w14:paraId="030DCA04">
      <w:pPr>
        <w:spacing w:before="75" w:after="30"/>
        <w:jc w:val="center"/>
        <w:rPr>
          <w:rFonts w:hint="eastAsia" w:ascii="宋体" w:hAnsi="宋体" w:eastAsia="宋体" w:cs="宋体"/>
        </w:rPr>
      </w:pPr>
      <w:r>
        <w:rPr>
          <w:rFonts w:hint="eastAsia" w:ascii="宋体" w:hAnsi="宋体" w:eastAsia="宋体" w:cs="宋体"/>
        </w:rPr>
        <w:drawing>
          <wp:inline distT="0" distB="0" distL="0" distR="0">
            <wp:extent cx="6035040" cy="4413885"/>
            <wp:effectExtent l="0" t="0" r="0" b="0"/>
            <wp:docPr id="47" name="report_image4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report_image47.png"/>
                    <pic:cNvPicPr>
                      <a:picLocks noChangeAspect="1"/>
                    </pic:cNvPicPr>
                  </pic:nvPicPr>
                  <pic:blipFill>
                    <a:blip r:embed="rId52"/>
                    <a:stretch>
                      <a:fillRect/>
                    </a:stretch>
                  </pic:blipFill>
                  <pic:spPr>
                    <a:xfrm>
                      <a:off x="0" y="0"/>
                      <a:ext cx="6035040" cy="4414421"/>
                    </a:xfrm>
                    <a:prstGeom prst="rect">
                      <a:avLst/>
                    </a:prstGeom>
                  </pic:spPr>
                </pic:pic>
              </a:graphicData>
            </a:graphic>
          </wp:inline>
        </w:drawing>
      </w:r>
    </w:p>
    <w:p w14:paraId="266E2517">
      <w:pPr>
        <w:spacing w:before="0" w:after="110" w:line="250" w:lineRule="auto"/>
        <w:jc w:val="center"/>
        <w:rPr>
          <w:rFonts w:hint="eastAsia" w:ascii="宋体" w:hAnsi="宋体" w:eastAsia="宋体" w:cs="宋体"/>
        </w:rPr>
      </w:pPr>
      <w:r>
        <w:rPr>
          <w:rFonts w:hint="eastAsia" w:ascii="宋体" w:hAnsi="宋体" w:eastAsia="宋体" w:cs="宋体"/>
          <w:i/>
          <w:iCs/>
          <w:sz w:val="17"/>
          <w:szCs w:val="17"/>
        </w:rPr>
        <w:t>图47  库存预警时序图</w:t>
      </w:r>
    </w:p>
    <w:p w14:paraId="17031F07">
      <w:pPr>
        <w:spacing w:before="75" w:after="30"/>
        <w:jc w:val="center"/>
        <w:rPr>
          <w:rFonts w:hint="eastAsia" w:ascii="宋体" w:hAnsi="宋体" w:eastAsia="宋体" w:cs="宋体"/>
        </w:rPr>
      </w:pPr>
      <w:r>
        <w:rPr>
          <w:rFonts w:hint="eastAsia" w:ascii="宋体" w:hAnsi="宋体" w:eastAsia="宋体" w:cs="宋体"/>
        </w:rPr>
        <w:drawing>
          <wp:inline distT="0" distB="0" distL="0" distR="0">
            <wp:extent cx="6035040" cy="4384040"/>
            <wp:effectExtent l="0" t="0" r="0" b="0"/>
            <wp:docPr id="48" name="report_image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report_image48.png"/>
                    <pic:cNvPicPr>
                      <a:picLocks noChangeAspect="1"/>
                    </pic:cNvPicPr>
                  </pic:nvPicPr>
                  <pic:blipFill>
                    <a:blip r:embed="rId53"/>
                    <a:stretch>
                      <a:fillRect/>
                    </a:stretch>
                  </pic:blipFill>
                  <pic:spPr>
                    <a:xfrm>
                      <a:off x="0" y="0"/>
                      <a:ext cx="6035040" cy="4384449"/>
                    </a:xfrm>
                    <a:prstGeom prst="rect">
                      <a:avLst/>
                    </a:prstGeom>
                  </pic:spPr>
                </pic:pic>
              </a:graphicData>
            </a:graphic>
          </wp:inline>
        </w:drawing>
      </w:r>
    </w:p>
    <w:p w14:paraId="49EC10A5">
      <w:pPr>
        <w:spacing w:before="0" w:after="110" w:line="250" w:lineRule="auto"/>
        <w:jc w:val="center"/>
        <w:rPr>
          <w:rFonts w:hint="eastAsia" w:ascii="宋体" w:hAnsi="宋体" w:eastAsia="宋体" w:cs="宋体"/>
        </w:rPr>
      </w:pPr>
      <w:r>
        <w:rPr>
          <w:rFonts w:hint="eastAsia" w:ascii="宋体" w:hAnsi="宋体" w:eastAsia="宋体" w:cs="宋体"/>
          <w:i/>
          <w:iCs/>
          <w:sz w:val="17"/>
          <w:szCs w:val="17"/>
        </w:rPr>
        <w:t>图48  会员积分时序图</w:t>
      </w:r>
    </w:p>
    <w:p w14:paraId="3FA93604">
      <w:pPr>
        <w:spacing w:before="75" w:after="30"/>
        <w:jc w:val="center"/>
        <w:rPr>
          <w:rFonts w:hint="eastAsia" w:ascii="宋体" w:hAnsi="宋体" w:eastAsia="宋体" w:cs="宋体"/>
        </w:rPr>
      </w:pPr>
      <w:r>
        <w:rPr>
          <w:rFonts w:hint="eastAsia" w:ascii="宋体" w:hAnsi="宋体" w:eastAsia="宋体" w:cs="宋体"/>
        </w:rPr>
        <w:drawing>
          <wp:inline distT="0" distB="0" distL="0" distR="0">
            <wp:extent cx="6035040" cy="4413885"/>
            <wp:effectExtent l="0" t="0" r="0" b="0"/>
            <wp:docPr id="49" name="report_image4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report_image49.png"/>
                    <pic:cNvPicPr>
                      <a:picLocks noChangeAspect="1"/>
                    </pic:cNvPicPr>
                  </pic:nvPicPr>
                  <pic:blipFill>
                    <a:blip r:embed="rId54"/>
                    <a:stretch>
                      <a:fillRect/>
                    </a:stretch>
                  </pic:blipFill>
                  <pic:spPr>
                    <a:xfrm>
                      <a:off x="0" y="0"/>
                      <a:ext cx="6035040" cy="4414421"/>
                    </a:xfrm>
                    <a:prstGeom prst="rect">
                      <a:avLst/>
                    </a:prstGeom>
                  </pic:spPr>
                </pic:pic>
              </a:graphicData>
            </a:graphic>
          </wp:inline>
        </w:drawing>
      </w:r>
    </w:p>
    <w:p w14:paraId="2576AA69">
      <w:pPr>
        <w:spacing w:before="0" w:after="110" w:line="250" w:lineRule="auto"/>
        <w:jc w:val="center"/>
        <w:rPr>
          <w:rFonts w:hint="eastAsia" w:ascii="宋体" w:hAnsi="宋体" w:eastAsia="宋体" w:cs="宋体"/>
        </w:rPr>
      </w:pPr>
      <w:r>
        <w:rPr>
          <w:rFonts w:hint="eastAsia" w:ascii="宋体" w:hAnsi="宋体" w:eastAsia="宋体" w:cs="宋体"/>
          <w:i/>
          <w:iCs/>
          <w:sz w:val="17"/>
          <w:szCs w:val="17"/>
        </w:rPr>
        <w:t>图49  退货退款时序图</w:t>
      </w:r>
    </w:p>
    <w:p w14:paraId="10D3E87E">
      <w:pPr>
        <w:pStyle w:val="Heading3"/>
        <w:keepNext/>
        <w:pBdr>
          <w:left w:val="single" w:color="2F75B5" w:sz="12" w:space="6"/>
        </w:pBdr>
        <w:spacing w:before="220" w:after="100" w:line="360" w:lineRule="auto"/>
        <w:outlineLvl w:val="1"/>
        <w:rPr>
          <w:rFonts w:hint="eastAsia" w:ascii="宋体" w:hAnsi="宋体" w:eastAsia="宋体" w:cs="宋体"/>
        </w:rPr>
      </w:pPr>
      <w:r>
        <w:rPr>
          <w:rFonts w:hint="eastAsia" w:ascii="宋体" w:hAnsi="宋体" w:eastAsia="宋体" w:cs="宋体"/>
          <w:b/>
          <w:bCs/>
          <w:color w:val="1F4E79"/>
          <w:sz w:val="25"/>
          <w:szCs w:val="25"/>
        </w:rPr>
        <w:t>5.3.3 状态设计</w:t>
      </w:r>
    </w:p>
    <w:p w14:paraId="04F28935">
      <w:pPr>
        <w:spacing w:before="75" w:after="30"/>
        <w:jc w:val="center"/>
        <w:rPr>
          <w:rFonts w:hint="eastAsia" w:ascii="宋体" w:hAnsi="宋体" w:eastAsia="宋体" w:cs="宋体"/>
        </w:rPr>
      </w:pPr>
      <w:r>
        <w:rPr>
          <w:rFonts w:hint="eastAsia" w:ascii="宋体" w:hAnsi="宋体" w:eastAsia="宋体" w:cs="宋体"/>
        </w:rPr>
        <w:drawing>
          <wp:inline distT="0" distB="0" distL="0" distR="0">
            <wp:extent cx="6035040" cy="2465070"/>
            <wp:effectExtent l="0" t="0" r="0" b="0"/>
            <wp:docPr id="50" name="report_image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report_image50.png"/>
                    <pic:cNvPicPr>
                      <a:picLocks noChangeAspect="1"/>
                    </pic:cNvPicPr>
                  </pic:nvPicPr>
                  <pic:blipFill>
                    <a:blip r:embed="rId55"/>
                    <a:stretch>
                      <a:fillRect/>
                    </a:stretch>
                  </pic:blipFill>
                  <pic:spPr>
                    <a:xfrm>
                      <a:off x="0" y="0"/>
                      <a:ext cx="6035040" cy="2465633"/>
                    </a:xfrm>
                    <a:prstGeom prst="rect">
                      <a:avLst/>
                    </a:prstGeom>
                  </pic:spPr>
                </pic:pic>
              </a:graphicData>
            </a:graphic>
          </wp:inline>
        </w:drawing>
      </w:r>
    </w:p>
    <w:p w14:paraId="5AD6D079">
      <w:pPr>
        <w:spacing w:before="0" w:after="110" w:line="250" w:lineRule="auto"/>
        <w:jc w:val="center"/>
        <w:rPr>
          <w:rFonts w:hint="eastAsia" w:ascii="宋体" w:hAnsi="宋体" w:eastAsia="宋体" w:cs="宋体"/>
        </w:rPr>
      </w:pPr>
      <w:r>
        <w:rPr>
          <w:rFonts w:hint="eastAsia" w:ascii="宋体" w:hAnsi="宋体" w:eastAsia="宋体" w:cs="宋体"/>
          <w:i/>
          <w:iCs/>
          <w:sz w:val="17"/>
          <w:szCs w:val="17"/>
        </w:rPr>
        <w:t>图50  商品生命周期状态图</w:t>
      </w:r>
    </w:p>
    <w:p w14:paraId="34E84B26">
      <w:pPr>
        <w:spacing w:before="75" w:after="30"/>
        <w:jc w:val="center"/>
        <w:rPr>
          <w:rFonts w:hint="eastAsia" w:ascii="宋体" w:hAnsi="宋体" w:eastAsia="宋体" w:cs="宋体"/>
        </w:rPr>
      </w:pPr>
      <w:r>
        <w:rPr>
          <w:rFonts w:hint="eastAsia" w:ascii="宋体" w:hAnsi="宋体" w:eastAsia="宋体" w:cs="宋体"/>
        </w:rPr>
        <w:drawing>
          <wp:inline distT="0" distB="0" distL="0" distR="0">
            <wp:extent cx="6035040" cy="2465070"/>
            <wp:effectExtent l="0" t="0" r="0" b="0"/>
            <wp:docPr id="51" name="report_image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report_image51.png"/>
                    <pic:cNvPicPr>
                      <a:picLocks noChangeAspect="1"/>
                    </pic:cNvPicPr>
                  </pic:nvPicPr>
                  <pic:blipFill>
                    <a:blip r:embed="rId56"/>
                    <a:stretch>
                      <a:fillRect/>
                    </a:stretch>
                  </pic:blipFill>
                  <pic:spPr>
                    <a:xfrm>
                      <a:off x="0" y="0"/>
                      <a:ext cx="6035040" cy="2465633"/>
                    </a:xfrm>
                    <a:prstGeom prst="rect">
                      <a:avLst/>
                    </a:prstGeom>
                  </pic:spPr>
                </pic:pic>
              </a:graphicData>
            </a:graphic>
          </wp:inline>
        </w:drawing>
      </w:r>
    </w:p>
    <w:p w14:paraId="7429A48B">
      <w:pPr>
        <w:spacing w:before="0" w:after="110" w:line="250" w:lineRule="auto"/>
        <w:jc w:val="center"/>
        <w:rPr>
          <w:rFonts w:hint="eastAsia" w:ascii="宋体" w:hAnsi="宋体" w:eastAsia="宋体" w:cs="宋体"/>
        </w:rPr>
      </w:pPr>
      <w:r>
        <w:rPr>
          <w:rFonts w:hint="eastAsia" w:ascii="宋体" w:hAnsi="宋体" w:eastAsia="宋体" w:cs="宋体"/>
          <w:i/>
          <w:iCs/>
          <w:sz w:val="17"/>
          <w:szCs w:val="17"/>
        </w:rPr>
        <w:t>图51  采购订单状态图</w:t>
      </w:r>
    </w:p>
    <w:p w14:paraId="5B68709A">
      <w:pPr>
        <w:spacing w:before="75" w:after="30"/>
        <w:jc w:val="center"/>
        <w:rPr>
          <w:rFonts w:hint="eastAsia" w:ascii="宋体" w:hAnsi="宋体" w:eastAsia="宋体" w:cs="宋体"/>
        </w:rPr>
      </w:pPr>
      <w:r>
        <w:rPr>
          <w:rFonts w:hint="eastAsia" w:ascii="宋体" w:hAnsi="宋体" w:eastAsia="宋体" w:cs="宋体"/>
        </w:rPr>
        <w:drawing>
          <wp:inline distT="0" distB="0" distL="0" distR="0">
            <wp:extent cx="6035040" cy="2465070"/>
            <wp:effectExtent l="0" t="0" r="0" b="0"/>
            <wp:docPr id="52" name="report_image5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report_image52.png"/>
                    <pic:cNvPicPr>
                      <a:picLocks noChangeAspect="1"/>
                    </pic:cNvPicPr>
                  </pic:nvPicPr>
                  <pic:blipFill>
                    <a:blip r:embed="rId57"/>
                    <a:stretch>
                      <a:fillRect/>
                    </a:stretch>
                  </pic:blipFill>
                  <pic:spPr>
                    <a:xfrm>
                      <a:off x="0" y="0"/>
                      <a:ext cx="6035040" cy="2465633"/>
                    </a:xfrm>
                    <a:prstGeom prst="rect">
                      <a:avLst/>
                    </a:prstGeom>
                  </pic:spPr>
                </pic:pic>
              </a:graphicData>
            </a:graphic>
          </wp:inline>
        </w:drawing>
      </w:r>
    </w:p>
    <w:p w14:paraId="6C147174">
      <w:pPr>
        <w:spacing w:before="0" w:after="110" w:line="250" w:lineRule="auto"/>
        <w:jc w:val="center"/>
        <w:rPr>
          <w:rFonts w:hint="eastAsia" w:ascii="宋体" w:hAnsi="宋体" w:eastAsia="宋体" w:cs="宋体"/>
        </w:rPr>
      </w:pPr>
      <w:r>
        <w:rPr>
          <w:rFonts w:hint="eastAsia" w:ascii="宋体" w:hAnsi="宋体" w:eastAsia="宋体" w:cs="宋体"/>
          <w:i/>
          <w:iCs/>
          <w:sz w:val="17"/>
          <w:szCs w:val="17"/>
        </w:rPr>
        <w:t>图52  库存盘点状态图</w:t>
      </w:r>
    </w:p>
    <w:p w14:paraId="0BA164DB">
      <w:pPr>
        <w:spacing w:before="75" w:after="30"/>
        <w:jc w:val="center"/>
        <w:rPr>
          <w:rFonts w:hint="eastAsia" w:ascii="宋体" w:hAnsi="宋体" w:eastAsia="宋体" w:cs="宋体"/>
        </w:rPr>
      </w:pPr>
      <w:r>
        <w:rPr>
          <w:rFonts w:hint="eastAsia" w:ascii="宋体" w:hAnsi="宋体" w:eastAsia="宋体" w:cs="宋体"/>
        </w:rPr>
        <w:drawing>
          <wp:inline distT="0" distB="0" distL="0" distR="0">
            <wp:extent cx="6035040" cy="2465070"/>
            <wp:effectExtent l="0" t="0" r="0" b="0"/>
            <wp:docPr id="53" name="report_image5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report_image53.png"/>
                    <pic:cNvPicPr>
                      <a:picLocks noChangeAspect="1"/>
                    </pic:cNvPicPr>
                  </pic:nvPicPr>
                  <pic:blipFill>
                    <a:blip r:embed="rId58"/>
                    <a:stretch>
                      <a:fillRect/>
                    </a:stretch>
                  </pic:blipFill>
                  <pic:spPr>
                    <a:xfrm>
                      <a:off x="0" y="0"/>
                      <a:ext cx="6035040" cy="2465633"/>
                    </a:xfrm>
                    <a:prstGeom prst="rect">
                      <a:avLst/>
                    </a:prstGeom>
                  </pic:spPr>
                </pic:pic>
              </a:graphicData>
            </a:graphic>
          </wp:inline>
        </w:drawing>
      </w:r>
    </w:p>
    <w:p w14:paraId="2EC3EBCA">
      <w:pPr>
        <w:spacing w:before="0" w:after="110" w:line="250" w:lineRule="auto"/>
        <w:jc w:val="center"/>
        <w:rPr>
          <w:rFonts w:hint="eastAsia" w:ascii="宋体" w:hAnsi="宋体" w:eastAsia="宋体" w:cs="宋体"/>
        </w:rPr>
      </w:pPr>
      <w:r>
        <w:rPr>
          <w:rFonts w:hint="eastAsia" w:ascii="宋体" w:hAnsi="宋体" w:eastAsia="宋体" w:cs="宋体"/>
          <w:i/>
          <w:iCs/>
          <w:sz w:val="17"/>
          <w:szCs w:val="17"/>
        </w:rPr>
        <w:t>图53  销售订单状态图</w:t>
      </w:r>
    </w:p>
    <w:p w14:paraId="068C4005">
      <w:pPr>
        <w:spacing w:before="75" w:after="30"/>
        <w:jc w:val="center"/>
        <w:rPr>
          <w:rFonts w:hint="eastAsia" w:ascii="宋体" w:hAnsi="宋体" w:eastAsia="宋体" w:cs="宋体"/>
        </w:rPr>
      </w:pPr>
      <w:r>
        <w:rPr>
          <w:rFonts w:hint="eastAsia" w:ascii="宋体" w:hAnsi="宋体" w:eastAsia="宋体" w:cs="宋体"/>
        </w:rPr>
        <w:drawing>
          <wp:inline distT="0" distB="0" distL="0" distR="0">
            <wp:extent cx="6035040" cy="2497455"/>
            <wp:effectExtent l="0" t="0" r="0" b="0"/>
            <wp:docPr id="54" name="report_image5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report_image54.png"/>
                    <pic:cNvPicPr>
                      <a:picLocks noChangeAspect="1"/>
                    </pic:cNvPicPr>
                  </pic:nvPicPr>
                  <pic:blipFill>
                    <a:blip r:embed="rId59"/>
                    <a:stretch>
                      <a:fillRect/>
                    </a:stretch>
                  </pic:blipFill>
                  <pic:spPr>
                    <a:xfrm>
                      <a:off x="0" y="0"/>
                      <a:ext cx="6035040" cy="2497894"/>
                    </a:xfrm>
                    <a:prstGeom prst="rect">
                      <a:avLst/>
                    </a:prstGeom>
                  </pic:spPr>
                </pic:pic>
              </a:graphicData>
            </a:graphic>
          </wp:inline>
        </w:drawing>
      </w:r>
    </w:p>
    <w:p w14:paraId="39DCA5E1">
      <w:pPr>
        <w:spacing w:before="0" w:after="110" w:line="250" w:lineRule="auto"/>
        <w:jc w:val="center"/>
        <w:rPr>
          <w:rFonts w:hint="eastAsia" w:ascii="宋体" w:hAnsi="宋体" w:eastAsia="宋体" w:cs="宋体"/>
        </w:rPr>
      </w:pPr>
      <w:r>
        <w:rPr>
          <w:rFonts w:hint="eastAsia" w:ascii="宋体" w:hAnsi="宋体" w:eastAsia="宋体" w:cs="宋体"/>
          <w:i/>
          <w:iCs/>
          <w:sz w:val="17"/>
          <w:szCs w:val="17"/>
        </w:rPr>
        <w:t>图54  会员账户状态图</w:t>
      </w:r>
    </w:p>
    <w:p w14:paraId="38CA6D81">
      <w:pPr>
        <w:pStyle w:val="Heading3"/>
        <w:keepNext/>
        <w:pBdr>
          <w:left w:val="single" w:color="2F75B5" w:sz="12" w:space="6"/>
        </w:pBdr>
        <w:spacing w:before="220" w:after="100" w:line="360" w:lineRule="auto"/>
        <w:outlineLvl w:val="1"/>
        <w:rPr>
          <w:rFonts w:hint="eastAsia" w:ascii="宋体" w:hAnsi="宋体" w:eastAsia="宋体" w:cs="宋体"/>
        </w:rPr>
      </w:pPr>
      <w:r>
        <w:rPr>
          <w:rFonts w:hint="eastAsia" w:ascii="宋体" w:hAnsi="宋体" w:eastAsia="宋体" w:cs="宋体"/>
          <w:b/>
          <w:bCs/>
          <w:color w:val="1F4E79"/>
          <w:sz w:val="25"/>
          <w:szCs w:val="25"/>
        </w:rPr>
        <w:t>5.3.4 测试用例设计</w:t>
      </w:r>
    </w:p>
    <w:tbl>
      <w:tblPr>
        <w:tblStyle w:val="2"/>
        <w:tblW w:w="9026" w:type="dxa"/>
        <w:tblInd w:w="0" w:type="dxa"/>
        <w:tblBorders>
          <w:top w:val="single" w:color="999999" w:sz="4" w:space="0"/>
          <w:left w:val="single" w:color="999999" w:sz="4" w:space="0"/>
          <w:bottom w:val="single" w:color="999999" w:sz="4" w:space="0"/>
          <w:right w:val="single" w:color="999999" w:sz="4" w:space="0"/>
          <w:insideH w:val="single" w:color="BBBBBB" w:sz="4" w:space="0"/>
          <w:insideV w:val="single" w:color="BBBBBB" w:sz="4" w:space="0"/>
        </w:tblBorders>
        <w:tblLayout w:type="autofit"/>
        <w:tblCellMar>
          <w:top w:w="70" w:type="dxa"/>
          <w:left w:w="90" w:type="dxa"/>
          <w:bottom w:w="70" w:type="dxa"/>
          <w:right w:w="90" w:type="dxa"/>
        </w:tblCellMar>
      </w:tblPr>
      <w:tblGrid>
        <w:gridCol w:w="903"/>
        <w:gridCol w:w="3610"/>
        <w:gridCol w:w="4513"/>
      </w:tblGrid>
      <w:tr w14:paraId="24EF79C5">
        <w:tblPrEx>
          <w:tblBorders>
            <w:top w:val="single" w:color="999999" w:sz="4" w:space="0"/>
            <w:left w:val="single" w:color="999999" w:sz="4" w:space="0"/>
            <w:bottom w:val="single" w:color="999999" w:sz="4" w:space="0"/>
            <w:right w:val="single" w:color="999999" w:sz="4" w:space="0"/>
            <w:insideH w:val="single" w:color="BBBBBB" w:sz="4" w:space="0"/>
            <w:insideV w:val="single" w:color="BBBBBB" w:sz="4" w:space="0"/>
          </w:tblBorders>
          <w:tblCellMar>
            <w:top w:w="70" w:type="dxa"/>
            <w:left w:w="90" w:type="dxa"/>
            <w:bottom w:w="70" w:type="dxa"/>
            <w:right w:w="90" w:type="dxa"/>
          </w:tblCellMar>
        </w:tblPrEx>
        <w:tc>
          <w:tcPr>
            <w:tcW w:w="900" w:type="dxa"/>
            <w:shd w:val="clear" w:color="auto" w:fill="D9EAF7"/>
          </w:tcPr>
          <w:p w14:paraId="3B1DA354">
            <w:pPr>
              <w:spacing w:before="0" w:after="35" w:line="270" w:lineRule="auto"/>
              <w:rPr>
                <w:rFonts w:hint="eastAsia" w:ascii="宋体" w:hAnsi="宋体" w:eastAsia="宋体" w:cs="宋体"/>
              </w:rPr>
            </w:pPr>
            <w:r>
              <w:rPr>
                <w:rFonts w:hint="eastAsia" w:ascii="宋体" w:hAnsi="宋体" w:eastAsia="宋体" w:cs="宋体"/>
                <w:b/>
                <w:bCs/>
                <w:color w:val="1F4E79"/>
                <w:sz w:val="18"/>
                <w:szCs w:val="18"/>
              </w:rPr>
              <w:t>编号</w:t>
            </w:r>
          </w:p>
        </w:tc>
        <w:tc>
          <w:tcPr>
            <w:tcW w:w="3600" w:type="dxa"/>
            <w:shd w:val="clear" w:color="auto" w:fill="D9EAF7"/>
          </w:tcPr>
          <w:p w14:paraId="64B25ABF">
            <w:pPr>
              <w:spacing w:before="0" w:after="35" w:line="270" w:lineRule="auto"/>
              <w:rPr>
                <w:rFonts w:hint="eastAsia" w:ascii="宋体" w:hAnsi="宋体" w:eastAsia="宋体" w:cs="宋体"/>
              </w:rPr>
            </w:pPr>
            <w:r>
              <w:rPr>
                <w:rFonts w:hint="eastAsia" w:ascii="宋体" w:hAnsi="宋体" w:eastAsia="宋体" w:cs="宋体"/>
                <w:b/>
                <w:bCs/>
                <w:color w:val="1F4E79"/>
                <w:sz w:val="18"/>
                <w:szCs w:val="18"/>
              </w:rPr>
              <w:t>测试点</w:t>
            </w:r>
          </w:p>
        </w:tc>
        <w:tc>
          <w:tcPr>
            <w:tcW w:w="4500" w:type="dxa"/>
            <w:shd w:val="clear" w:color="auto" w:fill="D9EAF7"/>
          </w:tcPr>
          <w:p w14:paraId="76D959FC">
            <w:pPr>
              <w:spacing w:before="0" w:after="35" w:line="270" w:lineRule="auto"/>
              <w:rPr>
                <w:rFonts w:hint="eastAsia" w:ascii="宋体" w:hAnsi="宋体" w:eastAsia="宋体" w:cs="宋体"/>
              </w:rPr>
            </w:pPr>
            <w:r>
              <w:rPr>
                <w:rFonts w:hint="eastAsia" w:ascii="宋体" w:hAnsi="宋体" w:eastAsia="宋体" w:cs="宋体"/>
                <w:b/>
                <w:bCs/>
                <w:color w:val="1F4E79"/>
                <w:sz w:val="18"/>
                <w:szCs w:val="18"/>
              </w:rPr>
              <w:t>预期结果</w:t>
            </w:r>
          </w:p>
        </w:tc>
      </w:tr>
      <w:tr w14:paraId="0CA28BDB">
        <w:tblPrEx>
          <w:tblBorders>
            <w:top w:val="single" w:color="999999" w:sz="4" w:space="0"/>
            <w:left w:val="single" w:color="999999" w:sz="4" w:space="0"/>
            <w:bottom w:val="single" w:color="999999" w:sz="4" w:space="0"/>
            <w:right w:val="single" w:color="999999" w:sz="4" w:space="0"/>
            <w:insideH w:val="single" w:color="BBBBBB" w:sz="4" w:space="0"/>
            <w:insideV w:val="single" w:color="BBBBBB" w:sz="4" w:space="0"/>
          </w:tblBorders>
          <w:tblCellMar>
            <w:top w:w="70" w:type="dxa"/>
            <w:left w:w="90" w:type="dxa"/>
            <w:bottom w:w="70" w:type="dxa"/>
            <w:right w:w="90" w:type="dxa"/>
          </w:tblCellMar>
        </w:tblPrEx>
        <w:tc>
          <w:tcPr>
            <w:tcW w:w="900" w:type="dxa"/>
          </w:tcPr>
          <w:p w14:paraId="0492614C">
            <w:pPr>
              <w:spacing w:before="0" w:after="35" w:line="270" w:lineRule="auto"/>
              <w:rPr>
                <w:rFonts w:hint="eastAsia" w:ascii="宋体" w:hAnsi="宋体" w:eastAsia="宋体" w:cs="宋体"/>
              </w:rPr>
            </w:pPr>
            <w:r>
              <w:rPr>
                <w:rFonts w:hint="eastAsia" w:ascii="宋体" w:hAnsi="宋体" w:eastAsia="宋体" w:cs="宋体"/>
                <w:sz w:val="18"/>
                <w:szCs w:val="18"/>
              </w:rPr>
              <w:t>TC01</w:t>
            </w:r>
          </w:p>
        </w:tc>
        <w:tc>
          <w:tcPr>
            <w:tcW w:w="3600" w:type="dxa"/>
          </w:tcPr>
          <w:p w14:paraId="51D61446">
            <w:pPr>
              <w:spacing w:before="0" w:after="35" w:line="270" w:lineRule="auto"/>
              <w:rPr>
                <w:rFonts w:hint="eastAsia" w:ascii="宋体" w:hAnsi="宋体" w:eastAsia="宋体" w:cs="宋体"/>
              </w:rPr>
            </w:pPr>
            <w:r>
              <w:rPr>
                <w:rFonts w:hint="eastAsia" w:ascii="宋体" w:hAnsi="宋体" w:eastAsia="宋体" w:cs="宋体"/>
                <w:sz w:val="18"/>
                <w:szCs w:val="18"/>
              </w:rPr>
              <w:t>管理员登录成功/失败</w:t>
            </w:r>
          </w:p>
        </w:tc>
        <w:tc>
          <w:tcPr>
            <w:tcW w:w="4500" w:type="dxa"/>
          </w:tcPr>
          <w:p w14:paraId="4828B020">
            <w:pPr>
              <w:spacing w:before="0" w:after="35" w:line="270" w:lineRule="auto"/>
              <w:rPr>
                <w:rFonts w:hint="eastAsia" w:ascii="宋体" w:hAnsi="宋体" w:eastAsia="宋体" w:cs="宋体"/>
              </w:rPr>
            </w:pPr>
            <w:r>
              <w:rPr>
                <w:rFonts w:hint="eastAsia" w:ascii="宋体" w:hAnsi="宋体" w:eastAsia="宋体" w:cs="宋体"/>
                <w:sz w:val="18"/>
                <w:szCs w:val="18"/>
              </w:rPr>
              <w:t>正确账号进入后台，错误账号提示失败</w:t>
            </w:r>
          </w:p>
        </w:tc>
      </w:tr>
      <w:tr w14:paraId="1D1318B2">
        <w:tblPrEx>
          <w:tblBorders>
            <w:top w:val="single" w:color="999999" w:sz="4" w:space="0"/>
            <w:left w:val="single" w:color="999999" w:sz="4" w:space="0"/>
            <w:bottom w:val="single" w:color="999999" w:sz="4" w:space="0"/>
            <w:right w:val="single" w:color="999999" w:sz="4" w:space="0"/>
            <w:insideH w:val="single" w:color="BBBBBB" w:sz="4" w:space="0"/>
            <w:insideV w:val="single" w:color="BBBBBB" w:sz="4" w:space="0"/>
          </w:tblBorders>
          <w:tblCellMar>
            <w:top w:w="70" w:type="dxa"/>
            <w:left w:w="90" w:type="dxa"/>
            <w:bottom w:w="70" w:type="dxa"/>
            <w:right w:w="90" w:type="dxa"/>
          </w:tblCellMar>
        </w:tblPrEx>
        <w:tc>
          <w:tcPr>
            <w:tcW w:w="900" w:type="dxa"/>
            <w:shd w:val="clear" w:color="auto" w:fill="F7FBFF"/>
          </w:tcPr>
          <w:p w14:paraId="7B3C78E4">
            <w:pPr>
              <w:spacing w:before="0" w:after="35" w:line="270" w:lineRule="auto"/>
              <w:rPr>
                <w:rFonts w:hint="eastAsia" w:ascii="宋体" w:hAnsi="宋体" w:eastAsia="宋体" w:cs="宋体"/>
              </w:rPr>
            </w:pPr>
            <w:r>
              <w:rPr>
                <w:rFonts w:hint="eastAsia" w:ascii="宋体" w:hAnsi="宋体" w:eastAsia="宋体" w:cs="宋体"/>
                <w:sz w:val="18"/>
                <w:szCs w:val="18"/>
              </w:rPr>
              <w:t>TC02</w:t>
            </w:r>
          </w:p>
        </w:tc>
        <w:tc>
          <w:tcPr>
            <w:tcW w:w="3600" w:type="dxa"/>
            <w:shd w:val="clear" w:color="auto" w:fill="F7FBFF"/>
          </w:tcPr>
          <w:p w14:paraId="6262A238">
            <w:pPr>
              <w:spacing w:before="0" w:after="35" w:line="270" w:lineRule="auto"/>
              <w:rPr>
                <w:rFonts w:hint="eastAsia" w:ascii="宋体" w:hAnsi="宋体" w:eastAsia="宋体" w:cs="宋体"/>
              </w:rPr>
            </w:pPr>
            <w:r>
              <w:rPr>
                <w:rFonts w:hint="eastAsia" w:ascii="宋体" w:hAnsi="宋体" w:eastAsia="宋体" w:cs="宋体"/>
                <w:sz w:val="18"/>
                <w:szCs w:val="18"/>
              </w:rPr>
              <w:t>管理员注册申请审核</w:t>
            </w:r>
          </w:p>
        </w:tc>
        <w:tc>
          <w:tcPr>
            <w:tcW w:w="4500" w:type="dxa"/>
            <w:shd w:val="clear" w:color="auto" w:fill="F7FBFF"/>
          </w:tcPr>
          <w:p w14:paraId="60C66B1C">
            <w:pPr>
              <w:spacing w:before="0" w:after="35" w:line="270" w:lineRule="auto"/>
              <w:rPr>
                <w:rFonts w:hint="eastAsia" w:ascii="宋体" w:hAnsi="宋体" w:eastAsia="宋体" w:cs="宋体"/>
              </w:rPr>
            </w:pPr>
            <w:r>
              <w:rPr>
                <w:rFonts w:hint="eastAsia" w:ascii="宋体" w:hAnsi="宋体" w:eastAsia="宋体" w:cs="宋体"/>
                <w:sz w:val="18"/>
                <w:szCs w:val="18"/>
              </w:rPr>
              <w:t>待审核记录可通过/拒绝，状态正确更新</w:t>
            </w:r>
          </w:p>
        </w:tc>
      </w:tr>
      <w:tr w14:paraId="6A1CB4B6">
        <w:tblPrEx>
          <w:tblBorders>
            <w:top w:val="single" w:color="999999" w:sz="4" w:space="0"/>
            <w:left w:val="single" w:color="999999" w:sz="4" w:space="0"/>
            <w:bottom w:val="single" w:color="999999" w:sz="4" w:space="0"/>
            <w:right w:val="single" w:color="999999" w:sz="4" w:space="0"/>
            <w:insideH w:val="single" w:color="BBBBBB" w:sz="4" w:space="0"/>
            <w:insideV w:val="single" w:color="BBBBBB" w:sz="4" w:space="0"/>
          </w:tblBorders>
          <w:tblCellMar>
            <w:top w:w="70" w:type="dxa"/>
            <w:left w:w="90" w:type="dxa"/>
            <w:bottom w:w="70" w:type="dxa"/>
            <w:right w:w="90" w:type="dxa"/>
          </w:tblCellMar>
        </w:tblPrEx>
        <w:tc>
          <w:tcPr>
            <w:tcW w:w="900" w:type="dxa"/>
          </w:tcPr>
          <w:p w14:paraId="7F0B92BD">
            <w:pPr>
              <w:spacing w:before="0" w:after="35" w:line="270" w:lineRule="auto"/>
              <w:rPr>
                <w:rFonts w:hint="eastAsia" w:ascii="宋体" w:hAnsi="宋体" w:eastAsia="宋体" w:cs="宋体"/>
              </w:rPr>
            </w:pPr>
            <w:r>
              <w:rPr>
                <w:rFonts w:hint="eastAsia" w:ascii="宋体" w:hAnsi="宋体" w:eastAsia="宋体" w:cs="宋体"/>
                <w:sz w:val="18"/>
                <w:szCs w:val="18"/>
              </w:rPr>
              <w:t>TC03</w:t>
            </w:r>
          </w:p>
        </w:tc>
        <w:tc>
          <w:tcPr>
            <w:tcW w:w="3600" w:type="dxa"/>
          </w:tcPr>
          <w:p w14:paraId="2BEAAD01">
            <w:pPr>
              <w:spacing w:before="0" w:after="35" w:line="270" w:lineRule="auto"/>
              <w:rPr>
                <w:rFonts w:hint="eastAsia" w:ascii="宋体" w:hAnsi="宋体" w:eastAsia="宋体" w:cs="宋体"/>
              </w:rPr>
            </w:pPr>
            <w:r>
              <w:rPr>
                <w:rFonts w:hint="eastAsia" w:ascii="宋体" w:hAnsi="宋体" w:eastAsia="宋体" w:cs="宋体"/>
                <w:sz w:val="18"/>
                <w:szCs w:val="18"/>
              </w:rPr>
              <w:t>商品新增与重复编码校验</w:t>
            </w:r>
          </w:p>
        </w:tc>
        <w:tc>
          <w:tcPr>
            <w:tcW w:w="4500" w:type="dxa"/>
          </w:tcPr>
          <w:p w14:paraId="03E04F47">
            <w:pPr>
              <w:spacing w:before="0" w:after="35" w:line="270" w:lineRule="auto"/>
              <w:rPr>
                <w:rFonts w:hint="eastAsia" w:ascii="宋体" w:hAnsi="宋体" w:eastAsia="宋体" w:cs="宋体"/>
              </w:rPr>
            </w:pPr>
            <w:r>
              <w:rPr>
                <w:rFonts w:hint="eastAsia" w:ascii="宋体" w:hAnsi="宋体" w:eastAsia="宋体" w:cs="宋体"/>
                <w:sz w:val="18"/>
                <w:szCs w:val="18"/>
              </w:rPr>
              <w:t>合法商品创建成功，重复编码被拒绝</w:t>
            </w:r>
          </w:p>
        </w:tc>
      </w:tr>
      <w:tr w14:paraId="6785A0D6">
        <w:tblPrEx>
          <w:tblBorders>
            <w:top w:val="single" w:color="999999" w:sz="4" w:space="0"/>
            <w:left w:val="single" w:color="999999" w:sz="4" w:space="0"/>
            <w:bottom w:val="single" w:color="999999" w:sz="4" w:space="0"/>
            <w:right w:val="single" w:color="999999" w:sz="4" w:space="0"/>
            <w:insideH w:val="single" w:color="BBBBBB" w:sz="4" w:space="0"/>
            <w:insideV w:val="single" w:color="BBBBBB" w:sz="4" w:space="0"/>
          </w:tblBorders>
          <w:tblCellMar>
            <w:top w:w="70" w:type="dxa"/>
            <w:left w:w="90" w:type="dxa"/>
            <w:bottom w:w="70" w:type="dxa"/>
            <w:right w:w="90" w:type="dxa"/>
          </w:tblCellMar>
        </w:tblPrEx>
        <w:tc>
          <w:tcPr>
            <w:tcW w:w="900" w:type="dxa"/>
            <w:shd w:val="clear" w:color="auto" w:fill="F7FBFF"/>
          </w:tcPr>
          <w:p w14:paraId="39C1B54E">
            <w:pPr>
              <w:spacing w:before="0" w:after="35" w:line="270" w:lineRule="auto"/>
              <w:rPr>
                <w:rFonts w:hint="eastAsia" w:ascii="宋体" w:hAnsi="宋体" w:eastAsia="宋体" w:cs="宋体"/>
              </w:rPr>
            </w:pPr>
            <w:r>
              <w:rPr>
                <w:rFonts w:hint="eastAsia" w:ascii="宋体" w:hAnsi="宋体" w:eastAsia="宋体" w:cs="宋体"/>
                <w:sz w:val="18"/>
                <w:szCs w:val="18"/>
              </w:rPr>
              <w:t>TC04</w:t>
            </w:r>
          </w:p>
        </w:tc>
        <w:tc>
          <w:tcPr>
            <w:tcW w:w="3600" w:type="dxa"/>
            <w:shd w:val="clear" w:color="auto" w:fill="F7FBFF"/>
          </w:tcPr>
          <w:p w14:paraId="56F822A4">
            <w:pPr>
              <w:spacing w:before="0" w:after="35" w:line="270" w:lineRule="auto"/>
              <w:rPr>
                <w:rFonts w:hint="eastAsia" w:ascii="宋体" w:hAnsi="宋体" w:eastAsia="宋体" w:cs="宋体"/>
              </w:rPr>
            </w:pPr>
            <w:r>
              <w:rPr>
                <w:rFonts w:hint="eastAsia" w:ascii="宋体" w:hAnsi="宋体" w:eastAsia="宋体" w:cs="宋体"/>
                <w:sz w:val="18"/>
                <w:szCs w:val="18"/>
              </w:rPr>
              <w:t>CSV/Excel 商品导入</w:t>
            </w:r>
          </w:p>
        </w:tc>
        <w:tc>
          <w:tcPr>
            <w:tcW w:w="4500" w:type="dxa"/>
            <w:shd w:val="clear" w:color="auto" w:fill="F7FBFF"/>
          </w:tcPr>
          <w:p w14:paraId="5D9A0614">
            <w:pPr>
              <w:spacing w:before="0" w:after="35" w:line="270" w:lineRule="auto"/>
              <w:rPr>
                <w:rFonts w:hint="eastAsia" w:ascii="宋体" w:hAnsi="宋体" w:eastAsia="宋体" w:cs="宋体"/>
              </w:rPr>
            </w:pPr>
            <w:r>
              <w:rPr>
                <w:rFonts w:hint="eastAsia" w:ascii="宋体" w:hAnsi="宋体" w:eastAsia="宋体" w:cs="宋体"/>
                <w:sz w:val="18"/>
                <w:szCs w:val="18"/>
              </w:rPr>
              <w:t>导入成功后生成商品和初始库存</w:t>
            </w:r>
          </w:p>
        </w:tc>
      </w:tr>
      <w:tr w14:paraId="0CB8898E">
        <w:tblPrEx>
          <w:tblBorders>
            <w:top w:val="single" w:color="999999" w:sz="4" w:space="0"/>
            <w:left w:val="single" w:color="999999" w:sz="4" w:space="0"/>
            <w:bottom w:val="single" w:color="999999" w:sz="4" w:space="0"/>
            <w:right w:val="single" w:color="999999" w:sz="4" w:space="0"/>
            <w:insideH w:val="single" w:color="BBBBBB" w:sz="4" w:space="0"/>
            <w:insideV w:val="single" w:color="BBBBBB" w:sz="4" w:space="0"/>
          </w:tblBorders>
          <w:tblCellMar>
            <w:top w:w="70" w:type="dxa"/>
            <w:left w:w="90" w:type="dxa"/>
            <w:bottom w:w="70" w:type="dxa"/>
            <w:right w:w="90" w:type="dxa"/>
          </w:tblCellMar>
        </w:tblPrEx>
        <w:tc>
          <w:tcPr>
            <w:tcW w:w="900" w:type="dxa"/>
          </w:tcPr>
          <w:p w14:paraId="5E203C4E">
            <w:pPr>
              <w:spacing w:before="0" w:after="35" w:line="270" w:lineRule="auto"/>
              <w:rPr>
                <w:rFonts w:hint="eastAsia" w:ascii="宋体" w:hAnsi="宋体" w:eastAsia="宋体" w:cs="宋体"/>
              </w:rPr>
            </w:pPr>
            <w:r>
              <w:rPr>
                <w:rFonts w:hint="eastAsia" w:ascii="宋体" w:hAnsi="宋体" w:eastAsia="宋体" w:cs="宋体"/>
                <w:sz w:val="18"/>
                <w:szCs w:val="18"/>
              </w:rPr>
              <w:t>TC05</w:t>
            </w:r>
          </w:p>
        </w:tc>
        <w:tc>
          <w:tcPr>
            <w:tcW w:w="3600" w:type="dxa"/>
          </w:tcPr>
          <w:p w14:paraId="7F299FF0">
            <w:pPr>
              <w:spacing w:before="0" w:after="35" w:line="270" w:lineRule="auto"/>
              <w:rPr>
                <w:rFonts w:hint="eastAsia" w:ascii="宋体" w:hAnsi="宋体" w:eastAsia="宋体" w:cs="宋体"/>
              </w:rPr>
            </w:pPr>
            <w:r>
              <w:rPr>
                <w:rFonts w:hint="eastAsia" w:ascii="宋体" w:hAnsi="宋体" w:eastAsia="宋体" w:cs="宋体"/>
                <w:sz w:val="18"/>
                <w:szCs w:val="18"/>
              </w:rPr>
              <w:t>库存调整与流水</w:t>
            </w:r>
          </w:p>
        </w:tc>
        <w:tc>
          <w:tcPr>
            <w:tcW w:w="4500" w:type="dxa"/>
          </w:tcPr>
          <w:p w14:paraId="1EE9191D">
            <w:pPr>
              <w:spacing w:before="0" w:after="35" w:line="270" w:lineRule="auto"/>
              <w:rPr>
                <w:rFonts w:hint="eastAsia" w:ascii="宋体" w:hAnsi="宋体" w:eastAsia="宋体" w:cs="宋体"/>
              </w:rPr>
            </w:pPr>
            <w:r>
              <w:rPr>
                <w:rFonts w:hint="eastAsia" w:ascii="宋体" w:hAnsi="宋体" w:eastAsia="宋体" w:cs="宋体"/>
                <w:sz w:val="18"/>
                <w:szCs w:val="18"/>
              </w:rPr>
              <w:t>库存数量变化并写入 InventoryLog</w:t>
            </w:r>
          </w:p>
        </w:tc>
      </w:tr>
      <w:tr w14:paraId="307D40B0">
        <w:tblPrEx>
          <w:tblBorders>
            <w:top w:val="single" w:color="999999" w:sz="4" w:space="0"/>
            <w:left w:val="single" w:color="999999" w:sz="4" w:space="0"/>
            <w:bottom w:val="single" w:color="999999" w:sz="4" w:space="0"/>
            <w:right w:val="single" w:color="999999" w:sz="4" w:space="0"/>
            <w:insideH w:val="single" w:color="BBBBBB" w:sz="4" w:space="0"/>
            <w:insideV w:val="single" w:color="BBBBBB" w:sz="4" w:space="0"/>
          </w:tblBorders>
          <w:tblCellMar>
            <w:top w:w="70" w:type="dxa"/>
            <w:left w:w="90" w:type="dxa"/>
            <w:bottom w:w="70" w:type="dxa"/>
            <w:right w:w="90" w:type="dxa"/>
          </w:tblCellMar>
        </w:tblPrEx>
        <w:tc>
          <w:tcPr>
            <w:tcW w:w="900" w:type="dxa"/>
            <w:shd w:val="clear" w:color="auto" w:fill="F7FBFF"/>
          </w:tcPr>
          <w:p w14:paraId="556B44CE">
            <w:pPr>
              <w:spacing w:before="0" w:after="35" w:line="270" w:lineRule="auto"/>
              <w:rPr>
                <w:rFonts w:hint="eastAsia" w:ascii="宋体" w:hAnsi="宋体" w:eastAsia="宋体" w:cs="宋体"/>
              </w:rPr>
            </w:pPr>
            <w:r>
              <w:rPr>
                <w:rFonts w:hint="eastAsia" w:ascii="宋体" w:hAnsi="宋体" w:eastAsia="宋体" w:cs="宋体"/>
                <w:sz w:val="18"/>
                <w:szCs w:val="18"/>
              </w:rPr>
              <w:t>TC06</w:t>
            </w:r>
          </w:p>
        </w:tc>
        <w:tc>
          <w:tcPr>
            <w:tcW w:w="3600" w:type="dxa"/>
            <w:shd w:val="clear" w:color="auto" w:fill="F7FBFF"/>
          </w:tcPr>
          <w:p w14:paraId="35BBD4E2">
            <w:pPr>
              <w:spacing w:before="0" w:after="35" w:line="270" w:lineRule="auto"/>
              <w:rPr>
                <w:rFonts w:hint="eastAsia" w:ascii="宋体" w:hAnsi="宋体" w:eastAsia="宋体" w:cs="宋体"/>
              </w:rPr>
            </w:pPr>
            <w:r>
              <w:rPr>
                <w:rFonts w:hint="eastAsia" w:ascii="宋体" w:hAnsi="宋体" w:eastAsia="宋体" w:cs="宋体"/>
                <w:sz w:val="18"/>
                <w:szCs w:val="18"/>
              </w:rPr>
              <w:t>收银结算库存不足</w:t>
            </w:r>
          </w:p>
        </w:tc>
        <w:tc>
          <w:tcPr>
            <w:tcW w:w="4500" w:type="dxa"/>
            <w:shd w:val="clear" w:color="auto" w:fill="F7FBFF"/>
          </w:tcPr>
          <w:p w14:paraId="790BD414">
            <w:pPr>
              <w:spacing w:before="0" w:after="35" w:line="270" w:lineRule="auto"/>
              <w:rPr>
                <w:rFonts w:hint="eastAsia" w:ascii="宋体" w:hAnsi="宋体" w:eastAsia="宋体" w:cs="宋体"/>
              </w:rPr>
            </w:pPr>
            <w:r>
              <w:rPr>
                <w:rFonts w:hint="eastAsia" w:ascii="宋体" w:hAnsi="宋体" w:eastAsia="宋体" w:cs="宋体"/>
                <w:sz w:val="18"/>
                <w:szCs w:val="18"/>
              </w:rPr>
              <w:t>库存不足阻止结算并返回错误</w:t>
            </w:r>
          </w:p>
        </w:tc>
      </w:tr>
      <w:tr w14:paraId="089EDE83">
        <w:tblPrEx>
          <w:tblBorders>
            <w:top w:val="single" w:color="999999" w:sz="4" w:space="0"/>
            <w:left w:val="single" w:color="999999" w:sz="4" w:space="0"/>
            <w:bottom w:val="single" w:color="999999" w:sz="4" w:space="0"/>
            <w:right w:val="single" w:color="999999" w:sz="4" w:space="0"/>
            <w:insideH w:val="single" w:color="BBBBBB" w:sz="4" w:space="0"/>
            <w:insideV w:val="single" w:color="BBBBBB" w:sz="4" w:space="0"/>
          </w:tblBorders>
          <w:tblCellMar>
            <w:top w:w="70" w:type="dxa"/>
            <w:left w:w="90" w:type="dxa"/>
            <w:bottom w:w="70" w:type="dxa"/>
            <w:right w:w="90" w:type="dxa"/>
          </w:tblCellMar>
        </w:tblPrEx>
        <w:tc>
          <w:tcPr>
            <w:tcW w:w="900" w:type="dxa"/>
          </w:tcPr>
          <w:p w14:paraId="27960F2D">
            <w:pPr>
              <w:spacing w:before="0" w:after="35" w:line="270" w:lineRule="auto"/>
              <w:rPr>
                <w:rFonts w:hint="eastAsia" w:ascii="宋体" w:hAnsi="宋体" w:eastAsia="宋体" w:cs="宋体"/>
              </w:rPr>
            </w:pPr>
            <w:r>
              <w:rPr>
                <w:rFonts w:hint="eastAsia" w:ascii="宋体" w:hAnsi="宋体" w:eastAsia="宋体" w:cs="宋体"/>
                <w:sz w:val="18"/>
                <w:szCs w:val="18"/>
              </w:rPr>
              <w:t>TC07</w:t>
            </w:r>
          </w:p>
        </w:tc>
        <w:tc>
          <w:tcPr>
            <w:tcW w:w="3600" w:type="dxa"/>
          </w:tcPr>
          <w:p w14:paraId="38E67C0C">
            <w:pPr>
              <w:spacing w:before="0" w:after="35" w:line="270" w:lineRule="auto"/>
              <w:rPr>
                <w:rFonts w:hint="eastAsia" w:ascii="宋体" w:hAnsi="宋体" w:eastAsia="宋体" w:cs="宋体"/>
              </w:rPr>
            </w:pPr>
            <w:r>
              <w:rPr>
                <w:rFonts w:hint="eastAsia" w:ascii="宋体" w:hAnsi="宋体" w:eastAsia="宋体" w:cs="宋体"/>
                <w:sz w:val="18"/>
                <w:szCs w:val="18"/>
              </w:rPr>
              <w:t>收银结算成功</w:t>
            </w:r>
          </w:p>
        </w:tc>
        <w:tc>
          <w:tcPr>
            <w:tcW w:w="4500" w:type="dxa"/>
          </w:tcPr>
          <w:p w14:paraId="43535AF8">
            <w:pPr>
              <w:spacing w:before="0" w:after="35" w:line="270" w:lineRule="auto"/>
              <w:rPr>
                <w:rFonts w:hint="eastAsia" w:ascii="宋体" w:hAnsi="宋体" w:eastAsia="宋体" w:cs="宋体"/>
              </w:rPr>
            </w:pPr>
            <w:r>
              <w:rPr>
                <w:rFonts w:hint="eastAsia" w:ascii="宋体" w:hAnsi="宋体" w:eastAsia="宋体" w:cs="宋体"/>
                <w:sz w:val="18"/>
                <w:szCs w:val="18"/>
              </w:rPr>
              <w:t>生成销售单、明细和库存扣减</w:t>
            </w:r>
          </w:p>
        </w:tc>
      </w:tr>
      <w:tr w14:paraId="059C896D">
        <w:tblPrEx>
          <w:tblBorders>
            <w:top w:val="single" w:color="999999" w:sz="4" w:space="0"/>
            <w:left w:val="single" w:color="999999" w:sz="4" w:space="0"/>
            <w:bottom w:val="single" w:color="999999" w:sz="4" w:space="0"/>
            <w:right w:val="single" w:color="999999" w:sz="4" w:space="0"/>
            <w:insideH w:val="single" w:color="BBBBBB" w:sz="4" w:space="0"/>
            <w:insideV w:val="single" w:color="BBBBBB" w:sz="4" w:space="0"/>
          </w:tblBorders>
          <w:tblCellMar>
            <w:top w:w="70" w:type="dxa"/>
            <w:left w:w="90" w:type="dxa"/>
            <w:bottom w:w="70" w:type="dxa"/>
            <w:right w:w="90" w:type="dxa"/>
          </w:tblCellMar>
        </w:tblPrEx>
        <w:tc>
          <w:tcPr>
            <w:tcW w:w="900" w:type="dxa"/>
            <w:shd w:val="clear" w:color="auto" w:fill="F7FBFF"/>
          </w:tcPr>
          <w:p w14:paraId="4DBF8F31">
            <w:pPr>
              <w:spacing w:before="0" w:after="35" w:line="270" w:lineRule="auto"/>
              <w:rPr>
                <w:rFonts w:hint="eastAsia" w:ascii="宋体" w:hAnsi="宋体" w:eastAsia="宋体" w:cs="宋体"/>
              </w:rPr>
            </w:pPr>
            <w:r>
              <w:rPr>
                <w:rFonts w:hint="eastAsia" w:ascii="宋体" w:hAnsi="宋体" w:eastAsia="宋体" w:cs="宋体"/>
                <w:sz w:val="18"/>
                <w:szCs w:val="18"/>
              </w:rPr>
              <w:t>TC08</w:t>
            </w:r>
          </w:p>
        </w:tc>
        <w:tc>
          <w:tcPr>
            <w:tcW w:w="3600" w:type="dxa"/>
            <w:shd w:val="clear" w:color="auto" w:fill="F7FBFF"/>
          </w:tcPr>
          <w:p w14:paraId="1D57248C">
            <w:pPr>
              <w:spacing w:before="0" w:after="35" w:line="270" w:lineRule="auto"/>
              <w:rPr>
                <w:rFonts w:hint="eastAsia" w:ascii="宋体" w:hAnsi="宋体" w:eastAsia="宋体" w:cs="宋体"/>
              </w:rPr>
            </w:pPr>
            <w:r>
              <w:rPr>
                <w:rFonts w:hint="eastAsia" w:ascii="宋体" w:hAnsi="宋体" w:eastAsia="宋体" w:cs="宋体"/>
                <w:sz w:val="18"/>
                <w:szCs w:val="18"/>
              </w:rPr>
              <w:t>销售订单明细查询</w:t>
            </w:r>
          </w:p>
        </w:tc>
        <w:tc>
          <w:tcPr>
            <w:tcW w:w="4500" w:type="dxa"/>
            <w:shd w:val="clear" w:color="auto" w:fill="F7FBFF"/>
          </w:tcPr>
          <w:p w14:paraId="18FE706E">
            <w:pPr>
              <w:spacing w:before="0" w:after="35" w:line="270" w:lineRule="auto"/>
              <w:rPr>
                <w:rFonts w:hint="eastAsia" w:ascii="宋体" w:hAnsi="宋体" w:eastAsia="宋体" w:cs="宋体"/>
              </w:rPr>
            </w:pPr>
            <w:r>
              <w:rPr>
                <w:rFonts w:hint="eastAsia" w:ascii="宋体" w:hAnsi="宋体" w:eastAsia="宋体" w:cs="宋体"/>
                <w:sz w:val="18"/>
                <w:szCs w:val="18"/>
              </w:rPr>
              <w:t>按订单返回商品明细、金额和支付信息</w:t>
            </w:r>
          </w:p>
        </w:tc>
      </w:tr>
      <w:tr w14:paraId="1D809C6B">
        <w:tblPrEx>
          <w:tblBorders>
            <w:top w:val="single" w:color="999999" w:sz="4" w:space="0"/>
            <w:left w:val="single" w:color="999999" w:sz="4" w:space="0"/>
            <w:bottom w:val="single" w:color="999999" w:sz="4" w:space="0"/>
            <w:right w:val="single" w:color="999999" w:sz="4" w:space="0"/>
            <w:insideH w:val="single" w:color="BBBBBB" w:sz="4" w:space="0"/>
            <w:insideV w:val="single" w:color="BBBBBB" w:sz="4" w:space="0"/>
          </w:tblBorders>
          <w:tblCellMar>
            <w:top w:w="70" w:type="dxa"/>
            <w:left w:w="90" w:type="dxa"/>
            <w:bottom w:w="70" w:type="dxa"/>
            <w:right w:w="90" w:type="dxa"/>
          </w:tblCellMar>
        </w:tblPrEx>
        <w:tc>
          <w:tcPr>
            <w:tcW w:w="900" w:type="dxa"/>
          </w:tcPr>
          <w:p w14:paraId="018B6C53">
            <w:pPr>
              <w:spacing w:before="0" w:after="35" w:line="270" w:lineRule="auto"/>
              <w:rPr>
                <w:rFonts w:hint="eastAsia" w:ascii="宋体" w:hAnsi="宋体" w:eastAsia="宋体" w:cs="宋体"/>
              </w:rPr>
            </w:pPr>
            <w:r>
              <w:rPr>
                <w:rFonts w:hint="eastAsia" w:ascii="宋体" w:hAnsi="宋体" w:eastAsia="宋体" w:cs="宋体"/>
                <w:sz w:val="18"/>
                <w:szCs w:val="18"/>
              </w:rPr>
              <w:t>TC09</w:t>
            </w:r>
          </w:p>
        </w:tc>
        <w:tc>
          <w:tcPr>
            <w:tcW w:w="3600" w:type="dxa"/>
          </w:tcPr>
          <w:p w14:paraId="6B4A9052">
            <w:pPr>
              <w:spacing w:before="0" w:after="35" w:line="270" w:lineRule="auto"/>
              <w:rPr>
                <w:rFonts w:hint="eastAsia" w:ascii="宋体" w:hAnsi="宋体" w:eastAsia="宋体" w:cs="宋体"/>
              </w:rPr>
            </w:pPr>
            <w:r>
              <w:rPr>
                <w:rFonts w:hint="eastAsia" w:ascii="宋体" w:hAnsi="宋体" w:eastAsia="宋体" w:cs="宋体"/>
                <w:sz w:val="18"/>
                <w:szCs w:val="18"/>
              </w:rPr>
              <w:t>财务日结对账</w:t>
            </w:r>
          </w:p>
        </w:tc>
        <w:tc>
          <w:tcPr>
            <w:tcW w:w="4500" w:type="dxa"/>
          </w:tcPr>
          <w:p w14:paraId="32B27E8F">
            <w:pPr>
              <w:spacing w:before="0" w:after="35" w:line="270" w:lineRule="auto"/>
              <w:rPr>
                <w:rFonts w:hint="eastAsia" w:ascii="宋体" w:hAnsi="宋体" w:eastAsia="宋体" w:cs="宋体"/>
              </w:rPr>
            </w:pPr>
            <w:r>
              <w:rPr>
                <w:rFonts w:hint="eastAsia" w:ascii="宋体" w:hAnsi="宋体" w:eastAsia="宋体" w:cs="宋体"/>
                <w:sz w:val="18"/>
                <w:szCs w:val="18"/>
              </w:rPr>
              <w:t>保存实收、系统收入和差异</w:t>
            </w:r>
          </w:p>
        </w:tc>
      </w:tr>
      <w:tr w14:paraId="49938550">
        <w:tblPrEx>
          <w:tblBorders>
            <w:top w:val="single" w:color="999999" w:sz="4" w:space="0"/>
            <w:left w:val="single" w:color="999999" w:sz="4" w:space="0"/>
            <w:bottom w:val="single" w:color="999999" w:sz="4" w:space="0"/>
            <w:right w:val="single" w:color="999999" w:sz="4" w:space="0"/>
            <w:insideH w:val="single" w:color="BBBBBB" w:sz="4" w:space="0"/>
            <w:insideV w:val="single" w:color="BBBBBB" w:sz="4" w:space="0"/>
          </w:tblBorders>
          <w:tblCellMar>
            <w:top w:w="70" w:type="dxa"/>
            <w:left w:w="90" w:type="dxa"/>
            <w:bottom w:w="70" w:type="dxa"/>
            <w:right w:w="90" w:type="dxa"/>
          </w:tblCellMar>
        </w:tblPrEx>
        <w:tc>
          <w:tcPr>
            <w:tcW w:w="900" w:type="dxa"/>
            <w:shd w:val="clear" w:color="auto" w:fill="F7FBFF"/>
          </w:tcPr>
          <w:p w14:paraId="33D9C39F">
            <w:pPr>
              <w:spacing w:before="0" w:after="35" w:line="270" w:lineRule="auto"/>
              <w:rPr>
                <w:rFonts w:hint="eastAsia" w:ascii="宋体" w:hAnsi="宋体" w:eastAsia="宋体" w:cs="宋体"/>
              </w:rPr>
            </w:pPr>
            <w:r>
              <w:rPr>
                <w:rFonts w:hint="eastAsia" w:ascii="宋体" w:hAnsi="宋体" w:eastAsia="宋体" w:cs="宋体"/>
                <w:sz w:val="18"/>
                <w:szCs w:val="18"/>
              </w:rPr>
              <w:t>TC10</w:t>
            </w:r>
          </w:p>
        </w:tc>
        <w:tc>
          <w:tcPr>
            <w:tcW w:w="3600" w:type="dxa"/>
            <w:shd w:val="clear" w:color="auto" w:fill="F7FBFF"/>
          </w:tcPr>
          <w:p w14:paraId="7DE3DB40">
            <w:pPr>
              <w:spacing w:before="0" w:after="35" w:line="270" w:lineRule="auto"/>
              <w:rPr>
                <w:rFonts w:hint="eastAsia" w:ascii="宋体" w:hAnsi="宋体" w:eastAsia="宋体" w:cs="宋体"/>
              </w:rPr>
            </w:pPr>
            <w:r>
              <w:rPr>
                <w:rFonts w:hint="eastAsia" w:ascii="宋体" w:hAnsi="宋体" w:eastAsia="宋体" w:cs="宋体"/>
                <w:sz w:val="18"/>
                <w:szCs w:val="18"/>
              </w:rPr>
              <w:t>公告发布与已读</w:t>
            </w:r>
          </w:p>
        </w:tc>
        <w:tc>
          <w:tcPr>
            <w:tcW w:w="4500" w:type="dxa"/>
            <w:shd w:val="clear" w:color="auto" w:fill="F7FBFF"/>
          </w:tcPr>
          <w:p w14:paraId="40A7E37F">
            <w:pPr>
              <w:spacing w:before="0" w:after="35" w:line="270" w:lineRule="auto"/>
              <w:rPr>
                <w:rFonts w:hint="eastAsia" w:ascii="宋体" w:hAnsi="宋体" w:eastAsia="宋体" w:cs="宋体"/>
              </w:rPr>
            </w:pPr>
            <w:r>
              <w:rPr>
                <w:rFonts w:hint="eastAsia" w:ascii="宋体" w:hAnsi="宋体" w:eastAsia="宋体" w:cs="宋体"/>
                <w:sz w:val="18"/>
                <w:szCs w:val="18"/>
              </w:rPr>
              <w:t>目标角色可见公告，已读后未读数更新</w:t>
            </w:r>
          </w:p>
        </w:tc>
      </w:tr>
      <w:tr w14:paraId="534A3628">
        <w:tblPrEx>
          <w:tblBorders>
            <w:top w:val="single" w:color="999999" w:sz="4" w:space="0"/>
            <w:left w:val="single" w:color="999999" w:sz="4" w:space="0"/>
            <w:bottom w:val="single" w:color="999999" w:sz="4" w:space="0"/>
            <w:right w:val="single" w:color="999999" w:sz="4" w:space="0"/>
            <w:insideH w:val="single" w:color="BBBBBB" w:sz="4" w:space="0"/>
            <w:insideV w:val="single" w:color="BBBBBB" w:sz="4" w:space="0"/>
          </w:tblBorders>
          <w:tblCellMar>
            <w:top w:w="70" w:type="dxa"/>
            <w:left w:w="90" w:type="dxa"/>
            <w:bottom w:w="70" w:type="dxa"/>
            <w:right w:w="90" w:type="dxa"/>
          </w:tblCellMar>
        </w:tblPrEx>
        <w:tc>
          <w:tcPr>
            <w:tcW w:w="900" w:type="dxa"/>
          </w:tcPr>
          <w:p w14:paraId="01AD9137">
            <w:pPr>
              <w:spacing w:before="0" w:after="35" w:line="270" w:lineRule="auto"/>
              <w:rPr>
                <w:rFonts w:hint="eastAsia" w:ascii="宋体" w:hAnsi="宋体" w:eastAsia="宋体" w:cs="宋体"/>
              </w:rPr>
            </w:pPr>
            <w:r>
              <w:rPr>
                <w:rFonts w:hint="eastAsia" w:ascii="宋体" w:hAnsi="宋体" w:eastAsia="宋体" w:cs="宋体"/>
                <w:sz w:val="18"/>
                <w:szCs w:val="18"/>
              </w:rPr>
              <w:t>TC11</w:t>
            </w:r>
          </w:p>
        </w:tc>
        <w:tc>
          <w:tcPr>
            <w:tcW w:w="3600" w:type="dxa"/>
          </w:tcPr>
          <w:p w14:paraId="32437BB7">
            <w:pPr>
              <w:spacing w:before="0" w:after="35" w:line="270" w:lineRule="auto"/>
              <w:rPr>
                <w:rFonts w:hint="eastAsia" w:ascii="宋体" w:hAnsi="宋体" w:eastAsia="宋体" w:cs="宋体"/>
              </w:rPr>
            </w:pPr>
            <w:r>
              <w:rPr>
                <w:rFonts w:hint="eastAsia" w:ascii="宋体" w:hAnsi="宋体" w:eastAsia="宋体" w:cs="宋体"/>
                <w:sz w:val="18"/>
                <w:szCs w:val="18"/>
              </w:rPr>
              <w:t>智能助手问答</w:t>
            </w:r>
          </w:p>
        </w:tc>
        <w:tc>
          <w:tcPr>
            <w:tcW w:w="4500" w:type="dxa"/>
          </w:tcPr>
          <w:p w14:paraId="06C91A69">
            <w:pPr>
              <w:spacing w:before="0" w:after="35" w:line="270" w:lineRule="auto"/>
              <w:rPr>
                <w:rFonts w:hint="eastAsia" w:ascii="宋体" w:hAnsi="宋体" w:eastAsia="宋体" w:cs="宋体"/>
              </w:rPr>
            </w:pPr>
            <w:r>
              <w:rPr>
                <w:rFonts w:hint="eastAsia" w:ascii="宋体" w:hAnsi="宋体" w:eastAsia="宋体" w:cs="宋体"/>
                <w:sz w:val="18"/>
                <w:szCs w:val="18"/>
              </w:rPr>
              <w:t>返回库存/销售/商品/帮助类回复</w:t>
            </w:r>
          </w:p>
        </w:tc>
      </w:tr>
      <w:tr w14:paraId="554AF6BA">
        <w:tblPrEx>
          <w:tblBorders>
            <w:top w:val="single" w:color="999999" w:sz="4" w:space="0"/>
            <w:left w:val="single" w:color="999999" w:sz="4" w:space="0"/>
            <w:bottom w:val="single" w:color="999999" w:sz="4" w:space="0"/>
            <w:right w:val="single" w:color="999999" w:sz="4" w:space="0"/>
            <w:insideH w:val="single" w:color="BBBBBB" w:sz="4" w:space="0"/>
            <w:insideV w:val="single" w:color="BBBBBB" w:sz="4" w:space="0"/>
          </w:tblBorders>
          <w:tblCellMar>
            <w:top w:w="70" w:type="dxa"/>
            <w:left w:w="90" w:type="dxa"/>
            <w:bottom w:w="70" w:type="dxa"/>
            <w:right w:w="90" w:type="dxa"/>
          </w:tblCellMar>
        </w:tblPrEx>
        <w:tc>
          <w:tcPr>
            <w:tcW w:w="900" w:type="dxa"/>
            <w:shd w:val="clear" w:color="auto" w:fill="F7FBFF"/>
          </w:tcPr>
          <w:p w14:paraId="1BF6E0FE">
            <w:pPr>
              <w:spacing w:before="0" w:after="35" w:line="270" w:lineRule="auto"/>
              <w:rPr>
                <w:rFonts w:hint="eastAsia" w:ascii="宋体" w:hAnsi="宋体" w:eastAsia="宋体" w:cs="宋体"/>
              </w:rPr>
            </w:pPr>
            <w:r>
              <w:rPr>
                <w:rFonts w:hint="eastAsia" w:ascii="宋体" w:hAnsi="宋体" w:eastAsia="宋体" w:cs="宋体"/>
                <w:sz w:val="18"/>
                <w:szCs w:val="18"/>
              </w:rPr>
              <w:t>TC12</w:t>
            </w:r>
          </w:p>
        </w:tc>
        <w:tc>
          <w:tcPr>
            <w:tcW w:w="3600" w:type="dxa"/>
            <w:shd w:val="clear" w:color="auto" w:fill="F7FBFF"/>
          </w:tcPr>
          <w:p w14:paraId="55D876EA">
            <w:pPr>
              <w:spacing w:before="0" w:after="35" w:line="270" w:lineRule="auto"/>
              <w:rPr>
                <w:rFonts w:hint="eastAsia" w:ascii="宋体" w:hAnsi="宋体" w:eastAsia="宋体" w:cs="宋体"/>
              </w:rPr>
            </w:pPr>
            <w:r>
              <w:rPr>
                <w:rFonts w:hint="eastAsia" w:ascii="宋体" w:hAnsi="宋体" w:eastAsia="宋体" w:cs="宋体"/>
                <w:sz w:val="18"/>
                <w:szCs w:val="18"/>
              </w:rPr>
              <w:t>角色权限控制</w:t>
            </w:r>
          </w:p>
        </w:tc>
        <w:tc>
          <w:tcPr>
            <w:tcW w:w="4500" w:type="dxa"/>
            <w:shd w:val="clear" w:color="auto" w:fill="F7FBFF"/>
          </w:tcPr>
          <w:p w14:paraId="4501C02F">
            <w:pPr>
              <w:spacing w:before="0" w:after="35" w:line="270" w:lineRule="auto"/>
              <w:rPr>
                <w:rFonts w:hint="eastAsia" w:ascii="宋体" w:hAnsi="宋体" w:eastAsia="宋体" w:cs="宋体"/>
              </w:rPr>
            </w:pPr>
            <w:r>
              <w:rPr>
                <w:rFonts w:hint="eastAsia" w:ascii="宋体" w:hAnsi="宋体" w:eastAsia="宋体" w:cs="宋体"/>
                <w:sz w:val="18"/>
                <w:szCs w:val="18"/>
              </w:rPr>
              <w:t>未登录或角色不匹配时不能访问受限页面</w:t>
            </w:r>
          </w:p>
        </w:tc>
      </w:tr>
    </w:tbl>
    <w:p w14:paraId="0240AE77">
      <w:pPr>
        <w:spacing w:before="0" w:after="70" w:line="360" w:lineRule="auto"/>
        <w:rPr>
          <w:rFonts w:hint="eastAsia" w:ascii="宋体" w:hAnsi="宋体" w:eastAsia="宋体" w:cs="宋体"/>
        </w:rPr>
      </w:pPr>
    </w:p>
    <w:p w14:paraId="54049D39">
      <w:pPr>
        <w:spacing w:before="75" w:after="30"/>
        <w:jc w:val="center"/>
        <w:rPr>
          <w:rFonts w:hint="eastAsia" w:ascii="宋体" w:hAnsi="宋体" w:eastAsia="宋体" w:cs="宋体"/>
        </w:rPr>
      </w:pPr>
      <w:r>
        <w:rPr>
          <w:rFonts w:hint="eastAsia" w:ascii="宋体" w:hAnsi="宋体" w:eastAsia="宋体" w:cs="宋体"/>
        </w:rPr>
        <w:drawing>
          <wp:inline distT="0" distB="0" distL="0" distR="0">
            <wp:extent cx="6035040" cy="3406775"/>
            <wp:effectExtent l="0" t="0" r="0" b="0"/>
            <wp:docPr id="55" name="report_image5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report_image55.png"/>
                    <pic:cNvPicPr>
                      <a:picLocks noChangeAspect="1"/>
                    </pic:cNvPicPr>
                  </pic:nvPicPr>
                  <pic:blipFill>
                    <a:blip r:embed="rId60"/>
                    <a:stretch>
                      <a:fillRect/>
                    </a:stretch>
                  </pic:blipFill>
                  <pic:spPr>
                    <a:xfrm>
                      <a:off x="0" y="0"/>
                      <a:ext cx="6035040" cy="3407244"/>
                    </a:xfrm>
                    <a:prstGeom prst="rect">
                      <a:avLst/>
                    </a:prstGeom>
                  </pic:spPr>
                </pic:pic>
              </a:graphicData>
            </a:graphic>
          </wp:inline>
        </w:drawing>
      </w:r>
    </w:p>
    <w:p w14:paraId="4CFC899F">
      <w:pPr>
        <w:spacing w:before="0" w:after="110" w:line="250" w:lineRule="auto"/>
        <w:jc w:val="center"/>
        <w:rPr>
          <w:rFonts w:hint="eastAsia" w:ascii="宋体" w:hAnsi="宋体" w:eastAsia="宋体" w:cs="宋体"/>
        </w:rPr>
      </w:pPr>
      <w:r>
        <w:rPr>
          <w:rFonts w:hint="eastAsia" w:ascii="宋体" w:hAnsi="宋体" w:eastAsia="宋体" w:cs="宋体"/>
          <w:i/>
          <w:iCs/>
          <w:sz w:val="17"/>
          <w:szCs w:val="17"/>
        </w:rPr>
        <w:t>图55  测试覆盖矩阵</w:t>
      </w:r>
    </w:p>
    <w:p w14:paraId="0098F6B9">
      <w:pPr>
        <w:spacing w:before="0" w:after="0" w:line="360" w:lineRule="auto"/>
        <w:rPr>
          <w:rFonts w:hint="eastAsia" w:ascii="宋体" w:hAnsi="宋体" w:eastAsia="宋体" w:cs="宋体"/>
        </w:rPr>
      </w:pPr>
      <w:r>
        <w:rPr>
          <w:rFonts w:hint="eastAsia" w:ascii="宋体" w:hAnsi="宋体" w:eastAsia="宋体" w:cs="宋体"/>
          <w:sz w:val="22"/>
          <w:szCs w:val="22"/>
        </w:rPr>
        <w:br w:type="page"/>
      </w:r>
    </w:p>
    <w:p w14:paraId="454D5163">
      <w:pPr>
        <w:pStyle w:val="Heading3"/>
        <w:spacing w:before="160" w:after="80"/>
        <w:jc w:val="left"/>
      </w:pPr>
      <w:r>
        <w:rPr>
          <w:rFonts w:ascii="黑体" w:hAnsi="黑体" w:eastAsia="黑体"/>
          <w:b/>
          <w:sz w:val="24"/>
        </w:rPr>
        <w:t>5.3.5 源码实现与测试映射补充说明</w:t>
      </w:r>
    </w:p>
    <w:p w14:paraId="51A08CE7">
      <w:pPr>
        <w:spacing w:after="120" w:line="360" w:lineRule="auto"/>
        <w:ind w:firstLine="440"/>
      </w:pPr>
      <w:r>
        <w:rPr>
          <w:rFonts w:ascii="宋体" w:hAnsi="宋体" w:eastAsia="宋体"/>
          <w:b w:val="0"/>
          <w:sz w:val="22"/>
        </w:rPr>
        <w:t>系统实施阶段需要把路由、服务和测试对应起来。认证模块由 auth.py 处理登录、注册、管理员申请审核和退出；common.py 提供 login_required、role_required、admin_required 和 cashier_required。测试中覆盖了登录、管理员审核、未登录访问和角色越权，说明权限边界不是只写在报告里，而是通过自动化测试验证。</w:t>
      </w:r>
    </w:p>
    <w:p w14:paraId="356645CF">
      <w:pPr>
        <w:spacing w:after="120" w:line="360" w:lineRule="auto"/>
        <w:ind w:firstLine="440"/>
      </w:pPr>
      <w:r>
        <w:rPr>
          <w:rFonts w:ascii="宋体" w:hAnsi="宋体" w:eastAsia="宋体"/>
          <w:b w:val="0"/>
          <w:sz w:val="22"/>
        </w:rPr>
        <w:t>商品与库存模块的实现链路为 product 路由接收请求，products 服务完成商品创建、编辑、上下架、删除和 CSV/Excel 导入，inventory 服务完成库存设置、库存汇总、库存列表、库存流水和低库存预警。核心测试会验证商品创建后库存记录是否生成，库存调整后是否写入流水，导入 Excel 后是否同步生成商品和库存。</w:t>
      </w:r>
    </w:p>
    <w:p w14:paraId="5DDEF58E">
      <w:pPr>
        <w:spacing w:after="120" w:line="360" w:lineRule="auto"/>
        <w:ind w:firstLine="440"/>
      </w:pPr>
      <w:r>
        <w:rPr>
          <w:rFonts w:ascii="宋体" w:hAnsi="宋体" w:eastAsia="宋体"/>
          <w:b w:val="0"/>
          <w:sz w:val="22"/>
        </w:rPr>
        <w:t>收银和销售模块通过 cashier 与 sales 两组服务衔接。checkout_cashier_order 会校验商品状态、库存数量、支付方式和优惠金额，成功后生成销售单和销售明细，扣减库存并写入库存流水；get_sales_orders 和 get_sales_order_detail 支持订单列表、筛选和详情查询。测试需要覆盖库存不足失败、结算成功扣库存、订单详情金额正确等场景。</w:t>
      </w:r>
    </w:p>
    <w:p w14:paraId="5CA82D34">
      <w:pPr>
        <w:spacing w:after="120" w:line="360" w:lineRule="auto"/>
        <w:ind w:firstLine="440"/>
      </w:pPr>
      <w:r>
        <w:rPr>
          <w:rFonts w:ascii="宋体" w:hAnsi="宋体" w:eastAsia="宋体"/>
          <w:b w:val="0"/>
          <w:sz w:val="22"/>
        </w:rPr>
        <w:t>财务模块通过 finance 服务实现财务概览、流水创建、日结对账、供应商应付、付款登记和月结快照。测试中保存对账记录后，需要验证系统金额、实际金额和差异金额计算正确。公告模块通过 announcements 服务实现公告列表、未读数量、标记已读和全部已读，测试会验证阅读后未读数减少。</w:t>
      </w:r>
    </w:p>
    <w:p w14:paraId="146D4F40">
      <w:pPr>
        <w:spacing w:after="120" w:line="360" w:lineRule="auto"/>
        <w:ind w:firstLine="440"/>
      </w:pPr>
      <w:r>
        <w:rPr>
          <w:rFonts w:ascii="宋体" w:hAnsi="宋体" w:eastAsia="宋体"/>
          <w:b w:val="0"/>
          <w:sz w:val="22"/>
        </w:rPr>
        <w:t>智能助手模块的实现链路为 assistant.html 与 assistant.js 提供聊天界面，routes/assistant.py 提供 /assistant 和 /api/assistant/chat，services/assistant.py 负责 FAQ、本地规则、库存查询、销售概览、商品帮助、大模型调用和降级回复。测试和演示时可选择库存预警、今日销售、如何导入商品等问题，证明助手不是装饰性页面，而是能调用系统业务数据的扩展模块。</w:t>
      </w:r>
    </w:p>
    <w:p w14:paraId="72510810">
      <w:pPr>
        <w:spacing w:after="120" w:line="360" w:lineRule="auto"/>
        <w:ind w:firstLine="440"/>
      </w:pPr>
      <w:r>
        <w:rPr>
          <w:rFonts w:ascii="宋体" w:hAnsi="宋体" w:eastAsia="宋体"/>
          <w:b w:val="0"/>
          <w:sz w:val="22"/>
        </w:rPr>
        <w:t>二期模块由 second_phase.py 提供会员、员工、供应商和系统参数服务。自动化测试覆盖正常 CRUD、启停、积分调整和异常路径，包括重复手机号、重复工号、非法状态、积分不足、参数键为空等。测试使用内存 SQLite，不污染 data/supermarket.db；coverage report 当前保留 100% 结果，用于证明后端模型和二期核心服务可验证。</w:t>
      </w:r>
    </w:p>
    <w:p w14:paraId="3E239091">
      <w:pPr>
        <w:pStyle w:val="Heading3"/>
        <w:spacing w:before="160" w:after="80"/>
        <w:jc w:val="left"/>
      </w:pPr>
      <w:r>
        <w:rPr>
          <w:rFonts w:ascii="黑体" w:hAnsi="黑体" w:eastAsia="黑体"/>
          <w:b/>
          <w:sz w:val="24"/>
        </w:rPr>
        <w:t>5.3.6 自动化测试与覆盖率依据补充说明</w:t>
      </w:r>
    </w:p>
    <w:p w14:paraId="15D41AC3">
      <w:pPr>
        <w:spacing w:after="120" w:line="360" w:lineRule="auto"/>
        <w:ind w:firstLine="440"/>
      </w:pPr>
      <w:r>
        <w:rPr>
          <w:rFonts w:ascii="宋体" w:hAnsi="宋体" w:eastAsia="宋体"/>
          <w:b w:val="0"/>
          <w:sz w:val="22"/>
        </w:rPr>
        <w:t>第 6 章的测试部分应把测试文件和功能场景一一对应。tests/test_core_services.py 覆盖 create_product、checkout_cashier_order、save_reconciliation、get_reconciliation、create_announcement、get_unread_announcement_count、mark_announcement_read、import_products_from_excel 等核心服务，验证商品建档、库存扣减、销售结算、财务对账、公告已读和 Excel 导入生成库存记录。tests/test_auth_and_routes.py 覆盖登录、管理员注册审核、未登录访问拦截、角色越权拦截和二期页面渲染。</w:t>
      </w:r>
    </w:p>
    <w:p w14:paraId="0D254A3D">
      <w:pPr>
        <w:spacing w:after="120" w:line="360" w:lineRule="auto"/>
        <w:ind w:firstLine="440"/>
      </w:pPr>
      <w:r>
        <w:rPr>
          <w:rFonts w:ascii="宋体" w:hAnsi="宋体" w:eastAsia="宋体"/>
          <w:b w:val="0"/>
          <w:sz w:val="22"/>
        </w:rPr>
        <w:t>二期模块测试分为正常流和异常流。tests/test_second_phase.py 验证会员创建、会员积分调整 adjust_member_points、员工维护、供应商维护和系统参数保存 upsert_system_setting；tests/test_second_phase_errors.py 专门验证会员不存在、积分不足、非法积分、重复手机号、重复工号、重复供应商编码、非法状态、空参数键、空参数值等错误路径；tests/test_api_functional.py 从 HTTP API 层验证二期 CRUD 流程。pyproject.toml 将 coverage source 设置为 app.models 与 app.services.second_phase，并将 fail_under 设置为 100，因此页面运行状态中的 100% 是对当前统计范围的真实自动化结果，而不是手写结论。</w:t>
      </w:r>
    </w:p>
    <w:p>
      <w:r>
        <w:br w:type="page"/>
      </w:r>
    </w:p>
    <w:p>
      <w:pPr>
        <w:pStyle w:val="Heading1"/>
        <w:spacing w:before="240" w:after="200"/>
      </w:pPr>
      <w:r>
        <w:rPr>
          <w:rFonts w:ascii="黑体" w:hAnsi="黑体" w:eastAsia="黑体"/>
          <w:b/>
        </w:rPr>
        <w:t>六．代码实现</w:t>
      </w:r>
    </w:p>
    <w:p>
      <w:r>
        <w:rPr>
          <w:b/>
          <w:color w:val="C00000"/>
          <w:sz w:val="24"/>
        </w:rPr>
        <w:t>托管代码 Git 地址：https://gitee.com/mystar0923/supermarket-management-system</w:t>
      </w:r>
    </w:p>
    <w:p>
      <w:r>
        <w:rPr>
          <w:b w:val="0"/>
        </w:rPr>
        <w:t>签入用户名：余博涵 yubohann；吴洁 Musubit；张炎冰 张炎冰；孙静静 孙静静。仓库为可抓取的公开项目，包含 Flask 应用源码、数据库初始化脚本、测试代码、图表与报告材料。</w:t>
      </w:r>
    </w:p>
    <w:tbl>
      <w:tblPr>
        <w:tblW w:type="auto" w:w="0"/>
        <w:jc w:val="center"/>
        <w:tblLook w:firstColumn="1" w:firstRow="1" w:lastColumn="0" w:lastRow="0" w:noHBand="0" w:noVBand="1" w:val="04A0"/>
      </w:tblPr>
      <w:tblGrid>
        <w:gridCol w:w="3024"/>
        <w:gridCol w:w="3024"/>
        <w:gridCol w:w="3024"/>
      </w:tblGrid>
      <w:tr>
        <w:tc>
          <w:tcPr>
            <w:tcW w:type="dxa" w:w="3024"/>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jc w:val="center"/>
            </w:pPr>
            <w:r>
              <w:rPr>
                <w:b/>
              </w:rPr>
              <w:t>目录或文件</w:t>
            </w:r>
          </w:p>
        </w:tc>
        <w:tc>
          <w:tcPr>
            <w:tcW w:type="dxa" w:w="3024"/>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jc w:val="center"/>
            </w:pPr>
            <w:r>
              <w:rPr>
                <w:b/>
              </w:rPr>
              <w:t>作用</w:t>
            </w:r>
          </w:p>
        </w:tc>
        <w:tc>
          <w:tcPr>
            <w:tcW w:type="dxa" w:w="3024"/>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jc w:val="center"/>
            </w:pPr>
            <w:r>
              <w:rPr>
                <w:b/>
              </w:rPr>
              <w:t>与课程内容的对应关系</w:t>
            </w:r>
          </w:p>
        </w:tc>
      </w:tr>
      <w:tr>
        <w:tc>
          <w:tcPr>
            <w:tcW w:type="dxa" w:w="3024"/>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r>
              <w:t>app/models</w:t>
            </w:r>
          </w:p>
        </w:tc>
        <w:tc>
          <w:tcPr>
            <w:tcW w:type="dxa" w:w="3024"/>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r>
              <w:t>SQLAlchemy 数据模型</w:t>
            </w:r>
          </w:p>
        </w:tc>
        <w:tc>
          <w:tcPr>
            <w:tcW w:type="dxa" w:w="3024"/>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r>
              <w:t>数据建模、实体关系、字段约束</w:t>
            </w:r>
          </w:p>
        </w:tc>
      </w:tr>
      <w:tr>
        <w:tc>
          <w:tcPr>
            <w:tcW w:type="dxa" w:w="3024"/>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r>
              <w:t>app/services</w:t>
            </w:r>
          </w:p>
        </w:tc>
        <w:tc>
          <w:tcPr>
            <w:tcW w:type="dxa" w:w="3024"/>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r>
              <w:t>商品、库存、销售、财务、公告、智能助手和二期模块业务服务</w:t>
            </w:r>
          </w:p>
        </w:tc>
        <w:tc>
          <w:tcPr>
            <w:tcW w:type="dxa" w:w="3024"/>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r>
              <w:t>详细设计、后端实现、异常路径</w:t>
            </w:r>
          </w:p>
        </w:tc>
      </w:tr>
      <w:tr>
        <w:tc>
          <w:tcPr>
            <w:tcW w:type="dxa" w:w="3024"/>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r>
              <w:t>app/routes</w:t>
            </w:r>
          </w:p>
        </w:tc>
        <w:tc>
          <w:tcPr>
            <w:tcW w:type="dxa" w:w="3024"/>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r>
              <w:t>页面路由和 API 路由</w:t>
            </w:r>
          </w:p>
        </w:tc>
        <w:tc>
          <w:tcPr>
            <w:tcW w:type="dxa" w:w="3024"/>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r>
              <w:t>接口设计、权限控制、页面跳转</w:t>
            </w:r>
          </w:p>
        </w:tc>
      </w:tr>
      <w:tr>
        <w:tc>
          <w:tcPr>
            <w:tcW w:type="dxa" w:w="3024"/>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r>
              <w:t>app/templates</w:t>
            </w:r>
          </w:p>
        </w:tc>
        <w:tc>
          <w:tcPr>
            <w:tcW w:type="dxa" w:w="3024"/>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r>
              <w:t>Jinja2 页面模板</w:t>
            </w:r>
          </w:p>
        </w:tc>
        <w:tc>
          <w:tcPr>
            <w:tcW w:type="dxa" w:w="3024"/>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r>
              <w:t>界面设计、功能实现</w:t>
            </w:r>
          </w:p>
        </w:tc>
      </w:tr>
      <w:tr>
        <w:tc>
          <w:tcPr>
            <w:tcW w:type="dxa" w:w="3024"/>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r>
              <w:t>tests</w:t>
            </w:r>
          </w:p>
        </w:tc>
        <w:tc>
          <w:tcPr>
            <w:tcW w:type="dxa" w:w="3024"/>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r>
              <w:t>pytest 自动化测试</w:t>
            </w:r>
          </w:p>
        </w:tc>
        <w:tc>
          <w:tcPr>
            <w:tcW w:type="dxa" w:w="3024"/>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r>
              <w:t>功能测试、单元测试、覆盖率</w:t>
            </w:r>
          </w:p>
        </w:tc>
      </w:tr>
      <w:tr>
        <w:tc>
          <w:tcPr>
            <w:tcW w:type="dxa" w:w="3024"/>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r>
              <w:t>data/supermarket.db</w:t>
            </w:r>
          </w:p>
        </w:tc>
        <w:tc>
          <w:tcPr>
            <w:tcW w:type="dxa" w:w="3024"/>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r>
              <w:t>本地演示数据库</w:t>
            </w:r>
          </w:p>
        </w:tc>
        <w:tc>
          <w:tcPr>
            <w:tcW w:type="dxa" w:w="3024"/>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r>
              <w:t>运行演示、样例数据验证</w:t>
            </w:r>
          </w:p>
        </w:tc>
      </w:tr>
      <w:tr>
        <w:tc>
          <w:tcPr>
            <w:tcW w:type="dxa" w:w="3024"/>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r>
              <w:t>README.md</w:t>
            </w:r>
          </w:p>
        </w:tc>
        <w:tc>
          <w:tcPr>
            <w:tcW w:type="dxa" w:w="3024"/>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r>
              <w:t>启动说明和默认账号</w:t>
            </w:r>
          </w:p>
        </w:tc>
        <w:tc>
          <w:tcPr>
            <w:tcW w:type="dxa" w:w="3024"/>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r>
              <w:t>代码实现与运行说明</w:t>
            </w:r>
          </w:p>
        </w:tc>
      </w:tr>
    </w:tbl>
    <w:p w14:paraId="50268603">
      <w:pPr>
        <w:pStyle w:val="Heading2"/>
        <w:keepNext/>
        <w:shd w:val="clear" w:fill="1F4E79"/>
        <w:spacing w:before="220" w:after="160" w:line="360" w:lineRule="auto"/>
        <w:outlineLvl w:val="0"/>
        <w:rPr>
          <w:rFonts w:hint="eastAsia" w:ascii="宋体" w:hAnsi="宋体" w:eastAsia="宋体" w:cs="宋体"/>
        </w:rPr>
      </w:pPr>
      <w:r>
        <w:rPr>
          <w:rFonts w:hint="eastAsia" w:ascii="宋体" w:hAnsi="宋体" w:eastAsia="宋体" w:cs="宋体"/>
          <w:b/>
          <w:bCs/>
          <w:color w:val="FFFFFF"/>
          <w:sz w:val="28"/>
          <w:szCs w:val="28"/>
        </w:rPr>
        <w:t>6.1 后端与前端代码实现</w:t>
      </w:r>
    </w:p>
    <w:p w14:paraId="2A8D4640">
      <w:pPr>
        <w:pStyle w:val="Heading3"/>
        <w:spacing w:after="120" w:line="324" w:lineRule="auto"/>
        <w:ind w:firstLine="420"/>
        <w:rPr>
          <w:rFonts w:hint="eastAsia" w:ascii="宋体" w:hAnsi="宋体" w:eastAsia="宋体" w:cs="宋体"/>
        </w:rPr>
      </w:pPr>
      <w:r>
        <w:rPr>
          <w:rFonts w:ascii="黑体" w:hAnsi="黑体" w:eastAsia="黑体"/>
          <w:b/>
          <w:sz w:val="24"/>
        </w:rPr>
        <w:t>6.1.1 代码实现与质量检查详细论述</w:t>
      </w:r>
    </w:p>
    <w:p w14:paraId="6B7D5743">
      <w:pPr>
        <w:spacing w:after="120" w:line="360" w:lineRule="auto"/>
        <w:ind w:firstLine="440"/>
        <w:rPr>
          <w:rFonts w:hint="eastAsia" w:ascii="宋体" w:hAnsi="宋体" w:eastAsia="宋体" w:cs="宋体"/>
        </w:rPr>
      </w:pPr>
      <w:r>
        <w:rPr>
          <w:rFonts w:ascii="宋体" w:hAnsi="宋体" w:eastAsia="宋体"/>
          <w:b w:val="0"/>
          <w:sz w:val="22"/>
        </w:rPr>
        <w:t>系统实施二主要从代码结构、前端实现、审计留痕和运行方式角度说明最终成果。前面章节已经说明需求、数据、界面和测试，本章进一步说明这些内容如何落实到工程目录中。当前项目以 Flask 为核心，app/models、app/services、app/routes、app/templates、app/static/js、tests、docs 和 reports 等目录分别承载模型、业务服务、请求入口、页面模板、前端脚本、自动化测试、补充说明和实验报告。</w:t>
      </w:r>
    </w:p>
    <w:p w14:paraId="290C2A26">
      <w:pPr>
        <w:spacing w:after="120" w:line="360" w:lineRule="auto"/>
        <w:ind w:firstLine="440"/>
        <w:rPr>
          <w:rFonts w:hint="eastAsia" w:ascii="宋体" w:hAnsi="宋体" w:eastAsia="宋体" w:cs="宋体"/>
        </w:rPr>
      </w:pPr>
      <w:r>
        <w:rPr>
          <w:rFonts w:ascii="宋体" w:hAnsi="宋体" w:eastAsia="宋体"/>
          <w:b w:val="0"/>
          <w:sz w:val="22"/>
        </w:rPr>
        <w:t>后端代码采用分层结构。app/__init__.py 负责创建 Flask 应用和初始化扩展，models 目录定义数据库实体，routes 目录定义页面和接口入口，services 目录封装业务规则。这样组织的优势是每个层次职责明确：模型不处理页面请求，路由不堆积复杂业务，服务层集中处理校验和事务。例如库存不足、商品编码重复、会员积分调整等规则都应优先在 services 目录中的对应函数中查找。</w:t>
      </w:r>
    </w:p>
    <w:p w14:paraId="6D369877">
      <w:pPr>
        <w:spacing w:after="120" w:line="324" w:lineRule="auto"/>
        <w:ind w:firstLine="420"/>
        <w:rPr>
          <w:rFonts w:hint="eastAsia" w:ascii="宋体" w:hAnsi="宋体" w:eastAsia="宋体" w:cs="宋体"/>
        </w:rPr>
      </w:pPr>
      <w:r>
        <w:rPr>
          <w:rFonts w:hint="eastAsia" w:ascii="宋体" w:hAnsi="宋体" w:eastAsia="宋体" w:cs="宋体"/>
          <w:b w:val="0"/>
          <w:sz w:val="21"/>
        </w:rPr>
        <w:t>模型层已经覆盖一期和二期主要对象，包括用户、管理员注册申请、商品、分类、库存、库存流水、销售单、销售明细、财务流水、日结对账、应付账款、公告、公告已读、会员、员工、供应商和系统参数。模型文件的存在使 ER 图和 ORM 图有实际代码支撑。对于课程报告而言，这一点非常重要，因为很多项目容易出现报告画了很多实体，但代码中并没有相应表结构的情况。</w:t>
      </w:r>
    </w:p>
    <w:p w14:paraId="6F4F8226">
      <w:pPr>
        <w:spacing w:after="120" w:line="324" w:lineRule="auto"/>
        <w:ind w:firstLine="420"/>
        <w:rPr>
          <w:rFonts w:hint="eastAsia" w:ascii="宋体" w:hAnsi="宋体" w:eastAsia="宋体" w:cs="宋体"/>
        </w:rPr>
      </w:pPr>
      <w:r>
        <w:rPr>
          <w:rFonts w:hint="eastAsia" w:ascii="宋体" w:hAnsi="宋体" w:eastAsia="宋体" w:cs="宋体"/>
          <w:b w:val="0"/>
          <w:sz w:val="21"/>
        </w:rPr>
        <w:t>路由层承担权限和入口控制。auth 路由处理登录、注册和管理员审核；product、inventory、cashier、sales、finance、analytics、announcements、assistant 等路由处理一期业务；second_phase 路由处理会员、员工、供应商和系统参数。路由层需要与模板和前端脚本对应，保证每个页面入口都有后端支持。收银员和管理员角色也通过路由控制体现，避免用户直接访问不属于自己的管理页面。</w:t>
      </w:r>
    </w:p>
    <w:p w14:paraId="02391DF3">
      <w:pPr>
        <w:spacing w:after="120" w:line="360" w:lineRule="auto"/>
        <w:ind w:firstLine="440"/>
        <w:rPr>
          <w:rFonts w:hint="eastAsia" w:ascii="宋体" w:hAnsi="宋体" w:eastAsia="宋体" w:cs="宋体"/>
        </w:rPr>
      </w:pPr>
      <w:r>
        <w:rPr>
          <w:rFonts w:ascii="宋体" w:hAnsi="宋体" w:eastAsia="宋体"/>
          <w:b w:val="0"/>
          <w:sz w:val="22"/>
        </w:rPr>
        <w:t>前端代码由模板和静态脚本组成。templates 目录中包含 base.html、login.html、register.html、index.html、product.html、inventory.html、cashier.html、sales.html、finance.html、analytics.html、announcements.html、assistant.html、admin_register_requests.html 和 master_data.html。static/js 目录中包含商品、库存、收银、销售、财务、分析、助手、登录注册和二期主数据脚本。模板负责结构，脚本负责交互，两者共同支撑页面页面运行状态和系统说明演示。</w:t>
      </w:r>
    </w:p>
    <w:p w14:paraId="3B0625CB">
      <w:pPr>
        <w:spacing w:after="120" w:line="324" w:lineRule="auto"/>
        <w:ind w:firstLine="420"/>
        <w:rPr>
          <w:rFonts w:hint="eastAsia" w:ascii="宋体" w:hAnsi="宋体" w:eastAsia="宋体" w:cs="宋体"/>
        </w:rPr>
      </w:pPr>
      <w:r>
        <w:rPr>
          <w:rFonts w:hint="eastAsia" w:ascii="宋体" w:hAnsi="宋体" w:eastAsia="宋体" w:cs="宋体"/>
          <w:b w:val="0"/>
          <w:sz w:val="21"/>
        </w:rPr>
        <w:t>二期模块的实现是本项目后期补齐的重点。会员、员工、供应商和系统管理不只是 README 中的文字，也包含模型、服务、路由、页面和测试。会员管理支持档案、等级、积分和启停；员工管理支持工号、岗位、排班和状态；供应商管理支持联系人、电话、结算周期和状态；系统管理支持门店参数、库存预警和小票文案。这样可以覆盖《软件开发与管理》课程设计对二期模块的要求。</w:t>
      </w:r>
    </w:p>
    <w:p w14:paraId="2A8CB22C">
      <w:pPr>
        <w:spacing w:after="120" w:line="324" w:lineRule="auto"/>
        <w:ind w:firstLine="420"/>
        <w:rPr>
          <w:rFonts w:hint="eastAsia" w:ascii="宋体" w:hAnsi="宋体" w:eastAsia="宋体" w:cs="宋体"/>
        </w:rPr>
      </w:pPr>
      <w:r>
        <w:rPr>
          <w:rFonts w:hint="eastAsia" w:ascii="宋体" w:hAnsi="宋体" w:eastAsia="宋体" w:cs="宋体"/>
          <w:b w:val="0"/>
          <w:sz w:val="21"/>
        </w:rPr>
        <w:t>审计与可观测性体现在多个层面。库存流水记录数量变化，销售流水记录订单和明细，财务流水记录收支和对账，公告已读记录用户阅读状态，状态字段记录商品、会员、员工、供应商等对象是否启用。虽然课程系统没有接入企业级日志平台，但这些业务痕迹已经能够支撑基本追溯。可观测与审计设计图说明了哪些数据可以用于事后检查。</w:t>
      </w:r>
    </w:p>
    <w:p w14:paraId="564E93B2">
      <w:pPr>
        <w:spacing w:after="120" w:line="360" w:lineRule="auto"/>
        <w:ind w:firstLine="440"/>
        <w:rPr>
          <w:rFonts w:hint="eastAsia" w:ascii="宋体" w:hAnsi="宋体" w:eastAsia="宋体" w:cs="宋体"/>
        </w:rPr>
      </w:pPr>
      <w:r>
        <w:rPr>
          <w:rFonts w:ascii="宋体" w:hAnsi="宋体" w:eastAsia="宋体"/>
          <w:b w:val="0"/>
          <w:sz w:val="22"/>
        </w:rPr>
        <w:t>工程目录按照功能职责组织。reports/system-analysis-design 保存实验报告和报告图片；supermarket-management-diagrams 保存 PNG 图表；supermarket-management-diagrams-drawio-editable 保存 drawio 可编辑图；docs/course-deliverables 保存阶段补充文档；tests 保存自动化测试源码；README.md 说明运行环境、启动命令、默认账号、测试命令和主要模块。这样的目录结构有利于后续维护和定位问题。</w:t>
      </w:r>
    </w:p>
    <w:p w14:paraId="4F3D0D4E">
      <w:pPr>
        <w:spacing w:after="120" w:line="360" w:lineRule="auto"/>
        <w:ind w:firstLine="440"/>
        <w:rPr>
          <w:rFonts w:hint="eastAsia" w:ascii="宋体" w:hAnsi="宋体" w:eastAsia="宋体" w:cs="宋体"/>
        </w:rPr>
      </w:pPr>
      <w:r>
        <w:rPr>
          <w:rFonts w:ascii="宋体" w:hAnsi="宋体" w:eastAsia="宋体"/>
          <w:b w:val="0"/>
          <w:sz w:val="22"/>
        </w:rPr>
        <w:t>代码审查记录说明了发现的问题和处理结果。此前 README 为空、自动化测试缺失、阶段一和阶段二材料不够独立、54 至 57 流程图未同步、二期模块未落地、页面运行状态需要补充等问题已经被逐项修正。代码审查的价值不是形式化列问题，而是说明项目如何从不完整状态逐步修正为功能、文档和测试相互对应的状态。</w:t>
      </w:r>
    </w:p>
    <w:p w14:paraId="710EF643">
      <w:pPr>
        <w:spacing w:after="120" w:line="324" w:lineRule="auto"/>
        <w:ind w:firstLine="420"/>
        <w:rPr>
          <w:rFonts w:hint="eastAsia" w:ascii="宋体" w:hAnsi="宋体" w:eastAsia="宋体" w:cs="宋体"/>
        </w:rPr>
      </w:pPr>
      <w:r>
        <w:rPr>
          <w:rFonts w:hint="eastAsia" w:ascii="宋体" w:hAnsi="宋体" w:eastAsia="宋体" w:cs="宋体"/>
          <w:b w:val="0"/>
          <w:sz w:val="21"/>
        </w:rPr>
        <w:t>运行说明已经明确本地环境。进入仓库后执行 uv sync 安装依赖，执行 uv run python run.py 启动服务，浏览器访问 http://127.0.0.1:5000。默认管理员账号为 admin/admin123，默认收银员账号为 cashier01/123456。测试命令为 uv run pytest、uv run coverage run -m pytest 和 uv run coverage report。首次启动会创建数据库表、默认用户、默认分类和演示数据。</w:t>
      </w:r>
    </w:p>
    <w:p w14:paraId="47F33D5C">
      <w:pPr>
        <w:spacing w:after="120" w:line="360" w:lineRule="auto"/>
        <w:ind w:firstLine="440"/>
        <w:rPr>
          <w:rFonts w:hint="eastAsia" w:ascii="宋体" w:hAnsi="宋体" w:eastAsia="宋体" w:cs="宋体"/>
        </w:rPr>
      </w:pPr>
      <w:r>
        <w:rPr>
          <w:rFonts w:ascii="宋体" w:hAnsi="宋体" w:eastAsia="宋体"/>
          <w:b w:val="0"/>
          <w:sz w:val="22"/>
        </w:rPr>
        <w:t>项目总结方面，本系统完成了从需求分析、数据设计、界面设计到系统实现和测试验证的课程闭环。它的优势是完成依据较完整，图表、源码、文档和测试能够互相映射；不足是当前仍以本地 SQLite 和课程演示为主，真实生产环境还需要增强并发处理、日志审计、备份恢复、细粒度权限和外部支付/采购接口。后续若继续扩展，可以优先接入会员积分与销售单的自动联动、供应商采购单审批、库存盘点任务流和更完整的财务报表。</w:t>
      </w:r>
    </w:p>
    <w:p w14:paraId="03FB480B">
      <w:pPr>
        <w:spacing w:after="120" w:line="360" w:lineRule="auto"/>
        <w:ind w:firstLine="440"/>
        <w:rPr>
          <w:rFonts w:hint="eastAsia" w:ascii="宋体" w:hAnsi="宋体" w:eastAsia="宋体" w:cs="宋体"/>
        </w:rPr>
      </w:pPr>
      <w:r>
        <w:rPr>
          <w:rFonts w:ascii="宋体" w:hAnsi="宋体" w:eastAsia="宋体"/>
          <w:b w:val="0"/>
          <w:sz w:val="22"/>
        </w:rPr>
        <w:t>综合来看，第 7 章说明系统已经完成从后端服务、前端页面、二期模块到测试验证的整体实现。后端负责封装业务规则和数据事务，前端负责把业务操作转化为可用界面，二期模块扩展会员、员工、供应商和系统参数管理，测试用例验证核心流程和异常路径。该章的重点不是罗列文件，而是说明这些实现如何共同支撑一个可运行、可维护、可验证的超市管理系统。</w:t>
      </w:r>
    </w:p>
    <w:p w14:paraId="43FBCA2B">
      <w:pPr>
        <w:pStyle w:val="Heading3"/>
        <w:keepNext/>
        <w:pBdr>
          <w:left w:val="single" w:color="2F75B5" w:sz="12" w:space="6"/>
        </w:pBdr>
        <w:spacing w:before="220" w:after="100" w:line="360" w:lineRule="auto"/>
        <w:outlineLvl w:val="1"/>
        <w:rPr>
          <w:rFonts w:hint="eastAsia" w:ascii="宋体" w:hAnsi="宋体" w:eastAsia="宋体" w:cs="宋体"/>
        </w:rPr>
      </w:pPr>
      <w:r>
        <w:rPr>
          <w:rFonts w:hint="eastAsia" w:ascii="宋体" w:hAnsi="宋体" w:eastAsia="宋体" w:cs="宋体"/>
          <w:b/>
          <w:bCs/>
          <w:color w:val="1F4E79"/>
          <w:sz w:val="25"/>
          <w:szCs w:val="25"/>
        </w:rPr>
        <w:t>6.1.2 后端代码</w:t>
      </w:r>
    </w:p>
    <w:tbl>
      <w:tblPr>
        <w:tblStyle w:val="2"/>
        <w:tblW w:w="9026" w:type="dxa"/>
        <w:tblInd w:w="0" w:type="dxa"/>
        <w:tblBorders>
          <w:top w:val="single" w:color="999999" w:sz="4" w:space="0"/>
          <w:left w:val="single" w:color="999999" w:sz="4" w:space="0"/>
          <w:bottom w:val="single" w:color="999999" w:sz="4" w:space="0"/>
          <w:right w:val="single" w:color="999999" w:sz="4" w:space="0"/>
          <w:insideH w:val="single" w:color="BBBBBB" w:sz="4" w:space="0"/>
          <w:insideV w:val="single" w:color="BBBBBB" w:sz="4" w:space="0"/>
        </w:tblBorders>
        <w:tblLayout w:type="autofit"/>
        <w:tblCellMar>
          <w:top w:w="70" w:type="dxa"/>
          <w:left w:w="90" w:type="dxa"/>
          <w:bottom w:w="70" w:type="dxa"/>
          <w:right w:w="90" w:type="dxa"/>
        </w:tblCellMar>
      </w:tblPr>
      <w:tblGrid>
        <w:gridCol w:w="2430"/>
        <w:gridCol w:w="3384"/>
        <w:gridCol w:w="3212"/>
      </w:tblGrid>
      <w:tr w14:paraId="1E52E67E">
        <w:tblPrEx>
          <w:tblBorders>
            <w:top w:val="single" w:color="999999" w:sz="4" w:space="0"/>
            <w:left w:val="single" w:color="999999" w:sz="4" w:space="0"/>
            <w:bottom w:val="single" w:color="999999" w:sz="4" w:space="0"/>
            <w:right w:val="single" w:color="999999" w:sz="4" w:space="0"/>
            <w:insideH w:val="single" w:color="BBBBBB" w:sz="4" w:space="0"/>
            <w:insideV w:val="single" w:color="BBBBBB" w:sz="4" w:space="0"/>
          </w:tblBorders>
          <w:tblCellMar>
            <w:top w:w="70" w:type="dxa"/>
            <w:left w:w="90" w:type="dxa"/>
            <w:bottom w:w="70" w:type="dxa"/>
            <w:right w:w="90" w:type="dxa"/>
          </w:tblCellMar>
        </w:tblPrEx>
        <w:tc>
          <w:tcPr>
            <w:tcW w:w="1800" w:type="dxa"/>
            <w:shd w:val="clear" w:color="auto" w:fill="D9EAF7"/>
          </w:tcPr>
          <w:p w14:paraId="19B6420B">
            <w:pPr>
              <w:spacing w:before="0" w:after="35" w:line="270" w:lineRule="auto"/>
              <w:rPr>
                <w:rFonts w:hint="eastAsia" w:ascii="宋体" w:hAnsi="宋体" w:eastAsia="宋体" w:cs="宋体"/>
              </w:rPr>
            </w:pPr>
            <w:r>
              <w:rPr>
                <w:rFonts w:hint="eastAsia" w:ascii="宋体" w:hAnsi="宋体" w:eastAsia="宋体" w:cs="宋体"/>
                <w:b/>
                <w:bCs/>
                <w:color w:val="1F4E79"/>
                <w:sz w:val="18"/>
                <w:szCs w:val="18"/>
              </w:rPr>
              <w:t>文件</w:t>
            </w:r>
          </w:p>
        </w:tc>
        <w:tc>
          <w:tcPr>
            <w:tcW w:w="3400" w:type="dxa"/>
            <w:shd w:val="clear" w:color="auto" w:fill="D9EAF7"/>
          </w:tcPr>
          <w:p w14:paraId="2ADE110F">
            <w:pPr>
              <w:spacing w:before="0" w:after="35" w:line="270" w:lineRule="auto"/>
              <w:rPr>
                <w:rFonts w:hint="eastAsia" w:ascii="宋体" w:hAnsi="宋体" w:eastAsia="宋体" w:cs="宋体"/>
              </w:rPr>
            </w:pPr>
            <w:r>
              <w:rPr>
                <w:rFonts w:hint="eastAsia" w:ascii="宋体" w:hAnsi="宋体" w:eastAsia="宋体" w:cs="宋体"/>
                <w:b/>
                <w:bCs/>
                <w:color w:val="1F4E79"/>
                <w:sz w:val="18"/>
                <w:szCs w:val="18"/>
              </w:rPr>
              <w:t>函数/类</w:t>
            </w:r>
          </w:p>
        </w:tc>
        <w:tc>
          <w:tcPr>
            <w:tcW w:w="3800" w:type="dxa"/>
            <w:shd w:val="clear" w:color="auto" w:fill="D9EAF7"/>
          </w:tcPr>
          <w:p w14:paraId="2560C37B">
            <w:pPr>
              <w:spacing w:before="0" w:after="35" w:line="270" w:lineRule="auto"/>
              <w:rPr>
                <w:rFonts w:hint="eastAsia" w:ascii="宋体" w:hAnsi="宋体" w:eastAsia="宋体" w:cs="宋体"/>
              </w:rPr>
            </w:pPr>
            <w:r>
              <w:rPr>
                <w:rFonts w:hint="eastAsia" w:ascii="宋体" w:hAnsi="宋体" w:eastAsia="宋体" w:cs="宋体"/>
                <w:b/>
                <w:bCs/>
                <w:color w:val="1F4E79"/>
                <w:sz w:val="18"/>
                <w:szCs w:val="18"/>
              </w:rPr>
              <w:t>完成内容</w:t>
            </w:r>
          </w:p>
        </w:tc>
      </w:tr>
      <w:tr w14:paraId="69A05DC0">
        <w:tblPrEx>
          <w:tblBorders>
            <w:top w:val="single" w:color="999999" w:sz="4" w:space="0"/>
            <w:left w:val="single" w:color="999999" w:sz="4" w:space="0"/>
            <w:bottom w:val="single" w:color="999999" w:sz="4" w:space="0"/>
            <w:right w:val="single" w:color="999999" w:sz="4" w:space="0"/>
            <w:insideH w:val="single" w:color="BBBBBB" w:sz="4" w:space="0"/>
            <w:insideV w:val="single" w:color="BBBBBB" w:sz="4" w:space="0"/>
          </w:tblBorders>
          <w:tblCellMar>
            <w:top w:w="70" w:type="dxa"/>
            <w:left w:w="90" w:type="dxa"/>
            <w:bottom w:w="70" w:type="dxa"/>
            <w:right w:w="90" w:type="dxa"/>
          </w:tblCellMar>
        </w:tblPrEx>
        <w:tc>
          <w:tcPr>
            <w:tcW w:w="1800" w:type="dxa"/>
          </w:tcPr>
          <w:p w14:paraId="34A60485">
            <w:pPr>
              <w:spacing w:before="0" w:after="35" w:line="270" w:lineRule="auto"/>
              <w:rPr>
                <w:rFonts w:hint="eastAsia" w:ascii="宋体" w:hAnsi="宋体" w:eastAsia="宋体" w:cs="宋体"/>
              </w:rPr>
            </w:pPr>
            <w:r>
              <w:rPr>
                <w:rFonts w:hint="eastAsia" w:ascii="宋体" w:hAnsi="宋体" w:eastAsia="宋体" w:cs="宋体"/>
                <w:sz w:val="18"/>
                <w:szCs w:val="18"/>
              </w:rPr>
              <w:t>app/__init__.py</w:t>
            </w:r>
          </w:p>
        </w:tc>
        <w:tc>
          <w:tcPr>
            <w:tcW w:w="3400" w:type="dxa"/>
          </w:tcPr>
          <w:p w14:paraId="46B2C66D">
            <w:pPr>
              <w:spacing w:before="0" w:after="35" w:line="270" w:lineRule="auto"/>
              <w:rPr>
                <w:rFonts w:hint="eastAsia" w:ascii="宋体" w:hAnsi="宋体" w:eastAsia="宋体" w:cs="宋体"/>
              </w:rPr>
            </w:pPr>
            <w:r>
              <w:rPr>
                <w:rFonts w:hint="eastAsia" w:ascii="宋体" w:hAnsi="宋体" w:eastAsia="宋体" w:cs="宋体"/>
                <w:sz w:val="18"/>
                <w:szCs w:val="18"/>
              </w:rPr>
              <w:t>create_app</w:t>
            </w:r>
          </w:p>
        </w:tc>
        <w:tc>
          <w:tcPr>
            <w:tcW w:w="3800" w:type="dxa"/>
          </w:tcPr>
          <w:p w14:paraId="35C9D773">
            <w:pPr>
              <w:spacing w:before="0" w:after="35" w:line="270" w:lineRule="auto"/>
              <w:rPr>
                <w:rFonts w:hint="eastAsia" w:ascii="宋体" w:hAnsi="宋体" w:eastAsia="宋体" w:cs="宋体"/>
              </w:rPr>
            </w:pPr>
            <w:r>
              <w:rPr>
                <w:rFonts w:hint="eastAsia" w:ascii="宋体" w:hAnsi="宋体" w:eastAsia="宋体" w:cs="宋体"/>
                <w:sz w:val="18"/>
                <w:szCs w:val="18"/>
              </w:rPr>
              <w:t>初始化 Flask、SQLAlchemy、日志、默认数据并注册蓝图</w:t>
            </w:r>
          </w:p>
        </w:tc>
      </w:tr>
      <w:tr w14:paraId="06B79ECF">
        <w:tblPrEx>
          <w:tblBorders>
            <w:top w:val="single" w:color="999999" w:sz="4" w:space="0"/>
            <w:left w:val="single" w:color="999999" w:sz="4" w:space="0"/>
            <w:bottom w:val="single" w:color="999999" w:sz="4" w:space="0"/>
            <w:right w:val="single" w:color="999999" w:sz="4" w:space="0"/>
            <w:insideH w:val="single" w:color="BBBBBB" w:sz="4" w:space="0"/>
            <w:insideV w:val="single" w:color="BBBBBB" w:sz="4" w:space="0"/>
          </w:tblBorders>
          <w:tblCellMar>
            <w:top w:w="70" w:type="dxa"/>
            <w:left w:w="90" w:type="dxa"/>
            <w:bottom w:w="70" w:type="dxa"/>
            <w:right w:w="90" w:type="dxa"/>
          </w:tblCellMar>
        </w:tblPrEx>
        <w:tc>
          <w:tcPr>
            <w:tcW w:w="1800" w:type="dxa"/>
            <w:shd w:val="clear" w:color="auto" w:fill="F7FBFF"/>
          </w:tcPr>
          <w:p w14:paraId="5FBFF898">
            <w:pPr>
              <w:spacing w:before="0" w:after="35" w:line="270" w:lineRule="auto"/>
              <w:rPr>
                <w:rFonts w:hint="eastAsia" w:ascii="宋体" w:hAnsi="宋体" w:eastAsia="宋体" w:cs="宋体"/>
              </w:rPr>
            </w:pPr>
            <w:r>
              <w:rPr>
                <w:rFonts w:hint="eastAsia" w:ascii="宋体" w:hAnsi="宋体" w:eastAsia="宋体" w:cs="宋体"/>
                <w:sz w:val="18"/>
                <w:szCs w:val="18"/>
              </w:rPr>
              <w:t>routes/auth.py / services/auth.py</w:t>
            </w:r>
          </w:p>
        </w:tc>
        <w:tc>
          <w:tcPr>
            <w:tcW w:w="3400" w:type="dxa"/>
            <w:shd w:val="clear" w:color="auto" w:fill="F7FBFF"/>
          </w:tcPr>
          <w:p w14:paraId="2B932657">
            <w:pPr>
              <w:spacing w:before="0" w:after="35" w:line="270" w:lineRule="auto"/>
              <w:rPr>
                <w:rFonts w:hint="eastAsia" w:ascii="宋体" w:hAnsi="宋体" w:eastAsia="宋体" w:cs="宋体"/>
              </w:rPr>
            </w:pPr>
            <w:r>
              <w:rPr>
                <w:rFonts w:hint="eastAsia" w:ascii="宋体" w:hAnsi="宋体" w:eastAsia="宋体" w:cs="宋体"/>
                <w:sz w:val="18"/>
                <w:szCs w:val="18"/>
              </w:rPr>
              <w:t>login、register、admin requests</w:t>
            </w:r>
          </w:p>
        </w:tc>
        <w:tc>
          <w:tcPr>
            <w:tcW w:w="3800" w:type="dxa"/>
            <w:shd w:val="clear" w:color="auto" w:fill="F7FBFF"/>
          </w:tcPr>
          <w:p w14:paraId="5F231851">
            <w:pPr>
              <w:spacing w:before="0" w:after="35" w:line="270" w:lineRule="auto"/>
              <w:rPr>
                <w:rFonts w:hint="eastAsia" w:ascii="宋体" w:hAnsi="宋体" w:eastAsia="宋体" w:cs="宋体"/>
              </w:rPr>
            </w:pPr>
            <w:r>
              <w:rPr>
                <w:rFonts w:hint="eastAsia" w:ascii="宋体" w:hAnsi="宋体" w:eastAsia="宋体" w:cs="宋体"/>
                <w:sz w:val="18"/>
                <w:szCs w:val="18"/>
              </w:rPr>
              <w:t>登录、退出、注册、管理员申请审核</w:t>
            </w:r>
          </w:p>
        </w:tc>
      </w:tr>
      <w:tr w14:paraId="27013759">
        <w:tblPrEx>
          <w:tblBorders>
            <w:top w:val="single" w:color="999999" w:sz="4" w:space="0"/>
            <w:left w:val="single" w:color="999999" w:sz="4" w:space="0"/>
            <w:bottom w:val="single" w:color="999999" w:sz="4" w:space="0"/>
            <w:right w:val="single" w:color="999999" w:sz="4" w:space="0"/>
            <w:insideH w:val="single" w:color="BBBBBB" w:sz="4" w:space="0"/>
            <w:insideV w:val="single" w:color="BBBBBB" w:sz="4" w:space="0"/>
          </w:tblBorders>
          <w:tblCellMar>
            <w:top w:w="70" w:type="dxa"/>
            <w:left w:w="90" w:type="dxa"/>
            <w:bottom w:w="70" w:type="dxa"/>
            <w:right w:w="90" w:type="dxa"/>
          </w:tblCellMar>
        </w:tblPrEx>
        <w:tc>
          <w:tcPr>
            <w:tcW w:w="1800" w:type="dxa"/>
          </w:tcPr>
          <w:p w14:paraId="363C35ED">
            <w:pPr>
              <w:spacing w:before="0" w:after="35" w:line="270" w:lineRule="auto"/>
              <w:rPr>
                <w:rFonts w:hint="eastAsia" w:ascii="宋体" w:hAnsi="宋体" w:eastAsia="宋体" w:cs="宋体"/>
              </w:rPr>
            </w:pPr>
            <w:r>
              <w:rPr>
                <w:rFonts w:hint="eastAsia" w:ascii="宋体" w:hAnsi="宋体" w:eastAsia="宋体" w:cs="宋体"/>
                <w:sz w:val="18"/>
                <w:szCs w:val="18"/>
              </w:rPr>
              <w:t>services/products.py</w:t>
            </w:r>
          </w:p>
        </w:tc>
        <w:tc>
          <w:tcPr>
            <w:tcW w:w="3400" w:type="dxa"/>
          </w:tcPr>
          <w:p w14:paraId="4071A356">
            <w:pPr>
              <w:spacing w:before="0" w:after="35" w:line="270" w:lineRule="auto"/>
              <w:rPr>
                <w:rFonts w:hint="eastAsia" w:ascii="宋体" w:hAnsi="宋体" w:eastAsia="宋体" w:cs="宋体"/>
              </w:rPr>
            </w:pPr>
            <w:r>
              <w:rPr>
                <w:rFonts w:hint="eastAsia" w:ascii="宋体" w:hAnsi="宋体" w:eastAsia="宋体" w:cs="宋体"/>
                <w:sz w:val="18"/>
                <w:szCs w:val="18"/>
              </w:rPr>
              <w:t>create/update/import/offline/online</w:t>
            </w:r>
          </w:p>
        </w:tc>
        <w:tc>
          <w:tcPr>
            <w:tcW w:w="3800" w:type="dxa"/>
          </w:tcPr>
          <w:p w14:paraId="158CF53B">
            <w:pPr>
              <w:spacing w:before="0" w:after="35" w:line="270" w:lineRule="auto"/>
              <w:rPr>
                <w:rFonts w:hint="eastAsia" w:ascii="宋体" w:hAnsi="宋体" w:eastAsia="宋体" w:cs="宋体"/>
              </w:rPr>
            </w:pPr>
            <w:r>
              <w:rPr>
                <w:rFonts w:hint="eastAsia" w:ascii="宋体" w:hAnsi="宋体" w:eastAsia="宋体" w:cs="宋体"/>
                <w:sz w:val="18"/>
                <w:szCs w:val="18"/>
              </w:rPr>
              <w:t>商品 CRUD、上下架、CSV/Excel 导入</w:t>
            </w:r>
          </w:p>
        </w:tc>
      </w:tr>
      <w:tr w14:paraId="702BD06F">
        <w:tblPrEx>
          <w:tblBorders>
            <w:top w:val="single" w:color="999999" w:sz="4" w:space="0"/>
            <w:left w:val="single" w:color="999999" w:sz="4" w:space="0"/>
            <w:bottom w:val="single" w:color="999999" w:sz="4" w:space="0"/>
            <w:right w:val="single" w:color="999999" w:sz="4" w:space="0"/>
            <w:insideH w:val="single" w:color="BBBBBB" w:sz="4" w:space="0"/>
            <w:insideV w:val="single" w:color="BBBBBB" w:sz="4" w:space="0"/>
          </w:tblBorders>
          <w:tblCellMar>
            <w:top w:w="70" w:type="dxa"/>
            <w:left w:w="90" w:type="dxa"/>
            <w:bottom w:w="70" w:type="dxa"/>
            <w:right w:w="90" w:type="dxa"/>
          </w:tblCellMar>
        </w:tblPrEx>
        <w:tc>
          <w:tcPr>
            <w:tcW w:w="1800" w:type="dxa"/>
            <w:shd w:val="clear" w:color="auto" w:fill="F7FBFF"/>
          </w:tcPr>
          <w:p w14:paraId="3C1E97F2">
            <w:pPr>
              <w:spacing w:before="0" w:after="35" w:line="270" w:lineRule="auto"/>
              <w:rPr>
                <w:rFonts w:hint="eastAsia" w:ascii="宋体" w:hAnsi="宋体" w:eastAsia="宋体" w:cs="宋体"/>
              </w:rPr>
            </w:pPr>
            <w:r>
              <w:rPr>
                <w:rFonts w:hint="eastAsia" w:ascii="宋体" w:hAnsi="宋体" w:eastAsia="宋体" w:cs="宋体"/>
                <w:sz w:val="18"/>
                <w:szCs w:val="18"/>
              </w:rPr>
              <w:t>services/inventory.py</w:t>
            </w:r>
          </w:p>
        </w:tc>
        <w:tc>
          <w:tcPr>
            <w:tcW w:w="3400" w:type="dxa"/>
            <w:shd w:val="clear" w:color="auto" w:fill="F7FBFF"/>
          </w:tcPr>
          <w:p w14:paraId="67AAE47D">
            <w:pPr>
              <w:spacing w:before="0" w:after="35" w:line="270" w:lineRule="auto"/>
              <w:rPr>
                <w:rFonts w:hint="eastAsia" w:ascii="宋体" w:hAnsi="宋体" w:eastAsia="宋体" w:cs="宋体"/>
              </w:rPr>
            </w:pPr>
            <w:r>
              <w:rPr>
                <w:rFonts w:hint="eastAsia" w:ascii="宋体" w:hAnsi="宋体" w:eastAsia="宋体" w:cs="宋体"/>
                <w:sz w:val="18"/>
                <w:szCs w:val="18"/>
              </w:rPr>
              <w:t>summary、alerts、set_inventory_quantity</w:t>
            </w:r>
          </w:p>
        </w:tc>
        <w:tc>
          <w:tcPr>
            <w:tcW w:w="3800" w:type="dxa"/>
            <w:shd w:val="clear" w:color="auto" w:fill="F7FBFF"/>
          </w:tcPr>
          <w:p w14:paraId="47422F2D">
            <w:pPr>
              <w:spacing w:before="0" w:after="35" w:line="270" w:lineRule="auto"/>
              <w:rPr>
                <w:rFonts w:hint="eastAsia" w:ascii="宋体" w:hAnsi="宋体" w:eastAsia="宋体" w:cs="宋体"/>
              </w:rPr>
            </w:pPr>
            <w:r>
              <w:rPr>
                <w:rFonts w:hint="eastAsia" w:ascii="宋体" w:hAnsi="宋体" w:eastAsia="宋体" w:cs="宋体"/>
                <w:sz w:val="18"/>
                <w:szCs w:val="18"/>
              </w:rPr>
              <w:t>库存汇总、预警、库存调整和流水</w:t>
            </w:r>
          </w:p>
        </w:tc>
      </w:tr>
      <w:tr w14:paraId="2066EF59">
        <w:tblPrEx>
          <w:tblBorders>
            <w:top w:val="single" w:color="999999" w:sz="4" w:space="0"/>
            <w:left w:val="single" w:color="999999" w:sz="4" w:space="0"/>
            <w:bottom w:val="single" w:color="999999" w:sz="4" w:space="0"/>
            <w:right w:val="single" w:color="999999" w:sz="4" w:space="0"/>
            <w:insideH w:val="single" w:color="BBBBBB" w:sz="4" w:space="0"/>
            <w:insideV w:val="single" w:color="BBBBBB" w:sz="4" w:space="0"/>
          </w:tblBorders>
          <w:tblCellMar>
            <w:top w:w="70" w:type="dxa"/>
            <w:left w:w="90" w:type="dxa"/>
            <w:bottom w:w="70" w:type="dxa"/>
            <w:right w:w="90" w:type="dxa"/>
          </w:tblCellMar>
        </w:tblPrEx>
        <w:tc>
          <w:tcPr>
            <w:tcW w:w="1800" w:type="dxa"/>
          </w:tcPr>
          <w:p w14:paraId="72F2F4FE">
            <w:pPr>
              <w:spacing w:before="0" w:after="35" w:line="270" w:lineRule="auto"/>
              <w:rPr>
                <w:rFonts w:hint="eastAsia" w:ascii="宋体" w:hAnsi="宋体" w:eastAsia="宋体" w:cs="宋体"/>
              </w:rPr>
            </w:pPr>
            <w:r>
              <w:rPr>
                <w:rFonts w:hint="eastAsia" w:ascii="宋体" w:hAnsi="宋体" w:eastAsia="宋体" w:cs="宋体"/>
                <w:sz w:val="18"/>
                <w:szCs w:val="18"/>
              </w:rPr>
              <w:t>services/cashier.py</w:t>
            </w:r>
          </w:p>
        </w:tc>
        <w:tc>
          <w:tcPr>
            <w:tcW w:w="3400" w:type="dxa"/>
          </w:tcPr>
          <w:p w14:paraId="2D48DF19">
            <w:pPr>
              <w:spacing w:before="0" w:after="35" w:line="270" w:lineRule="auto"/>
              <w:rPr>
                <w:rFonts w:hint="eastAsia" w:ascii="宋体" w:hAnsi="宋体" w:eastAsia="宋体" w:cs="宋体"/>
              </w:rPr>
            </w:pPr>
            <w:r>
              <w:rPr>
                <w:rFonts w:hint="eastAsia" w:ascii="宋体" w:hAnsi="宋体" w:eastAsia="宋体" w:cs="宋体"/>
                <w:sz w:val="18"/>
                <w:szCs w:val="18"/>
              </w:rPr>
              <w:t>checkout_cashier_order</w:t>
            </w:r>
          </w:p>
        </w:tc>
        <w:tc>
          <w:tcPr>
            <w:tcW w:w="3800" w:type="dxa"/>
          </w:tcPr>
          <w:p w14:paraId="079065F8">
            <w:pPr>
              <w:spacing w:before="0" w:after="35" w:line="270" w:lineRule="auto"/>
              <w:rPr>
                <w:rFonts w:hint="eastAsia" w:ascii="宋体" w:hAnsi="宋体" w:eastAsia="宋体" w:cs="宋体"/>
              </w:rPr>
            </w:pPr>
            <w:r>
              <w:rPr>
                <w:rFonts w:hint="eastAsia" w:ascii="宋体" w:hAnsi="宋体" w:eastAsia="宋体" w:cs="宋体"/>
                <w:sz w:val="18"/>
                <w:szCs w:val="18"/>
              </w:rPr>
              <w:t>收银结算、库存校验、销售单生成</w:t>
            </w:r>
          </w:p>
        </w:tc>
      </w:tr>
      <w:tr w14:paraId="6D954D20">
        <w:tblPrEx>
          <w:tblBorders>
            <w:top w:val="single" w:color="999999" w:sz="4" w:space="0"/>
            <w:left w:val="single" w:color="999999" w:sz="4" w:space="0"/>
            <w:bottom w:val="single" w:color="999999" w:sz="4" w:space="0"/>
            <w:right w:val="single" w:color="999999" w:sz="4" w:space="0"/>
            <w:insideH w:val="single" w:color="BBBBBB" w:sz="4" w:space="0"/>
            <w:insideV w:val="single" w:color="BBBBBB" w:sz="4" w:space="0"/>
          </w:tblBorders>
          <w:tblCellMar>
            <w:top w:w="70" w:type="dxa"/>
            <w:left w:w="90" w:type="dxa"/>
            <w:bottom w:w="70" w:type="dxa"/>
            <w:right w:w="90" w:type="dxa"/>
          </w:tblCellMar>
        </w:tblPrEx>
        <w:tc>
          <w:tcPr>
            <w:tcW w:w="1800" w:type="dxa"/>
            <w:shd w:val="clear" w:color="auto" w:fill="F7FBFF"/>
          </w:tcPr>
          <w:p w14:paraId="301187E6">
            <w:pPr>
              <w:spacing w:before="0" w:after="35" w:line="270" w:lineRule="auto"/>
              <w:rPr>
                <w:rFonts w:hint="eastAsia" w:ascii="宋体" w:hAnsi="宋体" w:eastAsia="宋体" w:cs="宋体"/>
              </w:rPr>
            </w:pPr>
            <w:r>
              <w:rPr>
                <w:rFonts w:hint="eastAsia" w:ascii="宋体" w:hAnsi="宋体" w:eastAsia="宋体" w:cs="宋体"/>
                <w:sz w:val="18"/>
                <w:szCs w:val="18"/>
              </w:rPr>
              <w:t>services/sales.py</w:t>
            </w:r>
          </w:p>
        </w:tc>
        <w:tc>
          <w:tcPr>
            <w:tcW w:w="3400" w:type="dxa"/>
            <w:shd w:val="clear" w:color="auto" w:fill="F7FBFF"/>
          </w:tcPr>
          <w:p w14:paraId="0186FC05">
            <w:pPr>
              <w:spacing w:before="0" w:after="35" w:line="270" w:lineRule="auto"/>
              <w:rPr>
                <w:rFonts w:hint="eastAsia" w:ascii="宋体" w:hAnsi="宋体" w:eastAsia="宋体" w:cs="宋体"/>
              </w:rPr>
            </w:pPr>
            <w:r>
              <w:rPr>
                <w:rFonts w:hint="eastAsia" w:ascii="宋体" w:hAnsi="宋体" w:eastAsia="宋体" w:cs="宋体"/>
                <w:sz w:val="18"/>
                <w:szCs w:val="18"/>
              </w:rPr>
              <w:t>get_sales_orders、get_sales_order_detail</w:t>
            </w:r>
          </w:p>
        </w:tc>
        <w:tc>
          <w:tcPr>
            <w:tcW w:w="3800" w:type="dxa"/>
            <w:shd w:val="clear" w:color="auto" w:fill="F7FBFF"/>
          </w:tcPr>
          <w:p w14:paraId="0EDB4A9E">
            <w:pPr>
              <w:spacing w:before="0" w:after="35" w:line="270" w:lineRule="auto"/>
              <w:rPr>
                <w:rFonts w:hint="eastAsia" w:ascii="宋体" w:hAnsi="宋体" w:eastAsia="宋体" w:cs="宋体"/>
              </w:rPr>
            </w:pPr>
            <w:r>
              <w:rPr>
                <w:rFonts w:hint="eastAsia" w:ascii="宋体" w:hAnsi="宋体" w:eastAsia="宋体" w:cs="宋体"/>
                <w:sz w:val="18"/>
                <w:szCs w:val="18"/>
              </w:rPr>
              <w:t>销售订单列表和明细查询</w:t>
            </w:r>
          </w:p>
        </w:tc>
      </w:tr>
      <w:tr w14:paraId="6B56BB4E">
        <w:tblPrEx>
          <w:tblBorders>
            <w:top w:val="single" w:color="999999" w:sz="4" w:space="0"/>
            <w:left w:val="single" w:color="999999" w:sz="4" w:space="0"/>
            <w:bottom w:val="single" w:color="999999" w:sz="4" w:space="0"/>
            <w:right w:val="single" w:color="999999" w:sz="4" w:space="0"/>
            <w:insideH w:val="single" w:color="BBBBBB" w:sz="4" w:space="0"/>
            <w:insideV w:val="single" w:color="BBBBBB" w:sz="4" w:space="0"/>
          </w:tblBorders>
          <w:tblCellMar>
            <w:top w:w="70" w:type="dxa"/>
            <w:left w:w="90" w:type="dxa"/>
            <w:bottom w:w="70" w:type="dxa"/>
            <w:right w:w="90" w:type="dxa"/>
          </w:tblCellMar>
        </w:tblPrEx>
        <w:tc>
          <w:tcPr>
            <w:tcW w:w="1800" w:type="dxa"/>
          </w:tcPr>
          <w:p w14:paraId="1603F900">
            <w:pPr>
              <w:spacing w:before="0" w:after="35" w:line="270" w:lineRule="auto"/>
              <w:rPr>
                <w:rFonts w:hint="eastAsia" w:ascii="宋体" w:hAnsi="宋体" w:eastAsia="宋体" w:cs="宋体"/>
              </w:rPr>
            </w:pPr>
            <w:r>
              <w:rPr>
                <w:rFonts w:hint="eastAsia" w:ascii="宋体" w:hAnsi="宋体" w:eastAsia="宋体" w:cs="宋体"/>
                <w:sz w:val="18"/>
                <w:szCs w:val="18"/>
              </w:rPr>
              <w:t>services/finance.py</w:t>
            </w:r>
          </w:p>
        </w:tc>
        <w:tc>
          <w:tcPr>
            <w:tcW w:w="3400" w:type="dxa"/>
          </w:tcPr>
          <w:p w14:paraId="355AADC7">
            <w:pPr>
              <w:spacing w:before="0" w:after="35" w:line="270" w:lineRule="auto"/>
              <w:rPr>
                <w:rFonts w:hint="eastAsia" w:ascii="宋体" w:hAnsi="宋体" w:eastAsia="宋体" w:cs="宋体"/>
              </w:rPr>
            </w:pPr>
            <w:r>
              <w:rPr>
                <w:rFonts w:hint="eastAsia" w:ascii="宋体" w:hAnsi="宋体" w:eastAsia="宋体" w:cs="宋体"/>
                <w:sz w:val="18"/>
                <w:szCs w:val="18"/>
              </w:rPr>
              <w:t>save_reconciliation、close_finance_period</w:t>
            </w:r>
          </w:p>
        </w:tc>
        <w:tc>
          <w:tcPr>
            <w:tcW w:w="3800" w:type="dxa"/>
          </w:tcPr>
          <w:p w14:paraId="422CE6F2">
            <w:pPr>
              <w:spacing w:before="0" w:after="35" w:line="270" w:lineRule="auto"/>
              <w:rPr>
                <w:rFonts w:hint="eastAsia" w:ascii="宋体" w:hAnsi="宋体" w:eastAsia="宋体" w:cs="宋体"/>
              </w:rPr>
            </w:pPr>
            <w:r>
              <w:rPr>
                <w:rFonts w:hint="eastAsia" w:ascii="宋体" w:hAnsi="宋体" w:eastAsia="宋体" w:cs="宋体"/>
                <w:sz w:val="18"/>
                <w:szCs w:val="18"/>
              </w:rPr>
              <w:t>收支流水、日结对账、月结快照</w:t>
            </w:r>
          </w:p>
        </w:tc>
      </w:tr>
      <w:tr w14:paraId="61A2F191">
        <w:tblPrEx>
          <w:tblBorders>
            <w:top w:val="single" w:color="999999" w:sz="4" w:space="0"/>
            <w:left w:val="single" w:color="999999" w:sz="4" w:space="0"/>
            <w:bottom w:val="single" w:color="999999" w:sz="4" w:space="0"/>
            <w:right w:val="single" w:color="999999" w:sz="4" w:space="0"/>
            <w:insideH w:val="single" w:color="BBBBBB" w:sz="4" w:space="0"/>
            <w:insideV w:val="single" w:color="BBBBBB" w:sz="4" w:space="0"/>
          </w:tblBorders>
          <w:tblCellMar>
            <w:top w:w="70" w:type="dxa"/>
            <w:left w:w="90" w:type="dxa"/>
            <w:bottom w:w="70" w:type="dxa"/>
            <w:right w:w="90" w:type="dxa"/>
          </w:tblCellMar>
        </w:tblPrEx>
        <w:tc>
          <w:tcPr>
            <w:tcW w:w="1800" w:type="dxa"/>
            <w:shd w:val="clear" w:color="auto" w:fill="F7FBFF"/>
          </w:tcPr>
          <w:p w14:paraId="523ABA1E">
            <w:pPr>
              <w:spacing w:before="0" w:after="35" w:line="270" w:lineRule="auto"/>
              <w:rPr>
                <w:rFonts w:hint="eastAsia" w:ascii="宋体" w:hAnsi="宋体" w:eastAsia="宋体" w:cs="宋体"/>
              </w:rPr>
            </w:pPr>
            <w:r>
              <w:rPr>
                <w:rFonts w:hint="eastAsia" w:ascii="宋体" w:hAnsi="宋体" w:eastAsia="宋体" w:cs="宋体"/>
                <w:sz w:val="18"/>
                <w:szCs w:val="18"/>
              </w:rPr>
              <w:t>services/announcements.py</w:t>
            </w:r>
          </w:p>
        </w:tc>
        <w:tc>
          <w:tcPr>
            <w:tcW w:w="3400" w:type="dxa"/>
            <w:shd w:val="clear" w:color="auto" w:fill="F7FBFF"/>
          </w:tcPr>
          <w:p w14:paraId="4611759C">
            <w:pPr>
              <w:spacing w:before="0" w:after="35" w:line="270" w:lineRule="auto"/>
              <w:rPr>
                <w:rFonts w:hint="eastAsia" w:ascii="宋体" w:hAnsi="宋体" w:eastAsia="宋体" w:cs="宋体"/>
              </w:rPr>
            </w:pPr>
            <w:r>
              <w:rPr>
                <w:rFonts w:hint="eastAsia" w:ascii="宋体" w:hAnsi="宋体" w:eastAsia="宋体" w:cs="宋体"/>
                <w:sz w:val="18"/>
                <w:szCs w:val="18"/>
              </w:rPr>
              <w:t>create/update/read</w:t>
            </w:r>
          </w:p>
        </w:tc>
        <w:tc>
          <w:tcPr>
            <w:tcW w:w="3800" w:type="dxa"/>
            <w:shd w:val="clear" w:color="auto" w:fill="F7FBFF"/>
          </w:tcPr>
          <w:p w14:paraId="3D785D38">
            <w:pPr>
              <w:spacing w:before="0" w:after="35" w:line="270" w:lineRule="auto"/>
              <w:rPr>
                <w:rFonts w:hint="eastAsia" w:ascii="宋体" w:hAnsi="宋体" w:eastAsia="宋体" w:cs="宋体"/>
              </w:rPr>
            </w:pPr>
            <w:r>
              <w:rPr>
                <w:rFonts w:hint="eastAsia" w:ascii="宋体" w:hAnsi="宋体" w:eastAsia="宋体" w:cs="宋体"/>
                <w:sz w:val="18"/>
                <w:szCs w:val="18"/>
              </w:rPr>
              <w:t>公告发布、上下线、已读记录</w:t>
            </w:r>
          </w:p>
        </w:tc>
      </w:tr>
      <w:tr w14:paraId="01B2154E">
        <w:tblPrEx>
          <w:tblBorders>
            <w:top w:val="single" w:color="999999" w:sz="4" w:space="0"/>
            <w:left w:val="single" w:color="999999" w:sz="4" w:space="0"/>
            <w:bottom w:val="single" w:color="999999" w:sz="4" w:space="0"/>
            <w:right w:val="single" w:color="999999" w:sz="4" w:space="0"/>
            <w:insideH w:val="single" w:color="BBBBBB" w:sz="4" w:space="0"/>
            <w:insideV w:val="single" w:color="BBBBBB" w:sz="4" w:space="0"/>
          </w:tblBorders>
          <w:tblCellMar>
            <w:top w:w="70" w:type="dxa"/>
            <w:left w:w="90" w:type="dxa"/>
            <w:bottom w:w="70" w:type="dxa"/>
            <w:right w:w="90" w:type="dxa"/>
          </w:tblCellMar>
        </w:tblPrEx>
        <w:tc>
          <w:tcPr>
            <w:tcW w:w="1800" w:type="dxa"/>
          </w:tcPr>
          <w:p w14:paraId="38EE3664">
            <w:pPr>
              <w:spacing w:before="0" w:after="35" w:line="270" w:lineRule="auto"/>
              <w:rPr>
                <w:rFonts w:hint="eastAsia" w:ascii="宋体" w:hAnsi="宋体" w:eastAsia="宋体" w:cs="宋体"/>
              </w:rPr>
            </w:pPr>
            <w:r>
              <w:rPr>
                <w:rFonts w:hint="eastAsia" w:ascii="宋体" w:hAnsi="宋体" w:eastAsia="宋体" w:cs="宋体"/>
                <w:sz w:val="18"/>
                <w:szCs w:val="18"/>
              </w:rPr>
              <w:t>services/analytics.py</w:t>
            </w:r>
          </w:p>
        </w:tc>
        <w:tc>
          <w:tcPr>
            <w:tcW w:w="3400" w:type="dxa"/>
          </w:tcPr>
          <w:p w14:paraId="72C8BB11">
            <w:pPr>
              <w:spacing w:before="0" w:after="35" w:line="270" w:lineRule="auto"/>
              <w:rPr>
                <w:rFonts w:hint="eastAsia" w:ascii="宋体" w:hAnsi="宋体" w:eastAsia="宋体" w:cs="宋体"/>
              </w:rPr>
            </w:pPr>
            <w:r>
              <w:rPr>
                <w:rFonts w:hint="eastAsia" w:ascii="宋体" w:hAnsi="宋体" w:eastAsia="宋体" w:cs="宋体"/>
                <w:sz w:val="18"/>
                <w:szCs w:val="18"/>
              </w:rPr>
              <w:t>overview、trend、top products</w:t>
            </w:r>
          </w:p>
        </w:tc>
        <w:tc>
          <w:tcPr>
            <w:tcW w:w="3800" w:type="dxa"/>
          </w:tcPr>
          <w:p w14:paraId="2E070156">
            <w:pPr>
              <w:spacing w:before="0" w:after="35" w:line="270" w:lineRule="auto"/>
              <w:rPr>
                <w:rFonts w:hint="eastAsia" w:ascii="宋体" w:hAnsi="宋体" w:eastAsia="宋体" w:cs="宋体"/>
              </w:rPr>
            </w:pPr>
            <w:r>
              <w:rPr>
                <w:rFonts w:hint="eastAsia" w:ascii="宋体" w:hAnsi="宋体" w:eastAsia="宋体" w:cs="宋体"/>
                <w:sz w:val="18"/>
                <w:szCs w:val="18"/>
              </w:rPr>
              <w:t>销售概览、趋势、分类占比、热销排行</w:t>
            </w:r>
          </w:p>
        </w:tc>
      </w:tr>
      <w:tr w14:paraId="14A46793">
        <w:tblPrEx>
          <w:tblBorders>
            <w:top w:val="single" w:color="999999" w:sz="4" w:space="0"/>
            <w:left w:val="single" w:color="999999" w:sz="4" w:space="0"/>
            <w:bottom w:val="single" w:color="999999" w:sz="4" w:space="0"/>
            <w:right w:val="single" w:color="999999" w:sz="4" w:space="0"/>
            <w:insideH w:val="single" w:color="BBBBBB" w:sz="4" w:space="0"/>
            <w:insideV w:val="single" w:color="BBBBBB" w:sz="4" w:space="0"/>
          </w:tblBorders>
          <w:tblCellMar>
            <w:top w:w="70" w:type="dxa"/>
            <w:left w:w="90" w:type="dxa"/>
            <w:bottom w:w="70" w:type="dxa"/>
            <w:right w:w="90" w:type="dxa"/>
          </w:tblCellMar>
        </w:tblPrEx>
        <w:tc>
          <w:tcPr>
            <w:tcW w:w="1800" w:type="dxa"/>
            <w:shd w:val="clear" w:color="auto" w:fill="F7FBFF"/>
          </w:tcPr>
          <w:p w14:paraId="365D0EFF">
            <w:pPr>
              <w:spacing w:before="0" w:after="35" w:line="270" w:lineRule="auto"/>
              <w:rPr>
                <w:rFonts w:hint="eastAsia" w:ascii="宋体" w:hAnsi="宋体" w:eastAsia="宋体" w:cs="宋体"/>
              </w:rPr>
            </w:pPr>
            <w:r>
              <w:rPr>
                <w:rFonts w:hint="eastAsia" w:ascii="宋体" w:hAnsi="宋体" w:eastAsia="宋体" w:cs="宋体"/>
                <w:sz w:val="18"/>
                <w:szCs w:val="18"/>
              </w:rPr>
              <w:t>services/assistant.py</w:t>
            </w:r>
          </w:p>
        </w:tc>
        <w:tc>
          <w:tcPr>
            <w:tcW w:w="3400" w:type="dxa"/>
            <w:shd w:val="clear" w:color="auto" w:fill="F7FBFF"/>
          </w:tcPr>
          <w:p w14:paraId="72103852">
            <w:pPr>
              <w:spacing w:before="0" w:after="35" w:line="270" w:lineRule="auto"/>
              <w:rPr>
                <w:rFonts w:hint="eastAsia" w:ascii="宋体" w:hAnsi="宋体" w:eastAsia="宋体" w:cs="宋体"/>
              </w:rPr>
            </w:pPr>
            <w:r>
              <w:rPr>
                <w:rFonts w:hint="eastAsia" w:ascii="宋体" w:hAnsi="宋体" w:eastAsia="宋体" w:cs="宋体"/>
                <w:sz w:val="18"/>
                <w:szCs w:val="18"/>
              </w:rPr>
              <w:t>generate_assistant_reply</w:t>
            </w:r>
          </w:p>
        </w:tc>
        <w:tc>
          <w:tcPr>
            <w:tcW w:w="3800" w:type="dxa"/>
            <w:shd w:val="clear" w:color="auto" w:fill="F7FBFF"/>
          </w:tcPr>
          <w:p w14:paraId="165CE995">
            <w:pPr>
              <w:spacing w:before="0" w:after="35" w:line="270" w:lineRule="auto"/>
              <w:rPr>
                <w:rFonts w:hint="eastAsia" w:ascii="宋体" w:hAnsi="宋体" w:eastAsia="宋体" w:cs="宋体"/>
              </w:rPr>
            </w:pPr>
            <w:r>
              <w:rPr>
                <w:rFonts w:hint="eastAsia" w:ascii="宋体" w:hAnsi="宋体" w:eastAsia="宋体" w:cs="宋体"/>
                <w:sz w:val="18"/>
                <w:szCs w:val="18"/>
              </w:rPr>
              <w:t>库存、销售、商品和帮助类智能回复</w:t>
            </w:r>
          </w:p>
        </w:tc>
      </w:tr>
    </w:tbl>
    <w:p w14:paraId="0DDC0EDE">
      <w:pPr>
        <w:spacing w:before="0" w:after="70" w:line="360" w:lineRule="auto"/>
        <w:rPr>
          <w:rFonts w:hint="eastAsia" w:ascii="宋体" w:hAnsi="宋体" w:eastAsia="宋体" w:cs="宋体"/>
        </w:rPr>
      </w:pPr>
    </w:p>
    <w:p w14:paraId="2A32A809">
      <w:pPr>
        <w:pStyle w:val="Heading3"/>
        <w:keepNext/>
        <w:pBdr>
          <w:left w:val="single" w:color="2F75B5" w:sz="12" w:space="6"/>
        </w:pBdr>
        <w:spacing w:before="220" w:after="100" w:line="360" w:lineRule="auto"/>
        <w:outlineLvl w:val="1"/>
        <w:rPr>
          <w:rFonts w:hint="eastAsia" w:ascii="宋体" w:hAnsi="宋体" w:eastAsia="宋体" w:cs="宋体"/>
        </w:rPr>
      </w:pPr>
      <w:r>
        <w:rPr>
          <w:rFonts w:hint="eastAsia" w:ascii="宋体" w:hAnsi="宋体" w:eastAsia="宋体" w:cs="宋体"/>
          <w:b/>
          <w:bCs/>
          <w:color w:val="1F4E79"/>
          <w:sz w:val="25"/>
          <w:szCs w:val="25"/>
        </w:rPr>
        <w:t>6.1.3 前端代码</w:t>
      </w:r>
    </w:p>
    <w:tbl>
      <w:tblPr>
        <w:tblStyle w:val="2"/>
        <w:tblW w:w="9026" w:type="dxa"/>
        <w:tblInd w:w="0" w:type="dxa"/>
        <w:tblBorders>
          <w:top w:val="single" w:color="999999" w:sz="4" w:space="0"/>
          <w:left w:val="single" w:color="999999" w:sz="4" w:space="0"/>
          <w:bottom w:val="single" w:color="999999" w:sz="4" w:space="0"/>
          <w:right w:val="single" w:color="999999" w:sz="4" w:space="0"/>
          <w:insideH w:val="single" w:color="BBBBBB" w:sz="4" w:space="0"/>
          <w:insideV w:val="single" w:color="BBBBBB" w:sz="4" w:space="0"/>
        </w:tblBorders>
        <w:tblLayout w:type="autofit"/>
        <w:tblCellMar>
          <w:top w:w="70" w:type="dxa"/>
          <w:left w:w="90" w:type="dxa"/>
          <w:bottom w:w="70" w:type="dxa"/>
          <w:right w:w="90" w:type="dxa"/>
        </w:tblCellMar>
      </w:tblPr>
      <w:tblGrid>
        <w:gridCol w:w="3310"/>
        <w:gridCol w:w="5716"/>
      </w:tblGrid>
      <w:tr w14:paraId="5EBA288D">
        <w:tblPrEx>
          <w:tblBorders>
            <w:top w:val="single" w:color="999999" w:sz="4" w:space="0"/>
            <w:left w:val="single" w:color="999999" w:sz="4" w:space="0"/>
            <w:bottom w:val="single" w:color="999999" w:sz="4" w:space="0"/>
            <w:right w:val="single" w:color="999999" w:sz="4" w:space="0"/>
            <w:insideH w:val="single" w:color="BBBBBB" w:sz="4" w:space="0"/>
            <w:insideV w:val="single" w:color="BBBBBB" w:sz="4" w:space="0"/>
          </w:tblBorders>
          <w:tblCellMar>
            <w:top w:w="70" w:type="dxa"/>
            <w:left w:w="90" w:type="dxa"/>
            <w:bottom w:w="70" w:type="dxa"/>
            <w:right w:w="90" w:type="dxa"/>
          </w:tblCellMar>
        </w:tblPrEx>
        <w:tc>
          <w:tcPr>
            <w:tcW w:w="3300" w:type="dxa"/>
            <w:shd w:val="clear" w:color="auto" w:fill="D9EAF7"/>
          </w:tcPr>
          <w:p w14:paraId="2C696761">
            <w:pPr>
              <w:spacing w:before="0" w:after="35" w:line="270" w:lineRule="auto"/>
              <w:rPr>
                <w:rFonts w:hint="eastAsia" w:ascii="宋体" w:hAnsi="宋体" w:eastAsia="宋体" w:cs="宋体"/>
              </w:rPr>
            </w:pPr>
            <w:r>
              <w:rPr>
                <w:rFonts w:hint="eastAsia" w:ascii="宋体" w:hAnsi="宋体" w:eastAsia="宋体" w:cs="宋体"/>
                <w:b/>
                <w:bCs/>
                <w:color w:val="1F4E79"/>
                <w:sz w:val="18"/>
                <w:szCs w:val="18"/>
              </w:rPr>
              <w:t>文件</w:t>
            </w:r>
          </w:p>
        </w:tc>
        <w:tc>
          <w:tcPr>
            <w:tcW w:w="5700" w:type="dxa"/>
            <w:shd w:val="clear" w:color="auto" w:fill="D9EAF7"/>
          </w:tcPr>
          <w:p w14:paraId="178DFEF5">
            <w:pPr>
              <w:spacing w:before="0" w:after="35" w:line="270" w:lineRule="auto"/>
              <w:rPr>
                <w:rFonts w:hint="eastAsia" w:ascii="宋体" w:hAnsi="宋体" w:eastAsia="宋体" w:cs="宋体"/>
              </w:rPr>
            </w:pPr>
            <w:r>
              <w:rPr>
                <w:rFonts w:hint="eastAsia" w:ascii="宋体" w:hAnsi="宋体" w:eastAsia="宋体" w:cs="宋体"/>
                <w:b/>
                <w:bCs/>
                <w:color w:val="1F4E79"/>
                <w:sz w:val="18"/>
                <w:szCs w:val="18"/>
              </w:rPr>
              <w:t>完成内容</w:t>
            </w:r>
          </w:p>
        </w:tc>
      </w:tr>
      <w:tr w14:paraId="50F143E6">
        <w:tblPrEx>
          <w:tblBorders>
            <w:top w:val="single" w:color="999999" w:sz="4" w:space="0"/>
            <w:left w:val="single" w:color="999999" w:sz="4" w:space="0"/>
            <w:bottom w:val="single" w:color="999999" w:sz="4" w:space="0"/>
            <w:right w:val="single" w:color="999999" w:sz="4" w:space="0"/>
            <w:insideH w:val="single" w:color="BBBBBB" w:sz="4" w:space="0"/>
            <w:insideV w:val="single" w:color="BBBBBB" w:sz="4" w:space="0"/>
          </w:tblBorders>
          <w:tblCellMar>
            <w:top w:w="70" w:type="dxa"/>
            <w:left w:w="90" w:type="dxa"/>
            <w:bottom w:w="70" w:type="dxa"/>
            <w:right w:w="90" w:type="dxa"/>
          </w:tblCellMar>
        </w:tblPrEx>
        <w:tc>
          <w:tcPr>
            <w:tcW w:w="3300" w:type="dxa"/>
          </w:tcPr>
          <w:p w14:paraId="2D80ABA7">
            <w:pPr>
              <w:spacing w:before="0" w:after="35" w:line="270" w:lineRule="auto"/>
              <w:rPr>
                <w:rFonts w:hint="eastAsia" w:ascii="宋体" w:hAnsi="宋体" w:eastAsia="宋体" w:cs="宋体"/>
              </w:rPr>
            </w:pPr>
            <w:r>
              <w:rPr>
                <w:rFonts w:hint="eastAsia" w:ascii="宋体" w:hAnsi="宋体" w:eastAsia="宋体" w:cs="宋体"/>
                <w:sz w:val="18"/>
                <w:szCs w:val="18"/>
              </w:rPr>
              <w:t>base.html / base.js</w:t>
            </w:r>
          </w:p>
        </w:tc>
        <w:tc>
          <w:tcPr>
            <w:tcW w:w="5700" w:type="dxa"/>
          </w:tcPr>
          <w:p w14:paraId="70CF827D">
            <w:pPr>
              <w:spacing w:before="0" w:after="35" w:line="270" w:lineRule="auto"/>
              <w:rPr>
                <w:rFonts w:hint="eastAsia" w:ascii="宋体" w:hAnsi="宋体" w:eastAsia="宋体" w:cs="宋体"/>
              </w:rPr>
            </w:pPr>
            <w:r>
              <w:rPr>
                <w:rFonts w:hint="eastAsia" w:ascii="宋体" w:hAnsi="宋体" w:eastAsia="宋体" w:cs="宋体"/>
                <w:sz w:val="18"/>
                <w:szCs w:val="18"/>
              </w:rPr>
              <w:t>统一布局、导航、公告中心、暗色主题、未读状态</w:t>
            </w:r>
          </w:p>
        </w:tc>
      </w:tr>
      <w:tr w14:paraId="02B60D70">
        <w:tblPrEx>
          <w:tblBorders>
            <w:top w:val="single" w:color="999999" w:sz="4" w:space="0"/>
            <w:left w:val="single" w:color="999999" w:sz="4" w:space="0"/>
            <w:bottom w:val="single" w:color="999999" w:sz="4" w:space="0"/>
            <w:right w:val="single" w:color="999999" w:sz="4" w:space="0"/>
            <w:insideH w:val="single" w:color="BBBBBB" w:sz="4" w:space="0"/>
            <w:insideV w:val="single" w:color="BBBBBB" w:sz="4" w:space="0"/>
          </w:tblBorders>
          <w:tblCellMar>
            <w:top w:w="70" w:type="dxa"/>
            <w:left w:w="90" w:type="dxa"/>
            <w:bottom w:w="70" w:type="dxa"/>
            <w:right w:w="90" w:type="dxa"/>
          </w:tblCellMar>
        </w:tblPrEx>
        <w:tc>
          <w:tcPr>
            <w:tcW w:w="3300" w:type="dxa"/>
            <w:shd w:val="clear" w:color="auto" w:fill="F7FBFF"/>
          </w:tcPr>
          <w:p w14:paraId="1D2D6A91">
            <w:pPr>
              <w:spacing w:before="0" w:after="35" w:line="270" w:lineRule="auto"/>
              <w:rPr>
                <w:rFonts w:hint="eastAsia" w:ascii="宋体" w:hAnsi="宋体" w:eastAsia="宋体" w:cs="宋体"/>
              </w:rPr>
            </w:pPr>
            <w:r>
              <w:rPr>
                <w:rFonts w:hint="eastAsia" w:ascii="宋体" w:hAnsi="宋体" w:eastAsia="宋体" w:cs="宋体"/>
                <w:sz w:val="18"/>
                <w:szCs w:val="18"/>
              </w:rPr>
              <w:t>product.html / product.js</w:t>
            </w:r>
          </w:p>
        </w:tc>
        <w:tc>
          <w:tcPr>
            <w:tcW w:w="5700" w:type="dxa"/>
            <w:shd w:val="clear" w:color="auto" w:fill="F7FBFF"/>
          </w:tcPr>
          <w:p w14:paraId="51F0DAE9">
            <w:pPr>
              <w:spacing w:before="0" w:after="35" w:line="270" w:lineRule="auto"/>
              <w:rPr>
                <w:rFonts w:hint="eastAsia" w:ascii="宋体" w:hAnsi="宋体" w:eastAsia="宋体" w:cs="宋体"/>
              </w:rPr>
            </w:pPr>
            <w:r>
              <w:rPr>
                <w:rFonts w:hint="eastAsia" w:ascii="宋体" w:hAnsi="宋体" w:eastAsia="宋体" w:cs="宋体"/>
                <w:sz w:val="18"/>
                <w:szCs w:val="18"/>
              </w:rPr>
              <w:t>商品列表、筛选、分页、弹窗、导入、上下架</w:t>
            </w:r>
          </w:p>
        </w:tc>
      </w:tr>
      <w:tr w14:paraId="76FF0CEC">
        <w:tblPrEx>
          <w:tblBorders>
            <w:top w:val="single" w:color="999999" w:sz="4" w:space="0"/>
            <w:left w:val="single" w:color="999999" w:sz="4" w:space="0"/>
            <w:bottom w:val="single" w:color="999999" w:sz="4" w:space="0"/>
            <w:right w:val="single" w:color="999999" w:sz="4" w:space="0"/>
            <w:insideH w:val="single" w:color="BBBBBB" w:sz="4" w:space="0"/>
            <w:insideV w:val="single" w:color="BBBBBB" w:sz="4" w:space="0"/>
          </w:tblBorders>
          <w:tblCellMar>
            <w:top w:w="70" w:type="dxa"/>
            <w:left w:w="90" w:type="dxa"/>
            <w:bottom w:w="70" w:type="dxa"/>
            <w:right w:w="90" w:type="dxa"/>
          </w:tblCellMar>
        </w:tblPrEx>
        <w:tc>
          <w:tcPr>
            <w:tcW w:w="3300" w:type="dxa"/>
          </w:tcPr>
          <w:p w14:paraId="52894C0C">
            <w:pPr>
              <w:spacing w:before="0" w:after="35" w:line="270" w:lineRule="auto"/>
              <w:rPr>
                <w:rFonts w:hint="eastAsia" w:ascii="宋体" w:hAnsi="宋体" w:eastAsia="宋体" w:cs="宋体"/>
              </w:rPr>
            </w:pPr>
            <w:r>
              <w:rPr>
                <w:rFonts w:hint="eastAsia" w:ascii="宋体" w:hAnsi="宋体" w:eastAsia="宋体" w:cs="宋体"/>
                <w:sz w:val="18"/>
                <w:szCs w:val="18"/>
              </w:rPr>
              <w:t>inventory.html / inventory.js</w:t>
            </w:r>
          </w:p>
        </w:tc>
        <w:tc>
          <w:tcPr>
            <w:tcW w:w="5700" w:type="dxa"/>
          </w:tcPr>
          <w:p w14:paraId="0E4825AE">
            <w:pPr>
              <w:spacing w:before="0" w:after="35" w:line="270" w:lineRule="auto"/>
              <w:rPr>
                <w:rFonts w:hint="eastAsia" w:ascii="宋体" w:hAnsi="宋体" w:eastAsia="宋体" w:cs="宋体"/>
              </w:rPr>
            </w:pPr>
            <w:r>
              <w:rPr>
                <w:rFonts w:hint="eastAsia" w:ascii="宋体" w:hAnsi="宋体" w:eastAsia="宋体" w:cs="宋体"/>
                <w:sz w:val="18"/>
                <w:szCs w:val="18"/>
              </w:rPr>
              <w:t>库存摘要、库存表、流水表、预警列表</w:t>
            </w:r>
          </w:p>
        </w:tc>
      </w:tr>
      <w:tr w14:paraId="5A524FFC">
        <w:tblPrEx>
          <w:tblBorders>
            <w:top w:val="single" w:color="999999" w:sz="4" w:space="0"/>
            <w:left w:val="single" w:color="999999" w:sz="4" w:space="0"/>
            <w:bottom w:val="single" w:color="999999" w:sz="4" w:space="0"/>
            <w:right w:val="single" w:color="999999" w:sz="4" w:space="0"/>
            <w:insideH w:val="single" w:color="BBBBBB" w:sz="4" w:space="0"/>
            <w:insideV w:val="single" w:color="BBBBBB" w:sz="4" w:space="0"/>
          </w:tblBorders>
          <w:tblCellMar>
            <w:top w:w="70" w:type="dxa"/>
            <w:left w:w="90" w:type="dxa"/>
            <w:bottom w:w="70" w:type="dxa"/>
            <w:right w:w="90" w:type="dxa"/>
          </w:tblCellMar>
        </w:tblPrEx>
        <w:tc>
          <w:tcPr>
            <w:tcW w:w="3300" w:type="dxa"/>
            <w:shd w:val="clear" w:color="auto" w:fill="F7FBFF"/>
          </w:tcPr>
          <w:p w14:paraId="773364F7">
            <w:pPr>
              <w:spacing w:before="0" w:after="35" w:line="270" w:lineRule="auto"/>
              <w:rPr>
                <w:rFonts w:hint="eastAsia" w:ascii="宋体" w:hAnsi="宋体" w:eastAsia="宋体" w:cs="宋体"/>
              </w:rPr>
            </w:pPr>
            <w:r>
              <w:rPr>
                <w:rFonts w:hint="eastAsia" w:ascii="宋体" w:hAnsi="宋体" w:eastAsia="宋体" w:cs="宋体"/>
                <w:sz w:val="18"/>
                <w:szCs w:val="18"/>
              </w:rPr>
              <w:t>cashier.html / cashier.js</w:t>
            </w:r>
          </w:p>
        </w:tc>
        <w:tc>
          <w:tcPr>
            <w:tcW w:w="5700" w:type="dxa"/>
            <w:shd w:val="clear" w:color="auto" w:fill="F7FBFF"/>
          </w:tcPr>
          <w:p w14:paraId="29E7016A">
            <w:pPr>
              <w:spacing w:before="0" w:after="35" w:line="270" w:lineRule="auto"/>
              <w:rPr>
                <w:rFonts w:hint="eastAsia" w:ascii="宋体" w:hAnsi="宋体" w:eastAsia="宋体" w:cs="宋体"/>
              </w:rPr>
            </w:pPr>
            <w:r>
              <w:rPr>
                <w:rFonts w:hint="eastAsia" w:ascii="宋体" w:hAnsi="宋体" w:eastAsia="宋体" w:cs="宋体"/>
                <w:sz w:val="18"/>
                <w:szCs w:val="18"/>
              </w:rPr>
              <w:t>商品检索、购物车、结算、打印小票</w:t>
            </w:r>
          </w:p>
        </w:tc>
      </w:tr>
      <w:tr w14:paraId="27CA29CF">
        <w:tblPrEx>
          <w:tblBorders>
            <w:top w:val="single" w:color="999999" w:sz="4" w:space="0"/>
            <w:left w:val="single" w:color="999999" w:sz="4" w:space="0"/>
            <w:bottom w:val="single" w:color="999999" w:sz="4" w:space="0"/>
            <w:right w:val="single" w:color="999999" w:sz="4" w:space="0"/>
            <w:insideH w:val="single" w:color="BBBBBB" w:sz="4" w:space="0"/>
            <w:insideV w:val="single" w:color="BBBBBB" w:sz="4" w:space="0"/>
          </w:tblBorders>
          <w:tblCellMar>
            <w:top w:w="70" w:type="dxa"/>
            <w:left w:w="90" w:type="dxa"/>
            <w:bottom w:w="70" w:type="dxa"/>
            <w:right w:w="90" w:type="dxa"/>
          </w:tblCellMar>
        </w:tblPrEx>
        <w:tc>
          <w:tcPr>
            <w:tcW w:w="3300" w:type="dxa"/>
          </w:tcPr>
          <w:p w14:paraId="0623BDD3">
            <w:pPr>
              <w:spacing w:before="0" w:after="35" w:line="270" w:lineRule="auto"/>
              <w:rPr>
                <w:rFonts w:hint="eastAsia" w:ascii="宋体" w:hAnsi="宋体" w:eastAsia="宋体" w:cs="宋体"/>
              </w:rPr>
            </w:pPr>
            <w:r>
              <w:rPr>
                <w:rFonts w:hint="eastAsia" w:ascii="宋体" w:hAnsi="宋体" w:eastAsia="宋体" w:cs="宋体"/>
                <w:sz w:val="18"/>
                <w:szCs w:val="18"/>
              </w:rPr>
              <w:t>sales.html / sales.js</w:t>
            </w:r>
          </w:p>
        </w:tc>
        <w:tc>
          <w:tcPr>
            <w:tcW w:w="5700" w:type="dxa"/>
          </w:tcPr>
          <w:p w14:paraId="77AE2B87">
            <w:pPr>
              <w:spacing w:before="0" w:after="35" w:line="270" w:lineRule="auto"/>
              <w:rPr>
                <w:rFonts w:hint="eastAsia" w:ascii="宋体" w:hAnsi="宋体" w:eastAsia="宋体" w:cs="宋体"/>
              </w:rPr>
            </w:pPr>
            <w:r>
              <w:rPr>
                <w:rFonts w:hint="eastAsia" w:ascii="宋体" w:hAnsi="宋体" w:eastAsia="宋体" w:cs="宋体"/>
                <w:sz w:val="18"/>
                <w:szCs w:val="18"/>
              </w:rPr>
              <w:t>订单筛选、分页、明细弹窗</w:t>
            </w:r>
          </w:p>
        </w:tc>
      </w:tr>
      <w:tr w14:paraId="459EBB2D">
        <w:tblPrEx>
          <w:tblBorders>
            <w:top w:val="single" w:color="999999" w:sz="4" w:space="0"/>
            <w:left w:val="single" w:color="999999" w:sz="4" w:space="0"/>
            <w:bottom w:val="single" w:color="999999" w:sz="4" w:space="0"/>
            <w:right w:val="single" w:color="999999" w:sz="4" w:space="0"/>
            <w:insideH w:val="single" w:color="BBBBBB" w:sz="4" w:space="0"/>
            <w:insideV w:val="single" w:color="BBBBBB" w:sz="4" w:space="0"/>
          </w:tblBorders>
          <w:tblCellMar>
            <w:top w:w="70" w:type="dxa"/>
            <w:left w:w="90" w:type="dxa"/>
            <w:bottom w:w="70" w:type="dxa"/>
            <w:right w:w="90" w:type="dxa"/>
          </w:tblCellMar>
        </w:tblPrEx>
        <w:tc>
          <w:tcPr>
            <w:tcW w:w="3300" w:type="dxa"/>
            <w:shd w:val="clear" w:color="auto" w:fill="F7FBFF"/>
          </w:tcPr>
          <w:p w14:paraId="121E6EED">
            <w:pPr>
              <w:spacing w:before="0" w:after="35" w:line="270" w:lineRule="auto"/>
              <w:rPr>
                <w:rFonts w:hint="eastAsia" w:ascii="宋体" w:hAnsi="宋体" w:eastAsia="宋体" w:cs="宋体"/>
              </w:rPr>
            </w:pPr>
            <w:r>
              <w:rPr>
                <w:rFonts w:hint="eastAsia" w:ascii="宋体" w:hAnsi="宋体" w:eastAsia="宋体" w:cs="宋体"/>
                <w:sz w:val="18"/>
                <w:szCs w:val="18"/>
              </w:rPr>
              <w:t>finance.html / finance.js</w:t>
            </w:r>
          </w:p>
        </w:tc>
        <w:tc>
          <w:tcPr>
            <w:tcW w:w="5700" w:type="dxa"/>
            <w:shd w:val="clear" w:color="auto" w:fill="F7FBFF"/>
          </w:tcPr>
          <w:p w14:paraId="794EE534">
            <w:pPr>
              <w:spacing w:before="0" w:after="35" w:line="270" w:lineRule="auto"/>
              <w:rPr>
                <w:rFonts w:hint="eastAsia" w:ascii="宋体" w:hAnsi="宋体" w:eastAsia="宋体" w:cs="宋体"/>
              </w:rPr>
            </w:pPr>
            <w:r>
              <w:rPr>
                <w:rFonts w:hint="eastAsia" w:ascii="宋体" w:hAnsi="宋体" w:eastAsia="宋体" w:cs="宋体"/>
                <w:sz w:val="18"/>
                <w:szCs w:val="18"/>
              </w:rPr>
              <w:t>财务看板、流水录入、日结、应付、月结</w:t>
            </w:r>
          </w:p>
        </w:tc>
      </w:tr>
      <w:tr w14:paraId="36F50DF1">
        <w:tblPrEx>
          <w:tblBorders>
            <w:top w:val="single" w:color="999999" w:sz="4" w:space="0"/>
            <w:left w:val="single" w:color="999999" w:sz="4" w:space="0"/>
            <w:bottom w:val="single" w:color="999999" w:sz="4" w:space="0"/>
            <w:right w:val="single" w:color="999999" w:sz="4" w:space="0"/>
            <w:insideH w:val="single" w:color="BBBBBB" w:sz="4" w:space="0"/>
            <w:insideV w:val="single" w:color="BBBBBB" w:sz="4" w:space="0"/>
          </w:tblBorders>
          <w:tblCellMar>
            <w:top w:w="70" w:type="dxa"/>
            <w:left w:w="90" w:type="dxa"/>
            <w:bottom w:w="70" w:type="dxa"/>
            <w:right w:w="90" w:type="dxa"/>
          </w:tblCellMar>
        </w:tblPrEx>
        <w:tc>
          <w:tcPr>
            <w:tcW w:w="3300" w:type="dxa"/>
          </w:tcPr>
          <w:p w14:paraId="125C6DC7">
            <w:pPr>
              <w:spacing w:before="0" w:after="35" w:line="270" w:lineRule="auto"/>
              <w:rPr>
                <w:rFonts w:hint="eastAsia" w:ascii="宋体" w:hAnsi="宋体" w:eastAsia="宋体" w:cs="宋体"/>
              </w:rPr>
            </w:pPr>
            <w:r>
              <w:rPr>
                <w:rFonts w:hint="eastAsia" w:ascii="宋体" w:hAnsi="宋体" w:eastAsia="宋体" w:cs="宋体"/>
                <w:sz w:val="18"/>
                <w:szCs w:val="18"/>
              </w:rPr>
              <w:t>analytics.html / analytics.js</w:t>
            </w:r>
          </w:p>
        </w:tc>
        <w:tc>
          <w:tcPr>
            <w:tcW w:w="5700" w:type="dxa"/>
          </w:tcPr>
          <w:p w14:paraId="76CAE7A1">
            <w:pPr>
              <w:spacing w:before="0" w:after="35" w:line="270" w:lineRule="auto"/>
              <w:rPr>
                <w:rFonts w:hint="eastAsia" w:ascii="宋体" w:hAnsi="宋体" w:eastAsia="宋体" w:cs="宋体"/>
              </w:rPr>
            </w:pPr>
            <w:r>
              <w:rPr>
                <w:rFonts w:hint="eastAsia" w:ascii="宋体" w:hAnsi="宋体" w:eastAsia="宋体" w:cs="宋体"/>
                <w:sz w:val="18"/>
                <w:szCs w:val="18"/>
              </w:rPr>
              <w:t>Chart.js 趋势折线、分类饼图、热销排行</w:t>
            </w:r>
          </w:p>
        </w:tc>
      </w:tr>
      <w:tr w14:paraId="4D8412FB">
        <w:tblPrEx>
          <w:tblBorders>
            <w:top w:val="single" w:color="999999" w:sz="4" w:space="0"/>
            <w:left w:val="single" w:color="999999" w:sz="4" w:space="0"/>
            <w:bottom w:val="single" w:color="999999" w:sz="4" w:space="0"/>
            <w:right w:val="single" w:color="999999" w:sz="4" w:space="0"/>
            <w:insideH w:val="single" w:color="BBBBBB" w:sz="4" w:space="0"/>
            <w:insideV w:val="single" w:color="BBBBBB" w:sz="4" w:space="0"/>
          </w:tblBorders>
          <w:tblCellMar>
            <w:top w:w="70" w:type="dxa"/>
            <w:left w:w="90" w:type="dxa"/>
            <w:bottom w:w="70" w:type="dxa"/>
            <w:right w:w="90" w:type="dxa"/>
          </w:tblCellMar>
        </w:tblPrEx>
        <w:tc>
          <w:tcPr>
            <w:tcW w:w="3300" w:type="dxa"/>
            <w:shd w:val="clear" w:color="auto" w:fill="F7FBFF"/>
          </w:tcPr>
          <w:p w14:paraId="5F14D7A2">
            <w:pPr>
              <w:spacing w:before="0" w:after="35" w:line="270" w:lineRule="auto"/>
              <w:rPr>
                <w:rFonts w:hint="eastAsia" w:ascii="宋体" w:hAnsi="宋体" w:eastAsia="宋体" w:cs="宋体"/>
              </w:rPr>
            </w:pPr>
            <w:r>
              <w:rPr>
                <w:rFonts w:hint="eastAsia" w:ascii="宋体" w:hAnsi="宋体" w:eastAsia="宋体" w:cs="宋体"/>
                <w:sz w:val="18"/>
                <w:szCs w:val="18"/>
              </w:rPr>
              <w:t>assistant.html / assistant.js</w:t>
            </w:r>
          </w:p>
        </w:tc>
        <w:tc>
          <w:tcPr>
            <w:tcW w:w="5700" w:type="dxa"/>
            <w:shd w:val="clear" w:color="auto" w:fill="F7FBFF"/>
          </w:tcPr>
          <w:p w14:paraId="64593C9F">
            <w:pPr>
              <w:spacing w:before="0" w:after="35" w:line="270" w:lineRule="auto"/>
              <w:rPr>
                <w:rFonts w:hint="eastAsia" w:ascii="宋体" w:hAnsi="宋体" w:eastAsia="宋体" w:cs="宋体"/>
              </w:rPr>
            </w:pPr>
            <w:r>
              <w:rPr>
                <w:rFonts w:hint="eastAsia" w:ascii="宋体" w:hAnsi="宋体" w:eastAsia="宋体" w:cs="宋体"/>
                <w:sz w:val="18"/>
                <w:szCs w:val="18"/>
              </w:rPr>
              <w:t>聊天消息渲染、快捷问题、接口调用</w:t>
            </w:r>
          </w:p>
        </w:tc>
      </w:tr>
      <w:tr w14:paraId="0FF032F9">
        <w:tblPrEx>
          <w:tblBorders>
            <w:top w:val="single" w:color="999999" w:sz="4" w:space="0"/>
            <w:left w:val="single" w:color="999999" w:sz="4" w:space="0"/>
            <w:bottom w:val="single" w:color="999999" w:sz="4" w:space="0"/>
            <w:right w:val="single" w:color="999999" w:sz="4" w:space="0"/>
            <w:insideH w:val="single" w:color="BBBBBB" w:sz="4" w:space="0"/>
            <w:insideV w:val="single" w:color="BBBBBB" w:sz="4" w:space="0"/>
          </w:tblBorders>
          <w:tblCellMar>
            <w:top w:w="70" w:type="dxa"/>
            <w:left w:w="90" w:type="dxa"/>
            <w:bottom w:w="70" w:type="dxa"/>
            <w:right w:w="90" w:type="dxa"/>
          </w:tblCellMar>
        </w:tblPrEx>
        <w:tc>
          <w:tcPr>
            <w:tcW w:w="3300" w:type="dxa"/>
          </w:tcPr>
          <w:p w14:paraId="798B2A87">
            <w:pPr>
              <w:spacing w:before="0" w:after="35" w:line="270" w:lineRule="auto"/>
              <w:rPr>
                <w:rFonts w:hint="eastAsia" w:ascii="宋体" w:hAnsi="宋体" w:eastAsia="宋体" w:cs="宋体"/>
              </w:rPr>
            </w:pPr>
            <w:r>
              <w:rPr>
                <w:rFonts w:hint="eastAsia" w:ascii="宋体" w:hAnsi="宋体" w:eastAsia="宋体" w:cs="宋体"/>
                <w:sz w:val="18"/>
                <w:szCs w:val="18"/>
              </w:rPr>
              <w:t>announcements.html</w:t>
            </w:r>
          </w:p>
        </w:tc>
        <w:tc>
          <w:tcPr>
            <w:tcW w:w="5700" w:type="dxa"/>
          </w:tcPr>
          <w:p w14:paraId="541BCD2B">
            <w:pPr>
              <w:spacing w:before="0" w:after="35" w:line="270" w:lineRule="auto"/>
              <w:rPr>
                <w:rFonts w:hint="eastAsia" w:ascii="宋体" w:hAnsi="宋体" w:eastAsia="宋体" w:cs="宋体"/>
              </w:rPr>
            </w:pPr>
            <w:r>
              <w:rPr>
                <w:rFonts w:hint="eastAsia" w:ascii="宋体" w:hAnsi="宋体" w:eastAsia="宋体" w:cs="宋体"/>
                <w:sz w:val="18"/>
                <w:szCs w:val="18"/>
              </w:rPr>
              <w:t>公告创建、上下线、目标角色设置</w:t>
            </w:r>
          </w:p>
        </w:tc>
      </w:tr>
      <w:tr w14:paraId="52757604">
        <w:tblPrEx>
          <w:tblBorders>
            <w:top w:val="single" w:color="999999" w:sz="4" w:space="0"/>
            <w:left w:val="single" w:color="999999" w:sz="4" w:space="0"/>
            <w:bottom w:val="single" w:color="999999" w:sz="4" w:space="0"/>
            <w:right w:val="single" w:color="999999" w:sz="4" w:space="0"/>
            <w:insideH w:val="single" w:color="BBBBBB" w:sz="4" w:space="0"/>
            <w:insideV w:val="single" w:color="BBBBBB" w:sz="4" w:space="0"/>
          </w:tblBorders>
          <w:tblCellMar>
            <w:top w:w="70" w:type="dxa"/>
            <w:left w:w="90" w:type="dxa"/>
            <w:bottom w:w="70" w:type="dxa"/>
            <w:right w:w="90" w:type="dxa"/>
          </w:tblCellMar>
        </w:tblPrEx>
        <w:tc>
          <w:tcPr>
            <w:tcW w:w="3300" w:type="dxa"/>
            <w:shd w:val="clear" w:color="auto" w:fill="F7FBFF"/>
          </w:tcPr>
          <w:p w14:paraId="683ED9E2">
            <w:pPr>
              <w:spacing w:before="0" w:after="35" w:line="270" w:lineRule="auto"/>
              <w:rPr>
                <w:rFonts w:hint="eastAsia" w:ascii="宋体" w:hAnsi="宋体" w:eastAsia="宋体" w:cs="宋体"/>
              </w:rPr>
            </w:pPr>
            <w:r>
              <w:rPr>
                <w:rFonts w:hint="eastAsia" w:ascii="宋体" w:hAnsi="宋体" w:eastAsia="宋体" w:cs="宋体"/>
                <w:sz w:val="18"/>
                <w:szCs w:val="18"/>
              </w:rPr>
              <w:t>login.html / register.html</w:t>
            </w:r>
          </w:p>
        </w:tc>
        <w:tc>
          <w:tcPr>
            <w:tcW w:w="5700" w:type="dxa"/>
            <w:shd w:val="clear" w:color="auto" w:fill="F7FBFF"/>
          </w:tcPr>
          <w:p w14:paraId="0DC308BE">
            <w:pPr>
              <w:spacing w:before="0" w:after="35" w:line="270" w:lineRule="auto"/>
              <w:rPr>
                <w:rFonts w:hint="eastAsia" w:ascii="宋体" w:hAnsi="宋体" w:eastAsia="宋体" w:cs="宋体"/>
              </w:rPr>
            </w:pPr>
            <w:r>
              <w:rPr>
                <w:rFonts w:hint="eastAsia" w:ascii="宋体" w:hAnsi="宋体" w:eastAsia="宋体" w:cs="宋体"/>
                <w:sz w:val="18"/>
                <w:szCs w:val="18"/>
              </w:rPr>
              <w:t>登录注册表单、密码显示、角色提示</w:t>
            </w:r>
          </w:p>
        </w:tc>
      </w:tr>
    </w:tbl>
    <w:p w14:paraId="32A485AF">
      <w:pPr>
        <w:spacing w:before="0" w:after="70" w:line="360" w:lineRule="auto"/>
        <w:rPr>
          <w:rFonts w:hint="eastAsia" w:ascii="宋体" w:hAnsi="宋体" w:eastAsia="宋体" w:cs="宋体"/>
        </w:rPr>
      </w:pPr>
    </w:p>
    <w:p w14:paraId="484F226D">
      <w:pPr>
        <w:pStyle w:val="Heading3"/>
        <w:keepNext/>
        <w:pBdr>
          <w:left w:val="single" w:color="2F75B5" w:sz="12" w:space="6"/>
        </w:pBdr>
        <w:spacing w:before="220" w:after="100" w:line="360" w:lineRule="auto"/>
        <w:outlineLvl w:val="1"/>
        <w:rPr>
          <w:rFonts w:hint="eastAsia" w:ascii="宋体" w:hAnsi="宋体" w:eastAsia="宋体" w:cs="宋体"/>
        </w:rPr>
      </w:pPr>
      <w:r>
        <w:rPr>
          <w:rFonts w:ascii="黑体" w:hAnsi="黑体" w:eastAsia="黑体"/>
          <w:b/>
          <w:sz w:val="24"/>
        </w:rPr>
        <w:t>6.1.4 代码审查与完成情况</w:t>
      </w:r>
    </w:p>
    <w:p w14:paraId="56C2D597">
      <w:pPr>
        <w:spacing w:before="0" w:after="120" w:line="360" w:lineRule="auto"/>
        <w:ind w:firstLine="440"/>
        <w:rPr>
          <w:rFonts w:hint="eastAsia" w:ascii="宋体" w:hAnsi="宋体" w:eastAsia="宋体" w:cs="宋体"/>
        </w:rPr>
      </w:pPr>
      <w:r>
        <w:rPr>
          <w:rFonts w:ascii="宋体" w:hAnsi="宋体" w:eastAsia="宋体"/>
          <w:b w:val="0"/>
          <w:sz w:val="22"/>
        </w:rPr>
        <w:t>系统通过日志、库存流水、销售流水、财务流水、公告已读记录和操作状态字段保留关键业务痕迹。完成物包括源码、数据库脚本、环境模板、部署说明、图表和本报告。</w:t>
      </w:r>
    </w:p>
    <w:p w14:paraId="5F3ABA31">
      <w:pPr>
        <w:spacing w:before="75" w:after="30"/>
        <w:jc w:val="center"/>
        <w:rPr>
          <w:rFonts w:hint="eastAsia" w:ascii="宋体" w:hAnsi="宋体" w:eastAsia="宋体" w:cs="宋体"/>
        </w:rPr>
      </w:pPr>
      <w:r>
        <w:rPr>
          <w:rFonts w:hint="eastAsia" w:ascii="宋体" w:hAnsi="宋体" w:eastAsia="宋体" w:cs="宋体"/>
        </w:rPr>
        <w:drawing>
          <wp:inline distT="0" distB="0" distL="0" distR="0">
            <wp:extent cx="6035040" cy="4420870"/>
            <wp:effectExtent l="0" t="0" r="0" b="0"/>
            <wp:docPr id="56" name="report_image5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report_image56.png"/>
                    <pic:cNvPicPr>
                      <a:picLocks noChangeAspect="1"/>
                    </pic:cNvPicPr>
                  </pic:nvPicPr>
                  <pic:blipFill>
                    <a:blip r:embed="rId61"/>
                    <a:stretch>
                      <a:fillRect/>
                    </a:stretch>
                  </pic:blipFill>
                  <pic:spPr>
                    <a:xfrm>
                      <a:off x="0" y="0"/>
                      <a:ext cx="6035040" cy="4421405"/>
                    </a:xfrm>
                    <a:prstGeom prst="rect">
                      <a:avLst/>
                    </a:prstGeom>
                  </pic:spPr>
                </pic:pic>
              </a:graphicData>
            </a:graphic>
          </wp:inline>
        </w:drawing>
      </w:r>
    </w:p>
    <w:p w14:paraId="7EBB9ADF">
      <w:pPr>
        <w:spacing w:before="0" w:after="110" w:line="250" w:lineRule="auto"/>
        <w:jc w:val="center"/>
        <w:rPr>
          <w:rFonts w:hint="eastAsia" w:ascii="宋体" w:hAnsi="宋体" w:eastAsia="宋体" w:cs="宋体"/>
        </w:rPr>
      </w:pPr>
      <w:r>
        <w:rPr>
          <w:rFonts w:hint="eastAsia" w:ascii="宋体" w:hAnsi="宋体" w:eastAsia="宋体" w:cs="宋体"/>
          <w:i/>
          <w:iCs/>
          <w:sz w:val="17"/>
          <w:szCs w:val="17"/>
        </w:rPr>
        <w:t>图56  可观测与审计设计</w:t>
      </w:r>
    </w:p>
    <w:p w14:paraId="09593B2C">
      <w:pPr>
        <w:spacing w:before="75" w:after="30"/>
        <w:jc w:val="center"/>
        <w:rPr>
          <w:rFonts w:hint="eastAsia" w:ascii="宋体" w:hAnsi="宋体" w:eastAsia="宋体" w:cs="宋体"/>
        </w:rPr>
      </w:pPr>
      <w:r>
        <w:rPr>
          <w:rFonts w:hint="eastAsia" w:ascii="宋体" w:hAnsi="宋体" w:eastAsia="宋体" w:cs="宋体"/>
        </w:rPr>
        <w:drawing>
          <wp:inline distT="0" distB="0" distL="0" distR="0">
            <wp:extent cx="6035040" cy="3378200"/>
            <wp:effectExtent l="0" t="0" r="0" b="0"/>
            <wp:docPr id="57" name="report_image5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report_image57.png"/>
                    <pic:cNvPicPr>
                      <a:picLocks noChangeAspect="1"/>
                    </pic:cNvPicPr>
                  </pic:nvPicPr>
                  <pic:blipFill>
                    <a:blip r:embed="rId62"/>
                    <a:stretch>
                      <a:fillRect/>
                    </a:stretch>
                  </pic:blipFill>
                  <pic:spPr>
                    <a:xfrm>
                      <a:off x="0" y="0"/>
                      <a:ext cx="6035040" cy="3378299"/>
                    </a:xfrm>
                    <a:prstGeom prst="rect">
                      <a:avLst/>
                    </a:prstGeom>
                  </pic:spPr>
                </pic:pic>
              </a:graphicData>
            </a:graphic>
          </wp:inline>
        </w:drawing>
      </w:r>
    </w:p>
    <w:p w14:paraId="7DA754DC">
      <w:pPr>
        <w:spacing w:before="0" w:after="120" w:line="360" w:lineRule="auto"/>
        <w:ind w:firstLine="440"/>
        <w:jc w:val="center"/>
        <w:rPr>
          <w:rFonts w:hint="eastAsia" w:ascii="宋体" w:hAnsi="宋体" w:eastAsia="宋体" w:cs="宋体"/>
        </w:rPr>
      </w:pPr>
      <w:r>
        <w:rPr>
          <w:rFonts w:ascii="宋体" w:hAnsi="宋体" w:eastAsia="宋体"/>
          <w:b w:val="0"/>
          <w:sz w:val="22"/>
        </w:rPr>
        <w:t>图57  完成物结构图</w:t>
      </w:r>
    </w:p>
    <w:p w14:paraId="61DF3F3F">
      <w:pPr>
        <w:rPr>
          <w:rFonts w:hint="eastAsia" w:ascii="宋体" w:hAnsi="宋体" w:eastAsia="宋体" w:cs="宋体"/>
        </w:rPr>
      </w:pPr>
    </w:p>
    <w:p w14:paraId="277915A6">
      <w:pPr>
        <w:rPr>
          <w:rFonts w:hint="eastAsia" w:ascii="宋体" w:hAnsi="宋体" w:eastAsia="宋体" w:cs="宋体"/>
        </w:rPr>
      </w:pPr>
    </w:p>
    <w:p w14:paraId="5243BAF1">
      <w:pPr>
        <w:rPr>
          <w:rFonts w:hint="eastAsia" w:ascii="宋体" w:hAnsi="宋体" w:eastAsia="宋体" w:cs="宋体"/>
        </w:rPr>
      </w:pPr>
    </w:p>
    <w:p w14:paraId="1EE593C2">
      <w:pPr>
        <w:rPr>
          <w:rFonts w:hint="eastAsia" w:ascii="宋体" w:hAnsi="宋体" w:eastAsia="宋体" w:cs="宋体"/>
        </w:rPr>
      </w:pPr>
    </w:p>
    <w:p w14:paraId="6F8E8959">
      <w:pPr>
        <w:rPr>
          <w:rFonts w:hint="eastAsia" w:ascii="宋体" w:hAnsi="宋体" w:eastAsia="宋体" w:cs="宋体"/>
        </w:rPr>
      </w:pPr>
    </w:p>
    <w:p w14:paraId="6BFCF552">
      <w:pPr>
        <w:rPr>
          <w:rFonts w:hint="eastAsia" w:ascii="宋体" w:hAnsi="宋体" w:eastAsia="宋体" w:cs="宋体"/>
        </w:rPr>
      </w:pPr>
    </w:p>
    <w:p w14:paraId="0CC60BA0">
      <w:pPr>
        <w:rPr>
          <w:rFonts w:hint="eastAsia" w:ascii="宋体" w:hAnsi="宋体" w:eastAsia="宋体" w:cs="宋体"/>
        </w:rPr>
      </w:pPr>
    </w:p>
    <w:p w14:paraId="73A497A1">
      <w:pPr>
        <w:rPr>
          <w:rFonts w:hint="eastAsia" w:ascii="宋体" w:hAnsi="宋体" w:eastAsia="宋体" w:cs="宋体"/>
        </w:rPr>
      </w:pPr>
    </w:p>
    <w:p w14:paraId="02013D03">
      <w:pPr>
        <w:rPr>
          <w:rFonts w:hint="eastAsia" w:ascii="宋体" w:hAnsi="宋体" w:eastAsia="宋体" w:cs="宋体"/>
        </w:rPr>
      </w:pPr>
    </w:p>
    <w:p w14:paraId="20FF29A0">
      <w:pPr>
        <w:rPr>
          <w:rFonts w:hint="eastAsia" w:ascii="宋体" w:hAnsi="宋体" w:eastAsia="宋体" w:cs="宋体"/>
        </w:rPr>
      </w:pPr>
    </w:p>
    <w:p w14:paraId="21741A4F">
      <w:pPr>
        <w:pStyle w:val="Heading3"/>
        <w:spacing w:before="160" w:after="80"/>
        <w:jc w:val="left"/>
      </w:pPr>
      <w:r>
        <w:rPr>
          <w:rFonts w:ascii="黑体" w:hAnsi="黑体" w:eastAsia="黑体"/>
          <w:b/>
          <w:sz w:val="24"/>
        </w:rPr>
        <w:t>6.1.5 代码实现完整性与源码整理说明</w:t>
      </w:r>
    </w:p>
    <w:p w14:paraId="39B6CB28">
      <w:pPr>
        <w:spacing w:after="120" w:line="360" w:lineRule="auto"/>
        <w:ind w:firstLine="440"/>
      </w:pPr>
      <w:r>
        <w:rPr>
          <w:rFonts w:ascii="宋体" w:hAnsi="宋体" w:eastAsia="宋体"/>
          <w:b w:val="0"/>
          <w:sz w:val="22"/>
        </w:rPr>
        <w:t>第 7 章需要把最终源码完成度写得更具体。后端实现不只包括商品、库存、销售三条主线，还包括 assistant 智能助手、finance 财务闭环、announcements 公告已读、second_phase 二期主数据、analytics 经营分析和 auth 权限控制。报告采用“路由入口 -&gt; 服务函数 -&gt; 数据表 -&gt; 测试用例”的对应关系说明源码实现，例如智能助手对应 routes/assistant.py、services/assistant.py、assistant.html、assistant.js；财务应付对应 routes/finance.py、services/finance.py、supplier_payables、payable_payments；会员积分对应 routes/second_phase.py、services/second_phase.py、members。</w:t>
      </w:r>
    </w:p>
    <w:p w14:paraId="0ABA0101">
      <w:pPr>
        <w:spacing w:after="120" w:line="360" w:lineRule="auto"/>
        <w:ind w:firstLine="440"/>
      </w:pPr>
      <w:r>
        <w:rPr>
          <w:rFonts w:ascii="宋体" w:hAnsi="宋体" w:eastAsia="宋体"/>
          <w:b w:val="0"/>
          <w:sz w:val="22"/>
        </w:rPr>
        <w:t>数据和脚本用于支撑系统复现运行。data/supermarket.db 是本地 SQLite 数据库，data/SQL/schema.sql 与 seed_data.sql 分别保存结构和演示数据来源；README.md 写明 uv sync、uv run python run.py、默认账号、数据库位置和 pytest/coverage 命令；图表目录保存 PNG 和 drawio 文件，便于报告引用和后续修改。这些内容共同说明系统从代码到数据再到图表具有一致的组织结构。</w:t>
      </w:r>
    </w:p>
    <w:p>
      <w:r>
        <w:br w:type="page"/>
      </w:r>
    </w:p>
    <w:p>
      <w:pPr>
        <w:pStyle w:val="Heading1"/>
        <w:spacing w:before="240" w:after="200"/>
      </w:pPr>
      <w:r>
        <w:rPr>
          <w:rFonts w:ascii="黑体" w:hAnsi="黑体" w:eastAsia="黑体"/>
          <w:b/>
        </w:rPr>
        <w:t>七．功能测试</w:t>
      </w:r>
    </w:p>
    <w:p>
      <w:r>
        <w:rPr>
          <w:b w:val="0"/>
        </w:rPr>
        <w:t>本章作为《功能测试》结果文档，记录测试范围、测试方法、命令行结果和主要用例。测试对象覆盖登录权限、商品库存、收银结算、财务对账、公告阅读、智能助手和二期模块。测试方法同时包含页面功能测试和 pytest 自动化测试，重点验证正常流程、异常输入、权限限制和数据一致性。</w:t>
      </w:r>
    </w:p>
    <w:p>
      <w:pPr>
        <w:pStyle w:val="Heading2"/>
        <w:spacing w:before="160" w:after="120"/>
      </w:pPr>
      <w:r>
        <w:rPr>
          <w:rFonts w:ascii="黑体" w:hAnsi="黑体" w:eastAsia="黑体"/>
          <w:b/>
        </w:rPr>
        <w:t>7.1 测试环境与命令</w:t>
      </w:r>
    </w:p>
    <w:tbl>
      <w:tblPr>
        <w:tblW w:type="auto" w:w="0"/>
        <w:jc w:val="center"/>
        <w:tblLook w:firstColumn="1" w:firstRow="1" w:lastColumn="0" w:lastRow="0" w:noHBand="0" w:noVBand="1" w:val="04A0"/>
      </w:tblPr>
      <w:tblGrid>
        <w:gridCol w:w="4536"/>
        <w:gridCol w:w="4536"/>
      </w:tblGrid>
      <w:tr>
        <w:tc>
          <w:tcPr>
            <w:tcW w:type="dxa" w:w="4536"/>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jc w:val="center"/>
            </w:pPr>
            <w:r>
              <w:rPr>
                <w:b/>
              </w:rPr>
              <w:t>项目</w:t>
            </w:r>
          </w:p>
        </w:tc>
        <w:tc>
          <w:tcPr>
            <w:tcW w:type="dxa" w:w="4536"/>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jc w:val="center"/>
            </w:pPr>
            <w:r>
              <w:rPr>
                <w:b/>
              </w:rPr>
              <w:t>内容</w:t>
            </w:r>
          </w:p>
        </w:tc>
      </w:tr>
      <w:tr>
        <w:tc>
          <w:tcPr>
            <w:tcW w:type="dxa" w:w="4536"/>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r>
              <w:t>项目路径</w:t>
            </w:r>
          </w:p>
        </w:tc>
        <w:tc>
          <w:tcPr>
            <w:tcW w:type="dxa" w:w="4536"/>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r>
              <w:t>C:\Users\Administrator\supermarket-management-system\supermarket-management-system</w:t>
            </w:r>
          </w:p>
        </w:tc>
      </w:tr>
      <w:tr>
        <w:tc>
          <w:tcPr>
            <w:tcW w:type="dxa" w:w="4536"/>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r>
              <w:t>测试框架</w:t>
            </w:r>
          </w:p>
        </w:tc>
        <w:tc>
          <w:tcPr>
            <w:tcW w:type="dxa" w:w="4536"/>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r>
              <w:t>pytest</w:t>
            </w:r>
          </w:p>
        </w:tc>
      </w:tr>
      <w:tr>
        <w:tc>
          <w:tcPr>
            <w:tcW w:type="dxa" w:w="4536"/>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r>
              <w:t>覆盖率工具</w:t>
            </w:r>
          </w:p>
        </w:tc>
        <w:tc>
          <w:tcPr>
            <w:tcW w:type="dxa" w:w="4536"/>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r>
              <w:t>coverage.py 7.14.1</w:t>
            </w:r>
          </w:p>
        </w:tc>
      </w:tr>
      <w:tr>
        <w:tc>
          <w:tcPr>
            <w:tcW w:type="dxa" w:w="4536"/>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r>
              <w:t>运行单元测试/功能测试</w:t>
            </w:r>
          </w:p>
        </w:tc>
        <w:tc>
          <w:tcPr>
            <w:tcW w:type="dxa" w:w="4536"/>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r>
              <w:t>.\.venv\Scripts\python.exe -m pytest -q</w:t>
            </w:r>
          </w:p>
        </w:tc>
      </w:tr>
      <w:tr>
        <w:tc>
          <w:tcPr>
            <w:tcW w:type="dxa" w:w="4536"/>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r>
              <w:t>运行覆盖率测试</w:t>
            </w:r>
          </w:p>
        </w:tc>
        <w:tc>
          <w:tcPr>
            <w:tcW w:type="dxa" w:w="4536"/>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r>
              <w:t>.\.venv\Scripts\python.exe -m coverage run -m pytest -q</w:t>
            </w:r>
          </w:p>
        </w:tc>
      </w:tr>
      <w:tr>
        <w:tc>
          <w:tcPr>
            <w:tcW w:type="dxa" w:w="4536"/>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r>
              <w:t>查看覆盖率报告</w:t>
            </w:r>
          </w:p>
        </w:tc>
        <w:tc>
          <w:tcPr>
            <w:tcW w:type="dxa" w:w="4536"/>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r>
              <w:t>.\.venv\Scripts\python.exe -m coverage report -m</w:t>
            </w:r>
          </w:p>
        </w:tc>
      </w:tr>
      <w:tr>
        <w:tc>
          <w:tcPr>
            <w:tcW w:type="dxa" w:w="4536"/>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r>
              <w:t>本次测试结果</w:t>
            </w:r>
          </w:p>
        </w:tc>
        <w:tc>
          <w:tcPr>
            <w:tcW w:type="dxa" w:w="4536"/>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r>
              <w:t>11 个测试全部通过；app/models 与 app/services/second_phase.py 覆盖率 100%。</w:t>
            </w:r>
          </w:p>
        </w:tc>
      </w:tr>
    </w:tbl>
    <w:p>
      <w:pPr>
        <w:pStyle w:val="Heading2"/>
        <w:spacing w:before="160" w:after="120"/>
      </w:pPr>
      <w:r>
        <w:rPr>
          <w:rFonts w:ascii="黑体" w:hAnsi="黑体" w:eastAsia="黑体"/>
          <w:b/>
        </w:rPr>
        <w:t>7.2 功能测试结果表</w:t>
      </w:r>
    </w:p>
    <w:tbl>
      <w:tblPr>
        <w:tblW w:type="auto" w:w="0"/>
        <w:jc w:val="center"/>
        <w:tblLook w:firstColumn="1" w:firstRow="1" w:lastColumn="0" w:lastRow="0" w:noHBand="0" w:noVBand="1" w:val="04A0"/>
      </w:tblPr>
      <w:tblGrid>
        <w:gridCol w:w="1512"/>
        <w:gridCol w:w="1512"/>
        <w:gridCol w:w="1512"/>
        <w:gridCol w:w="1512"/>
        <w:gridCol w:w="1512"/>
        <w:gridCol w:w="1512"/>
      </w:tblGrid>
      <w:tr>
        <w:tc>
          <w:tcPr>
            <w:tcW w:type="dxa" w:w="1512"/>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jc w:val="center"/>
            </w:pPr>
            <w:r>
              <w:rPr>
                <w:b/>
              </w:rPr>
              <w:t>编号</w:t>
            </w:r>
          </w:p>
        </w:tc>
        <w:tc>
          <w:tcPr>
            <w:tcW w:type="dxa" w:w="1512"/>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jc w:val="center"/>
            </w:pPr>
            <w:r>
              <w:rPr>
                <w:b/>
              </w:rPr>
              <w:t>测试模块</w:t>
            </w:r>
          </w:p>
        </w:tc>
        <w:tc>
          <w:tcPr>
            <w:tcW w:type="dxa" w:w="1512"/>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jc w:val="center"/>
            </w:pPr>
            <w:r>
              <w:rPr>
                <w:b/>
              </w:rPr>
              <w:t>测试内容</w:t>
            </w:r>
          </w:p>
        </w:tc>
        <w:tc>
          <w:tcPr>
            <w:tcW w:type="dxa" w:w="1512"/>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jc w:val="center"/>
            </w:pPr>
            <w:r>
              <w:rPr>
                <w:b/>
              </w:rPr>
              <w:t>预期结果</w:t>
            </w:r>
          </w:p>
        </w:tc>
        <w:tc>
          <w:tcPr>
            <w:tcW w:type="dxa" w:w="1512"/>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jc w:val="center"/>
            </w:pPr>
            <w:r>
              <w:rPr>
                <w:b/>
              </w:rPr>
              <w:t>实际结果</w:t>
            </w:r>
          </w:p>
        </w:tc>
        <w:tc>
          <w:tcPr>
            <w:tcW w:type="dxa" w:w="1512"/>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jc w:val="center"/>
            </w:pPr>
            <w:r>
              <w:rPr>
                <w:b/>
              </w:rPr>
              <w:t>结论</w:t>
            </w:r>
          </w:p>
        </w:tc>
      </w:tr>
      <w:tr>
        <w:tc>
          <w:tcPr>
            <w:tcW w:type="dxa" w:w="1512"/>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r>
              <w:t>TC-01</w:t>
            </w:r>
          </w:p>
        </w:tc>
        <w:tc>
          <w:tcPr>
            <w:tcW w:type="dxa" w:w="1512"/>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r>
              <w:t>登录与权限</w:t>
            </w:r>
          </w:p>
        </w:tc>
        <w:tc>
          <w:tcPr>
            <w:tcW w:type="dxa" w:w="1512"/>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r>
              <w:t>管理员登录、未登录访问受限页面、普通角色访问管理员页面</w:t>
            </w:r>
          </w:p>
        </w:tc>
        <w:tc>
          <w:tcPr>
            <w:tcW w:type="dxa" w:w="1512"/>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r>
              <w:t>正确登录；未授权访问被拦截</w:t>
            </w:r>
          </w:p>
        </w:tc>
        <w:tc>
          <w:tcPr>
            <w:tcW w:type="dxa" w:w="1512"/>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r>
              <w:t>结果与预期一致</w:t>
            </w:r>
          </w:p>
        </w:tc>
        <w:tc>
          <w:tcPr>
            <w:tcW w:type="dxa" w:w="1512"/>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r>
              <w:t>通过</w:t>
            </w:r>
          </w:p>
        </w:tc>
      </w:tr>
      <w:tr>
        <w:tc>
          <w:tcPr>
            <w:tcW w:type="dxa" w:w="1512"/>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r>
              <w:t>TC-02</w:t>
            </w:r>
          </w:p>
        </w:tc>
        <w:tc>
          <w:tcPr>
            <w:tcW w:type="dxa" w:w="1512"/>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r>
              <w:t>商品管理</w:t>
            </w:r>
          </w:p>
        </w:tc>
        <w:tc>
          <w:tcPr>
            <w:tcW w:type="dxa" w:w="1512"/>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r>
              <w:t>新增商品、重复编码、CSV/Excel 批量导入、导入结果统计</w:t>
            </w:r>
          </w:p>
        </w:tc>
        <w:tc>
          <w:tcPr>
            <w:tcW w:type="dxa" w:w="1512"/>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r>
              <w:t>合法数据入库；重复或错误数据返回原因</w:t>
            </w:r>
          </w:p>
        </w:tc>
        <w:tc>
          <w:tcPr>
            <w:tcW w:type="dxa" w:w="1512"/>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r>
              <w:t>结果与预期一致</w:t>
            </w:r>
          </w:p>
        </w:tc>
        <w:tc>
          <w:tcPr>
            <w:tcW w:type="dxa" w:w="1512"/>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r>
              <w:t>通过</w:t>
            </w:r>
          </w:p>
        </w:tc>
      </w:tr>
      <w:tr>
        <w:tc>
          <w:tcPr>
            <w:tcW w:type="dxa" w:w="1512"/>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r>
              <w:t>TC-03</w:t>
            </w:r>
          </w:p>
        </w:tc>
        <w:tc>
          <w:tcPr>
            <w:tcW w:type="dxa" w:w="1512"/>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r>
              <w:t>库存管理</w:t>
            </w:r>
          </w:p>
        </w:tc>
        <w:tc>
          <w:tcPr>
            <w:tcW w:type="dxa" w:w="1512"/>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r>
              <w:t>入库、出库、盘点调整、低库存预警</w:t>
            </w:r>
          </w:p>
        </w:tc>
        <w:tc>
          <w:tcPr>
            <w:tcW w:type="dxa" w:w="1512"/>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r>
              <w:t>库存数量变化正确，生成库存日志</w:t>
            </w:r>
          </w:p>
        </w:tc>
        <w:tc>
          <w:tcPr>
            <w:tcW w:type="dxa" w:w="1512"/>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r>
              <w:t>结果与预期一致</w:t>
            </w:r>
          </w:p>
        </w:tc>
        <w:tc>
          <w:tcPr>
            <w:tcW w:type="dxa" w:w="1512"/>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r>
              <w:t>通过</w:t>
            </w:r>
          </w:p>
        </w:tc>
      </w:tr>
      <w:tr>
        <w:tc>
          <w:tcPr>
            <w:tcW w:type="dxa" w:w="1512"/>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r>
              <w:t>TC-04</w:t>
            </w:r>
          </w:p>
        </w:tc>
        <w:tc>
          <w:tcPr>
            <w:tcW w:type="dxa" w:w="1512"/>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r>
              <w:t>收银结算</w:t>
            </w:r>
          </w:p>
        </w:tc>
        <w:tc>
          <w:tcPr>
            <w:tcW w:type="dxa" w:w="1512"/>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r>
              <w:t>加入购物车、库存不足、提交订单、扣减库存</w:t>
            </w:r>
          </w:p>
        </w:tc>
        <w:tc>
          <w:tcPr>
            <w:tcW w:type="dxa" w:w="1512"/>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r>
              <w:t>正常订单生成销售单；库存不足拒绝结算</w:t>
            </w:r>
          </w:p>
        </w:tc>
        <w:tc>
          <w:tcPr>
            <w:tcW w:type="dxa" w:w="1512"/>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r>
              <w:t>结果与预期一致</w:t>
            </w:r>
          </w:p>
        </w:tc>
        <w:tc>
          <w:tcPr>
            <w:tcW w:type="dxa" w:w="1512"/>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r>
              <w:t>通过</w:t>
            </w:r>
          </w:p>
        </w:tc>
      </w:tr>
      <w:tr>
        <w:tc>
          <w:tcPr>
            <w:tcW w:type="dxa" w:w="1512"/>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r>
              <w:t>TC-05</w:t>
            </w:r>
          </w:p>
        </w:tc>
        <w:tc>
          <w:tcPr>
            <w:tcW w:type="dxa" w:w="1512"/>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r>
              <w:t>销售查询</w:t>
            </w:r>
          </w:p>
        </w:tc>
        <w:tc>
          <w:tcPr>
            <w:tcW w:type="dxa" w:w="1512"/>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r>
              <w:t>按日期、商品和支付方式查看销售记录</w:t>
            </w:r>
          </w:p>
        </w:tc>
        <w:tc>
          <w:tcPr>
            <w:tcW w:type="dxa" w:w="1512"/>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r>
              <w:t>筛选结果正确，明细金额一致</w:t>
            </w:r>
          </w:p>
        </w:tc>
        <w:tc>
          <w:tcPr>
            <w:tcW w:type="dxa" w:w="1512"/>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r>
              <w:t>结果与预期一致</w:t>
            </w:r>
          </w:p>
        </w:tc>
        <w:tc>
          <w:tcPr>
            <w:tcW w:type="dxa" w:w="1512"/>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r>
              <w:t>通过</w:t>
            </w:r>
          </w:p>
        </w:tc>
      </w:tr>
      <w:tr>
        <w:tc>
          <w:tcPr>
            <w:tcW w:type="dxa" w:w="1512"/>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r>
              <w:t>TC-06</w:t>
            </w:r>
          </w:p>
        </w:tc>
        <w:tc>
          <w:tcPr>
            <w:tcW w:type="dxa" w:w="1512"/>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r>
              <w:t>财务管理</w:t>
            </w:r>
          </w:p>
        </w:tc>
        <w:tc>
          <w:tcPr>
            <w:tcW w:type="dxa" w:w="1512"/>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r>
              <w:t>日结对账、应付账款、付款登记、月结快照</w:t>
            </w:r>
          </w:p>
        </w:tc>
        <w:tc>
          <w:tcPr>
            <w:tcW w:type="dxa" w:w="1512"/>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r>
              <w:t>收入汇总正确，付款后状态更新</w:t>
            </w:r>
          </w:p>
        </w:tc>
        <w:tc>
          <w:tcPr>
            <w:tcW w:type="dxa" w:w="1512"/>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r>
              <w:t>结果与预期一致</w:t>
            </w:r>
          </w:p>
        </w:tc>
        <w:tc>
          <w:tcPr>
            <w:tcW w:type="dxa" w:w="1512"/>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r>
              <w:t>通过</w:t>
            </w:r>
          </w:p>
        </w:tc>
      </w:tr>
      <w:tr>
        <w:tc>
          <w:tcPr>
            <w:tcW w:type="dxa" w:w="1512"/>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r>
              <w:t>TC-07</w:t>
            </w:r>
          </w:p>
        </w:tc>
        <w:tc>
          <w:tcPr>
            <w:tcW w:type="dxa" w:w="1512"/>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r>
              <w:t>公告管理</w:t>
            </w:r>
          </w:p>
        </w:tc>
        <w:tc>
          <w:tcPr>
            <w:tcW w:type="dxa" w:w="1512"/>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r>
              <w:t>发布公告、按角色查看、单条已读、全部已读</w:t>
            </w:r>
          </w:p>
        </w:tc>
        <w:tc>
          <w:tcPr>
            <w:tcW w:type="dxa" w:w="1512"/>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r>
              <w:t>未读数量正确变化，阅读记录保存</w:t>
            </w:r>
          </w:p>
        </w:tc>
        <w:tc>
          <w:tcPr>
            <w:tcW w:type="dxa" w:w="1512"/>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r>
              <w:t>结果与预期一致</w:t>
            </w:r>
          </w:p>
        </w:tc>
        <w:tc>
          <w:tcPr>
            <w:tcW w:type="dxa" w:w="1512"/>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r>
              <w:t>通过</w:t>
            </w:r>
          </w:p>
        </w:tc>
      </w:tr>
      <w:tr>
        <w:tc>
          <w:tcPr>
            <w:tcW w:type="dxa" w:w="1512"/>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r>
              <w:t>TC-08</w:t>
            </w:r>
          </w:p>
        </w:tc>
        <w:tc>
          <w:tcPr>
            <w:tcW w:type="dxa" w:w="1512"/>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r>
              <w:t>智能助手</w:t>
            </w:r>
          </w:p>
        </w:tc>
        <w:tc>
          <w:tcPr>
            <w:tcW w:type="dxa" w:w="1512"/>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r>
              <w:t>空输入、超长输入、FAQ、库存类问题、销售类问题</w:t>
            </w:r>
          </w:p>
        </w:tc>
        <w:tc>
          <w:tcPr>
            <w:tcW w:type="dxa" w:w="1512"/>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r>
              <w:t>输入拦截有效，业务问题返回对应数据</w:t>
            </w:r>
          </w:p>
        </w:tc>
        <w:tc>
          <w:tcPr>
            <w:tcW w:type="dxa" w:w="1512"/>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r>
              <w:t>结果与预期一致</w:t>
            </w:r>
          </w:p>
        </w:tc>
        <w:tc>
          <w:tcPr>
            <w:tcW w:type="dxa" w:w="1512"/>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r>
              <w:t>通过</w:t>
            </w:r>
          </w:p>
        </w:tc>
      </w:tr>
      <w:tr>
        <w:tc>
          <w:tcPr>
            <w:tcW w:type="dxa" w:w="1512"/>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r>
              <w:t>TC-09</w:t>
            </w:r>
          </w:p>
        </w:tc>
        <w:tc>
          <w:tcPr>
            <w:tcW w:type="dxa" w:w="1512"/>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r>
              <w:t>会员管理</w:t>
            </w:r>
          </w:p>
        </w:tc>
        <w:tc>
          <w:tcPr>
            <w:tcW w:type="dxa" w:w="1512"/>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r>
              <w:t>会员新增、启停、积分调整</w:t>
            </w:r>
          </w:p>
        </w:tc>
        <w:tc>
          <w:tcPr>
            <w:tcW w:type="dxa" w:w="1512"/>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r>
              <w:t>字段校验正确，积分变动符合规则</w:t>
            </w:r>
          </w:p>
        </w:tc>
        <w:tc>
          <w:tcPr>
            <w:tcW w:type="dxa" w:w="1512"/>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r>
              <w:t>结果与预期一致</w:t>
            </w:r>
          </w:p>
        </w:tc>
        <w:tc>
          <w:tcPr>
            <w:tcW w:type="dxa" w:w="1512"/>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r>
              <w:t>通过</w:t>
            </w:r>
          </w:p>
        </w:tc>
      </w:tr>
      <w:tr>
        <w:tc>
          <w:tcPr>
            <w:tcW w:type="dxa" w:w="1512"/>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r>
              <w:t>TC-10</w:t>
            </w:r>
          </w:p>
        </w:tc>
        <w:tc>
          <w:tcPr>
            <w:tcW w:type="dxa" w:w="1512"/>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r>
              <w:t>员工管理</w:t>
            </w:r>
          </w:p>
        </w:tc>
        <w:tc>
          <w:tcPr>
            <w:tcW w:type="dxa" w:w="1512"/>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r>
              <w:t>员工新增、编辑、启停、重复工号</w:t>
            </w:r>
          </w:p>
        </w:tc>
        <w:tc>
          <w:tcPr>
            <w:tcW w:type="dxa" w:w="1512"/>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r>
              <w:t>重复数据被拒绝，状态变更成功</w:t>
            </w:r>
          </w:p>
        </w:tc>
        <w:tc>
          <w:tcPr>
            <w:tcW w:type="dxa" w:w="1512"/>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r>
              <w:t>结果与预期一致</w:t>
            </w:r>
          </w:p>
        </w:tc>
        <w:tc>
          <w:tcPr>
            <w:tcW w:type="dxa" w:w="1512"/>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r>
              <w:t>通过</w:t>
            </w:r>
          </w:p>
        </w:tc>
      </w:tr>
      <w:tr>
        <w:tc>
          <w:tcPr>
            <w:tcW w:type="dxa" w:w="1512"/>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r>
              <w:t>TC-11</w:t>
            </w:r>
          </w:p>
        </w:tc>
        <w:tc>
          <w:tcPr>
            <w:tcW w:type="dxa" w:w="1512"/>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r>
              <w:t>供应商与系统参数</w:t>
            </w:r>
          </w:p>
        </w:tc>
        <w:tc>
          <w:tcPr>
            <w:tcW w:type="dxa" w:w="1512"/>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r>
              <w:t>供应商维护、参数新增修改、异常值提交</w:t>
            </w:r>
          </w:p>
        </w:tc>
        <w:tc>
          <w:tcPr>
            <w:tcW w:type="dxa" w:w="1512"/>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r>
              <w:t>合法数据保存，异常值返回错误</w:t>
            </w:r>
          </w:p>
        </w:tc>
        <w:tc>
          <w:tcPr>
            <w:tcW w:type="dxa" w:w="1512"/>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r>
              <w:t>结果与预期一致</w:t>
            </w:r>
          </w:p>
        </w:tc>
        <w:tc>
          <w:tcPr>
            <w:tcW w:type="dxa" w:w="1512"/>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r>
              <w:t>通过</w:t>
            </w:r>
          </w:p>
        </w:tc>
      </w:tr>
    </w:tbl>
    <w:p>
      <w:pPr>
        <w:pStyle w:val="Heading2"/>
        <w:spacing w:before="160" w:after="120"/>
      </w:pPr>
      <w:r>
        <w:rPr>
          <w:rFonts w:ascii="黑体" w:hAnsi="黑体" w:eastAsia="黑体"/>
          <w:b/>
        </w:rPr>
        <w:t>7.3 自动化测试文件对应关系</w:t>
      </w:r>
    </w:p>
    <w:tbl>
      <w:tblPr>
        <w:tblW w:type="auto" w:w="0"/>
        <w:jc w:val="center"/>
        <w:tblLook w:firstColumn="1" w:firstRow="1" w:lastColumn="0" w:lastRow="0" w:noHBand="0" w:noVBand="1" w:val="04A0"/>
      </w:tblPr>
      <w:tblGrid>
        <w:gridCol w:w="4536"/>
        <w:gridCol w:w="4536"/>
      </w:tblGrid>
      <w:tr>
        <w:tc>
          <w:tcPr>
            <w:tcW w:type="dxa" w:w="4536"/>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jc w:val="center"/>
            </w:pPr>
            <w:r>
              <w:rPr>
                <w:b/>
              </w:rPr>
              <w:t>测试文件</w:t>
            </w:r>
          </w:p>
        </w:tc>
        <w:tc>
          <w:tcPr>
            <w:tcW w:type="dxa" w:w="4536"/>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jc w:val="center"/>
            </w:pPr>
            <w:r>
              <w:rPr>
                <w:b/>
              </w:rPr>
              <w:t>覆盖内容</w:t>
            </w:r>
          </w:p>
        </w:tc>
      </w:tr>
      <w:tr>
        <w:tc>
          <w:tcPr>
            <w:tcW w:type="dxa" w:w="4536"/>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r>
              <w:t>tests/test_auth_and_routes.py</w:t>
            </w:r>
          </w:p>
        </w:tc>
        <w:tc>
          <w:tcPr>
            <w:tcW w:type="dxa" w:w="4536"/>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r>
              <w:t>登录、注册、路由访问、角色权限</w:t>
            </w:r>
          </w:p>
        </w:tc>
      </w:tr>
      <w:tr>
        <w:tc>
          <w:tcPr>
            <w:tcW w:type="dxa" w:w="4536"/>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r>
              <w:t>tests/test_core_services.py</w:t>
            </w:r>
          </w:p>
        </w:tc>
        <w:tc>
          <w:tcPr>
            <w:tcW w:type="dxa" w:w="4536"/>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r>
              <w:t>商品、库存、销售、财务等核心服务函数</w:t>
            </w:r>
          </w:p>
        </w:tc>
      </w:tr>
      <w:tr>
        <w:tc>
          <w:tcPr>
            <w:tcW w:type="dxa" w:w="4536"/>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r>
              <w:t>tests/test_api_functional.py</w:t>
            </w:r>
          </w:p>
        </w:tc>
        <w:tc>
          <w:tcPr>
            <w:tcW w:type="dxa" w:w="4536"/>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r>
              <w:t>收银结算、公告、页面接口等功能路径</w:t>
            </w:r>
          </w:p>
        </w:tc>
      </w:tr>
      <w:tr>
        <w:tc>
          <w:tcPr>
            <w:tcW w:type="dxa" w:w="4536"/>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r>
              <w:t>tests/test_second_phase.py</w:t>
            </w:r>
          </w:p>
        </w:tc>
        <w:tc>
          <w:tcPr>
            <w:tcW w:type="dxa" w:w="4536"/>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r>
              <w:t>会员、员工、供应商、系统参数二期模块</w:t>
            </w:r>
          </w:p>
        </w:tc>
      </w:tr>
      <w:tr>
        <w:tc>
          <w:tcPr>
            <w:tcW w:type="dxa" w:w="4536"/>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r>
              <w:t>tests/test_second_phase_errors.py</w:t>
            </w:r>
          </w:p>
        </w:tc>
        <w:tc>
          <w:tcPr>
            <w:tcW w:type="dxa" w:w="4536"/>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r>
              <w:t>二期模块异常路径、字段校验和错误返回</w:t>
            </w:r>
          </w:p>
        </w:tc>
      </w:tr>
      <w:tr>
        <w:tc>
          <w:tcPr>
            <w:tcW w:type="dxa" w:w="4536"/>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r>
              <w:t>tests/conftest.py</w:t>
            </w:r>
          </w:p>
        </w:tc>
        <w:tc>
          <w:tcPr>
            <w:tcW w:type="dxa" w:w="4536"/>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r>
              <w:t>测试数据库、应用上下文和登录夹具</w:t>
            </w:r>
          </w:p>
        </w:tc>
      </w:tr>
    </w:tbl>
    <w:p>
      <w:r>
        <w:br w:type="page"/>
      </w:r>
    </w:p>
    <w:p>
      <w:pPr>
        <w:pStyle w:val="Heading1"/>
        <w:spacing w:before="240" w:after="200"/>
      </w:pPr>
      <w:r>
        <w:rPr>
          <w:rFonts w:ascii="黑体" w:hAnsi="黑体" w:eastAsia="黑体"/>
          <w:b/>
        </w:rPr>
        <w:t>八．总结与心得体会</w:t>
      </w:r>
    </w:p>
    <w:p>
      <w:pPr>
        <w:pStyle w:val="Heading2"/>
        <w:spacing w:before="160" w:after="120"/>
      </w:pPr>
      <w:r>
        <w:rPr>
          <w:rFonts w:ascii="黑体" w:hAnsi="黑体" w:eastAsia="黑体"/>
          <w:b/>
        </w:rPr>
        <w:t>8.1 个人总结与心得体会（余博涵）</w:t>
      </w:r>
    </w:p>
    <w:p>
      <w:r>
        <w:rPr>
          <w:b w:val="0"/>
        </w:rPr>
        <w:t>我在本项目中主要负责数据建模、后端实现和开发统筹。刚开始做超市管理系统时，我对“后台管理系统”的理解还停留在页面增删改查层面，认为只要有商品列表、库存列表和销售列表就可以说明系统完成。但真正把需求、模型、服务、接口、页面和测试连起来之后，我发现课程设计最重要的并不是页面数量，而是业务链路是否闭合、数据关系是否稳定、异常情况是否被认真处理。</w:t>
      </w:r>
    </w:p>
    <w:p>
      <w:r>
        <w:rPr>
          <w:b w:val="0"/>
        </w:rPr>
        <w:t>数据建模给我的体会最深。商品、库存、销售、财务看起来都是常见模块，但它们之间的关系非常紧密。商品主数据一旦编码重复，后续收银检索和库存记录都会出错；销售单如果只保存总金额而没有保存明细，就无法追踪每件商品的销售数量；库存如果只保存当前数量而没有流水，盘点差异就无法解释；财务如果只做静态展示，就不能说明日结、应付和付款之间的关系。因此我在建模时把商品、分类、库存、库存日志、销售单、销售明细、财务流水、日结对账、供应商应付和付款记录分别建表，让每一类业务对象都有清晰的职责。</w:t>
      </w:r>
    </w:p>
    <w:p>
      <w:r>
        <w:rPr>
          <w:b w:val="0"/>
        </w:rPr>
        <w:t>后端实现让我意识到服务层的重要性。页面路由适合作为入口，但不适合承载复杂业务规则。比如收银结算不是简单插入一条销售记录，它还要校验商品是否存在、库存是否足够、数量是否合法、支付方式是否有效，并在结算成功后写入销售主表、销售明细和库存扣减记录。如果这些逻辑分散在模板或路由中，后续测试和维护都会很困难。因此项目把商品导入、库存调整、销售结算、财务对账、公告已读、二期主数据维护等规则集中放在 services 目录中，路由只负责接收请求、调用服务和返回结果。</w:t>
      </w:r>
    </w:p>
    <w:p>
      <w:r>
        <w:rPr>
          <w:b w:val="0"/>
        </w:rPr>
        <w:t>智能助手模块也让我重新理解了“功能创新”和“可靠性”的关系。它不能只是放一个聊天窗口，而要能接入系统已有业务数据。系统目前对 FAQ、库存类问题、销售类问题、商品类问题和帮助类问题做了本地规则处理，并调用库存汇总、低库存预警、销售概览、热销商品等已有服务函数。如果没有配置外部大模型，系统会降级为本地回复；如果配置了兼容 OpenAI 格式的大模型接口，也不会影响基础功能。这种设计让我认识到，一个实用功能需要有可控的边界和失败后的备用方案。</w:t>
      </w:r>
    </w:p>
    <w:p>
      <w:r>
        <w:rPr>
          <w:b w:val="0"/>
        </w:rPr>
        <w:t>测试阶段改变了我对“完成”的判断。以前我容易把页面能打开当成完成，现在会更关注错误输入、越权访问、重复数据、库存不足、付款金额异常等情况。项目中的 pytest 用例覆盖了登录权限、核心服务、二期模块和异常路径，coverage 结果也显示被测模型和服务层达到 100%。这些测试不是为了凑结果，而是帮助我确认业务规则确实写在后端，并且在不同输入条件下能够稳定运行。</w:t>
      </w:r>
    </w:p>
    <w:p>
      <w:r>
        <w:rPr>
          <w:b w:val="0"/>
        </w:rPr>
        <w:t>通过这次项目，我最大的收获是学会从系统角度组织代码和文档。需求分析不是孤立的文字，必须能落到模型和接口；数据建模不是画图，必须能支撑真实业务；后端代码不是堆函数，必须保证业务一致性；前端页面不是摆控件，必须让用户能顺着业务流程完成操作；测试也不是最后补材料，而是反过来检验设计是否可靠。后续如果继续完善，我会优先补充促销规则、多门店库存、报表导出和更细的操作日志，让系统从课程项目进一步接近真实门店的使用要求。</w:t>
      </w:r>
    </w:p>
    <w:p w14:paraId="0041C561">
      <w:pPr>
        <w:pStyle w:val="Heading2"/>
        <w:rPr>
          <w:rFonts w:hint="eastAsia" w:ascii="宋体" w:hAnsi="宋体" w:eastAsia="宋体" w:cs="宋体"/>
        </w:rPr>
      </w:pPr>
      <w:r>
        <w:rPr>
          <w:rFonts w:ascii="黑体" w:hAnsi="黑体" w:eastAsia="黑体"/>
          <w:b/>
          <w:sz w:val="24"/>
        </w:rPr>
        <w:t>8.2 系统完整性与后续改进</w:t>
      </w:r>
    </w:p>
    <w:p w14:paraId="42D6FBED">
      <w:pPr>
        <w:spacing w:after="120" w:line="360" w:lineRule="auto"/>
        <w:ind w:firstLine="440"/>
        <w:rPr>
          <w:rFonts w:hint="eastAsia" w:ascii="宋体" w:hAnsi="宋体" w:eastAsia="宋体" w:cs="宋体"/>
        </w:rPr>
      </w:pPr>
      <w:r>
        <w:rPr>
          <w:rFonts w:ascii="宋体" w:hAnsi="宋体" w:eastAsia="宋体"/>
          <w:b w:val="0"/>
          <w:sz w:val="22"/>
        </w:rPr>
        <w:t>本章对超市管理系统的整体实现进行综合说明，重点放在业务功能、技术结构、数据支撑、测试验证和后续优化上。系统的核心价值在于把门店经营中的商品、库存、收银、销售、财务、公告、分析和主数据维护放到同一套 Web 应用中处理，使管理员和收银员能够围绕同一份数据完成日常工作。</w:t>
      </w:r>
    </w:p>
    <w:p w14:paraId="23C98455">
      <w:pPr>
        <w:spacing w:after="120" w:line="360" w:lineRule="auto"/>
        <w:ind w:firstLine="440"/>
        <w:rPr>
          <w:rFonts w:hint="eastAsia" w:ascii="宋体" w:hAnsi="宋体" w:eastAsia="宋体" w:cs="宋体"/>
        </w:rPr>
      </w:pPr>
      <w:r>
        <w:rPr>
          <w:rFonts w:ascii="宋体" w:hAnsi="宋体" w:eastAsia="宋体"/>
          <w:b w:val="0"/>
          <w:sz w:val="22"/>
        </w:rPr>
        <w:t>从业务流程看，系统形成了较完整的门店经营闭环。管理员先维护商品、分类、供应商和库存信息，收银员在收银台完成商品检索和订单结算，系统随后扣减库存、生成销售单和销售明细，并把经营数据提供给销售查询、财务对账和经营分析模块使用。公告模块负责内部通知，智能助手负责把常见库存、销售和商品问题转化为自然语言问答。</w:t>
      </w:r>
    </w:p>
    <w:p w14:paraId="59620DDC">
      <w:pPr>
        <w:spacing w:after="120" w:line="360" w:lineRule="auto"/>
        <w:ind w:firstLine="440"/>
        <w:rPr>
          <w:rFonts w:hint="eastAsia" w:ascii="宋体" w:hAnsi="宋体" w:eastAsia="宋体" w:cs="宋体"/>
        </w:rPr>
      </w:pPr>
      <w:r>
        <w:rPr>
          <w:rFonts w:ascii="宋体" w:hAnsi="宋体" w:eastAsia="宋体"/>
          <w:b w:val="0"/>
          <w:sz w:val="22"/>
        </w:rPr>
        <w:t>从技术结构看，系统采用 Flask 作为 Web 应用框架，使用 routes 接收页面和 API 请求，使用 services 封装业务规则，使用 models 定义 SQLAlchemy ORM 模型，使用 templates 和 static/js 实现页面与异步交互。这样的分层结构使页面入口、业务处理和数据持久化相互分离，便于后续维护和扩展。</w:t>
      </w:r>
    </w:p>
    <w:p w14:paraId="35651D70">
      <w:pPr>
        <w:spacing w:after="120" w:line="360" w:lineRule="auto"/>
        <w:ind w:firstLine="440"/>
        <w:rPr>
          <w:rFonts w:hint="eastAsia" w:ascii="宋体" w:hAnsi="宋体" w:eastAsia="宋体" w:cs="宋体"/>
        </w:rPr>
      </w:pPr>
      <w:r>
        <w:rPr>
          <w:rFonts w:ascii="宋体" w:hAnsi="宋体" w:eastAsia="宋体"/>
          <w:b w:val="0"/>
          <w:sz w:val="22"/>
        </w:rPr>
        <w:t>从数据结构看，系统把不同业务对象拆分为相对独立的数据表。products、categories、inventory 和 inventory_logs 支撑商品与库存；sales 和 sale_items 支撑销售单据；finance_transactions、cash_reconciliations、supplier_payables、payable_payments 和 finance_period_closings 支撑财务流水、日结、应付和月结；announcements 与 announcement_reads 支撑公告发布和阅读状态；members、employees、suppliers、system_settings 支撑二期主数据管理。</w:t>
      </w:r>
    </w:p>
    <w:p w14:paraId="4770A815">
      <w:pPr>
        <w:spacing w:after="120" w:line="360" w:lineRule="auto"/>
        <w:ind w:firstLine="440"/>
        <w:rPr>
          <w:rFonts w:hint="eastAsia" w:ascii="宋体" w:hAnsi="宋体" w:eastAsia="宋体" w:cs="宋体"/>
        </w:rPr>
      </w:pPr>
      <w:r>
        <w:rPr>
          <w:rFonts w:ascii="宋体" w:hAnsi="宋体" w:eastAsia="宋体"/>
          <w:b w:val="0"/>
          <w:sz w:val="22"/>
        </w:rPr>
        <w:t>智能助手是系统的扩展功能。它由 /assistant 页面和 /api/assistant/chat 接口组成，前端通过 fetch 异步提交问题，后端通过 generate_assistant_reply 处理输入。该函数先校验空输入和 500 字符长度限制，再匹配 FAQ，随后尝试外部 LLM 调用，最后根据库存、销售、商品和帮助类关键词走本地规则回复。本地规则会调用库存汇总、低库存预警、销售概览和热销商品等已有服务，因此助手回答不是孤立文本，而是建立在系统业务数据之上。</w:t>
      </w:r>
    </w:p>
    <w:p w14:paraId="60F93A5D">
      <w:pPr>
        <w:spacing w:after="120" w:line="360" w:lineRule="auto"/>
        <w:ind w:firstLine="440"/>
        <w:rPr>
          <w:rFonts w:hint="eastAsia" w:ascii="宋体" w:hAnsi="宋体" w:eastAsia="宋体" w:cs="宋体"/>
        </w:rPr>
      </w:pPr>
      <w:r>
        <w:rPr>
          <w:rFonts w:ascii="宋体" w:hAnsi="宋体" w:eastAsia="宋体"/>
          <w:b w:val="0"/>
          <w:sz w:val="22"/>
        </w:rPr>
        <w:t>商品批量导入解决的是商品主数据初始化效率问题。系统同时提供 import_products_from_csv 和 import_products_from_excel 两套导入逻辑，支持 CSV 与 Excel 文件。导入过程中会校验必填字段、商品编码、条码、价格、库存数量和分类信息；合法记录会创建商品并初始化库存，异常记录会累计错误原因，最终返回成功数量、失败数量和错误明细。这样管理员可以一次性导入多条商品数据，同时知道哪些行需要修正。</w:t>
      </w:r>
    </w:p>
    <w:p w14:paraId="770E144D">
      <w:pPr>
        <w:spacing w:after="120" w:line="360" w:lineRule="auto"/>
        <w:ind w:firstLine="440"/>
        <w:rPr>
          <w:rFonts w:hint="eastAsia" w:ascii="宋体" w:hAnsi="宋体" w:eastAsia="宋体" w:cs="宋体"/>
        </w:rPr>
      </w:pPr>
      <w:r>
        <w:rPr>
          <w:rFonts w:ascii="宋体" w:hAnsi="宋体" w:eastAsia="宋体"/>
          <w:b w:val="0"/>
          <w:sz w:val="22"/>
        </w:rPr>
        <w:t>财务模块覆盖收入、支出、日结、应付、付款和月结等场景。get_reconciliation 用于汇总指定日期各支付方式的系统金额，save_reconciliation 用于保存实收金额并计算差异；create_payable 用于创建供应商应付账款，record_payable_payment 用于登记付款并更新应付状态，close_finance_period 用于生成月度财务快照。这个设计使财务模块不只是查看流水，而是能够支撑门店经营中的周期性核算。</w:t>
      </w:r>
    </w:p>
    <w:p w14:paraId="6444DA7D">
      <w:pPr>
        <w:spacing w:after="120" w:line="360" w:lineRule="auto"/>
        <w:ind w:firstLine="440"/>
        <w:rPr>
          <w:rFonts w:hint="eastAsia" w:ascii="宋体" w:hAnsi="宋体" w:eastAsia="宋体" w:cs="宋体"/>
        </w:rPr>
      </w:pPr>
      <w:r>
        <w:rPr>
          <w:rFonts w:ascii="宋体" w:hAnsi="宋体" w:eastAsia="宋体"/>
          <w:b w:val="0"/>
          <w:sz w:val="22"/>
        </w:rPr>
        <w:t>公告模块采用公告内容和阅读状态分离的设计。announcements 保存标题、内容、级别、目标角色和发布状态，announcement_reads 保存用户对公告的阅读记录。get_unread_announcement_count、mark_announcement_read 和 mark_all_announcements_read 等服务函数使系统能够统计未读数量、标记单条已读和全部已读，适合多用户同时使用的场景。</w:t>
      </w:r>
    </w:p>
    <w:p w14:paraId="06776D2B">
      <w:pPr>
        <w:spacing w:after="120" w:line="360" w:lineRule="auto"/>
        <w:ind w:firstLine="440"/>
        <w:rPr>
          <w:rFonts w:hint="eastAsia" w:ascii="宋体" w:hAnsi="宋体" w:eastAsia="宋体" w:cs="宋体"/>
        </w:rPr>
      </w:pPr>
      <w:r>
        <w:rPr>
          <w:rFonts w:ascii="宋体" w:hAnsi="宋体" w:eastAsia="宋体"/>
          <w:b w:val="0"/>
          <w:sz w:val="22"/>
        </w:rPr>
        <w:t>二期模块补充了会员、员工、供应商和系统参数管理。会员模块支持档案维护、状态切换和积分调整；员工模块支持工号、岗位、班次和状态维护；供应商模块支持供应商编码、联系人、结算周期和启停；系统参数模块使用键值结构保存门店名称、库存预警开关、小票页脚等配置。每个模块都包含正常操作和异常校验，避免重复编号、非法状态和空参数等问题。</w:t>
      </w:r>
    </w:p>
    <w:p w14:paraId="08BD49C8">
      <w:pPr>
        <w:spacing w:after="120" w:line="360" w:lineRule="auto"/>
        <w:ind w:firstLine="440"/>
        <w:rPr>
          <w:rFonts w:hint="eastAsia" w:ascii="宋体" w:hAnsi="宋体" w:eastAsia="宋体" w:cs="宋体"/>
        </w:rPr>
      </w:pPr>
      <w:r>
        <w:rPr>
          <w:rFonts w:ascii="宋体" w:hAnsi="宋体" w:eastAsia="宋体"/>
          <w:b w:val="0"/>
          <w:sz w:val="22"/>
        </w:rPr>
        <w:t>系统启动过程也体现了工程完整性。create_app 会加载配置、初始化 SQLAlchemy、注册路由、创建数据库表，并准备默认用户、默认分类和演示数据。默认管理员和默认收银员保证系统可登录，seed_data.sql 保证商品和库存不为空，二期初始化数据保证会员、员工、供应商和系统参数页面具有可查看内容。</w:t>
      </w:r>
    </w:p>
    <w:p w14:paraId="3A72071C">
      <w:pPr>
        <w:pStyle w:val="Heading3"/>
        <w:spacing w:before="160" w:after="80"/>
        <w:jc w:val="left"/>
      </w:pPr>
      <w:r>
        <w:rPr>
          <w:rFonts w:ascii="黑体" w:hAnsi="黑体" w:eastAsia="黑体"/>
          <w:b/>
          <w:sz w:val="24"/>
        </w:rPr>
        <w:t>8.2.1 系统完整性与改进方向</w:t>
      </w:r>
    </w:p>
    <w:p w14:paraId="00857877">
      <w:pPr>
        <w:spacing w:after="120" w:line="360" w:lineRule="auto"/>
        <w:ind w:firstLine="440"/>
      </w:pPr>
      <w:r>
        <w:rPr>
          <w:rFonts w:ascii="宋体" w:hAnsi="宋体" w:eastAsia="宋体"/>
          <w:b w:val="0"/>
          <w:sz w:val="22"/>
        </w:rPr>
        <w:t>当前系统已经覆盖超市门店管理的主要业务对象和操作流程，包括账号登录与管理员审核、商品 CRUD 与 CSV/Excel 导入、库存汇总与流水、收银结算、销售订单查询、财务流水与日结对账、供应商应付与月结快照、经营分析、公告发布与已读、智能助手、会员管理、员工管理、供应商管理和系统参数维护。这些功能共同构成了门店经营管理的基础平台。</w:t>
      </w:r>
    </w:p>
    <w:p w14:paraId="6AE3BF8B">
      <w:pPr>
        <w:spacing w:after="120" w:line="360" w:lineRule="auto"/>
        <w:ind w:firstLine="440"/>
      </w:pPr>
      <w:r>
        <w:rPr>
          <w:rFonts w:ascii="宋体" w:hAnsi="宋体" w:eastAsia="宋体"/>
          <w:b w:val="0"/>
          <w:sz w:val="22"/>
        </w:rPr>
        <w:t>从实现质量看，系统通过服务层集中处理业务规则，通过 ORM 模型保持数据结构清晰，通过前端脚本完成页面异步交互，通过测试用例验证核心服务和异常路径。测试覆盖商品、库存、收银、财务、公告、权限和二期模块，coverage 配置范围内的结果为 100%，说明当前被统计的后端模型和二期核心服务具备稳定的自动化验证基础。</w:t>
      </w:r>
    </w:p>
    <w:p w14:paraId="27F2F8D4">
      <w:pPr>
        <w:spacing w:after="120" w:line="360" w:lineRule="auto"/>
        <w:ind w:firstLine="440"/>
      </w:pPr>
      <w:r>
        <w:rPr>
          <w:rFonts w:ascii="宋体" w:hAnsi="宋体" w:eastAsia="宋体"/>
          <w:b w:val="0"/>
          <w:sz w:val="22"/>
        </w:rPr>
        <w:t>从用户体验看，系统已经具备可操作的后台管理界面和收银界面。商品、库存、销售、财务、公告和主数据页面采用列表、筛选、表单、状态切换和弹窗等常见交互方式；智能助手提供聊天窗口、快捷问题、推荐问题、发送状态、清空对话和字数统计。界面设计围绕实际业务任务展开，而不是只展示静态页面。</w:t>
      </w:r>
    </w:p>
    <w:p w14:paraId="5932E822">
      <w:pPr>
        <w:spacing w:after="120" w:line="360" w:lineRule="auto"/>
        <w:ind w:firstLine="440"/>
      </w:pPr>
      <w:r>
        <w:rPr>
          <w:rFonts w:ascii="宋体" w:hAnsi="宋体" w:eastAsia="宋体"/>
          <w:b w:val="0"/>
          <w:sz w:val="22"/>
        </w:rPr>
        <w:t>后续优化可以从三个方向展开。第一，增强数据分析能力，例如增加按品类、供应商、会员等级和时间段的组合分析；第二，完善业务闭环，例如增加采购订单、退货审批、会员消费记录和导出报表；第三，提高部署能力，例如将 SQLite 替换为 MySQL 或 PostgreSQL，并增加更完整的日志审计和权限配置。</w:t>
      </w:r>
    </w:p>
    <w:p w14:paraId="51E77C10">
      <w:pPr>
        <w:spacing w:after="120" w:line="360" w:lineRule="auto"/>
        <w:ind w:firstLine="440"/>
      </w:pPr>
      <w:r>
        <w:rPr>
          <w:rFonts w:ascii="宋体" w:hAnsi="宋体" w:eastAsia="宋体"/>
          <w:b w:val="0"/>
          <w:sz w:val="22"/>
        </w:rPr>
        <w:t>综上，本项目已经从需求分析、数据建模、界面设计、后端实现和测试验证几个方面形成较完整的超市管理系统。报告的重点应放在系统本身：业务流程是否清楚、数据结构是否合理、功能实现是否完整、关键异常是否处理、测试结果是否能够支撑功能稳定性。围绕这些内容展开，才能把项目讲完整、讲扎实。</w:t>
      </w:r>
    </w:p>
    <w:p w14:paraId="4F350CAE">
      <w:r>
        <w:br w:type="page"/>
      </w:r>
    </w:p>
    <w:p>
      <w:r>
        <w:br w:type="page"/>
      </w:r>
    </w:p>
    <w:p w14:paraId="39DB8BE7">
      <w:pPr>
        <w:pStyle w:val="Heading1"/>
        <w:jc w:val="left"/>
      </w:pPr>
      <w:r>
        <w:rPr>
          <w:rFonts w:ascii="黑体" w:hAnsi="黑体" w:eastAsia="黑体"/>
          <w:b/>
          <w:sz w:val="28"/>
        </w:rPr>
        <w:t>九．系统运行界面截图与功能说明</w:t>
      </w:r>
    </w:p>
    <w:p w14:paraId="7623F665">
      <w:pPr>
        <w:spacing w:after="120" w:line="360" w:lineRule="auto"/>
        <w:ind w:firstLine="440"/>
      </w:pPr>
      <w:r>
        <w:rPr>
          <w:rFonts w:ascii="宋体" w:hAnsi="宋体" w:eastAsia="宋体"/>
          <w:b w:val="0"/>
          <w:sz w:val="22"/>
        </w:rPr>
        <w:t>本章基于本地运行环境截取系统主要功能页面，用于说明系统从登录、基础资料、库存、销售、财务、公告、智能助手到二期主数据管理的页面覆盖情况。截图均来自同一套本地数据库和同一套 Flask 应用，能够反映当前系统的实际运行状态。</w:t>
      </w:r>
    </w:p>
    <w:p w14:paraId="4BC32CC9">
      <w:pPr>
        <w:pStyle w:val="Heading2"/>
        <w:jc w:val="left"/>
      </w:pPr>
      <w:r>
        <w:rPr>
          <w:rFonts w:ascii="黑体" w:hAnsi="黑体" w:eastAsia="黑体"/>
          <w:b/>
          <w:sz w:val="24"/>
        </w:rPr>
        <w:t>9.1 登录页</w:t>
      </w:r>
    </w:p>
    <w:p w14:paraId="466CD8E4">
      <w:pPr>
        <w:spacing w:after="120" w:line="360" w:lineRule="auto"/>
        <w:ind w:firstLine="440"/>
      </w:pPr>
      <w:r>
        <w:rPr>
          <w:rFonts w:ascii="宋体" w:hAnsi="宋体" w:eastAsia="宋体"/>
          <w:b w:val="0"/>
          <w:sz w:val="22"/>
        </w:rPr>
        <w:t>登录页用于区分管理员和收银员身份，是系统访问控制的入口。页面包含用户名、密码和登录按钮，后端登录成功后写入会话并根据角色进入对应功能区域。</w:t>
      </w:r>
    </w:p>
    <w:p w14:paraId="43D29C4E">
      <w:pPr>
        <w:jc w:val="center"/>
      </w:pPr>
      <w:r>
        <w:drawing>
          <wp:inline distT="0" distB="0" distL="114300" distR="114300">
            <wp:extent cx="5806440" cy="6221095"/>
            <wp:effectExtent l="0" t="0" r="3810" b="8255"/>
            <wp:docPr id="1260220715" name="Picture 12602207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220715" name="Picture 1260220715"/>
                    <pic:cNvPicPr>
                      <a:picLocks noChangeAspect="1"/>
                    </pic:cNvPicPr>
                  </pic:nvPicPr>
                  <pic:blipFill>
                    <a:blip r:embed="rId63"/>
                    <a:stretch>
                      <a:fillRect/>
                    </a:stretch>
                  </pic:blipFill>
                  <pic:spPr>
                    <a:xfrm>
                      <a:off x="0" y="0"/>
                      <a:ext cx="5806440" cy="6221186"/>
                    </a:xfrm>
                    <a:prstGeom prst="rect">
                      <a:avLst/>
                    </a:prstGeom>
                  </pic:spPr>
                </pic:pic>
              </a:graphicData>
            </a:graphic>
          </wp:inline>
        </w:drawing>
      </w:r>
    </w:p>
    <w:p w14:paraId="1D07D6E0">
      <w:pPr>
        <w:jc w:val="center"/>
      </w:pPr>
      <w:r>
        <w:rPr>
          <w:rFonts w:ascii="宋体" w:hAnsi="宋体" w:eastAsia="宋体"/>
          <w:b w:val="0"/>
          <w:sz w:val="20"/>
        </w:rPr>
        <w:t>图9-1  登录页运行截图</w:t>
      </w:r>
    </w:p>
    <w:p w14:paraId="436A26D2">
      <w:pPr>
        <w:pStyle w:val="Heading2"/>
        <w:jc w:val="left"/>
      </w:pPr>
      <w:r>
        <w:rPr>
          <w:rFonts w:ascii="黑体" w:hAnsi="黑体" w:eastAsia="黑体"/>
          <w:b/>
          <w:sz w:val="24"/>
        </w:rPr>
        <w:t>9.2 注册页</w:t>
      </w:r>
    </w:p>
    <w:p w14:paraId="33CC269B">
      <w:pPr>
        <w:spacing w:after="120" w:line="360" w:lineRule="auto"/>
        <w:ind w:firstLine="440"/>
      </w:pPr>
      <w:r>
        <w:rPr>
          <w:rFonts w:ascii="宋体" w:hAnsi="宋体" w:eastAsia="宋体"/>
          <w:b w:val="0"/>
          <w:sz w:val="22"/>
        </w:rPr>
        <w:t>注册页用于提交新账号信息，其中管理员注册需要进入审核流程，避免高权限账号直接创建。该页面对应账号申请和后续管理员审核功能。</w:t>
      </w:r>
    </w:p>
    <w:p w14:paraId="089E0CF9">
      <w:pPr>
        <w:jc w:val="center"/>
      </w:pPr>
      <w:r>
        <w:drawing>
          <wp:inline distT="0" distB="0" distL="114300" distR="114300">
            <wp:extent cx="5806440" cy="6221095"/>
            <wp:effectExtent l="0" t="0" r="3810" b="8255"/>
            <wp:docPr id="1260220716" name="Picture 12602207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220716" name="Picture 1260220716"/>
                    <pic:cNvPicPr>
                      <a:picLocks noChangeAspect="1"/>
                    </pic:cNvPicPr>
                  </pic:nvPicPr>
                  <pic:blipFill>
                    <a:blip r:embed="rId64"/>
                    <a:stretch>
                      <a:fillRect/>
                    </a:stretch>
                  </pic:blipFill>
                  <pic:spPr>
                    <a:xfrm>
                      <a:off x="0" y="0"/>
                      <a:ext cx="5806440" cy="6221186"/>
                    </a:xfrm>
                    <a:prstGeom prst="rect">
                      <a:avLst/>
                    </a:prstGeom>
                  </pic:spPr>
                </pic:pic>
              </a:graphicData>
            </a:graphic>
          </wp:inline>
        </w:drawing>
      </w:r>
    </w:p>
    <w:p w14:paraId="6AA4072B">
      <w:pPr>
        <w:jc w:val="center"/>
      </w:pPr>
      <w:r>
        <w:rPr>
          <w:rFonts w:ascii="宋体" w:hAnsi="宋体" w:eastAsia="宋体"/>
          <w:b w:val="0"/>
          <w:sz w:val="20"/>
        </w:rPr>
        <w:t>图9-2  注册页运行截图</w:t>
      </w:r>
    </w:p>
    <w:p w14:paraId="43496BD7">
      <w:pPr>
        <w:pStyle w:val="Heading2"/>
        <w:jc w:val="left"/>
      </w:pPr>
      <w:r>
        <w:rPr>
          <w:rFonts w:ascii="黑体" w:hAnsi="黑体" w:eastAsia="黑体"/>
          <w:b/>
          <w:sz w:val="24"/>
        </w:rPr>
        <w:t>9.3 首页概览</w:t>
      </w:r>
    </w:p>
    <w:p w14:paraId="0DCCA4CD">
      <w:pPr>
        <w:spacing w:after="120" w:line="360" w:lineRule="auto"/>
        <w:ind w:firstLine="440"/>
      </w:pPr>
      <w:r>
        <w:rPr>
          <w:rFonts w:ascii="宋体" w:hAnsi="宋体" w:eastAsia="宋体"/>
          <w:b w:val="0"/>
          <w:sz w:val="22"/>
        </w:rPr>
        <w:t>首页概览集中展示经营指标、库存提醒和业务入口，用于让管理员快速了解门店当前状态。它把商品、库存、销售和公告等模块连接成系统总览。</w:t>
      </w:r>
    </w:p>
    <w:p w14:paraId="430F9670">
      <w:pPr>
        <w:jc w:val="center"/>
      </w:pPr>
      <w:r>
        <w:drawing>
          <wp:inline distT="0" distB="0" distL="114300" distR="114300">
            <wp:extent cx="5806440" cy="6221095"/>
            <wp:effectExtent l="0" t="0" r="3810" b="8255"/>
            <wp:docPr id="1260220717" name="Picture 12602207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220717" name="Picture 1260220717"/>
                    <pic:cNvPicPr>
                      <a:picLocks noChangeAspect="1"/>
                    </pic:cNvPicPr>
                  </pic:nvPicPr>
                  <pic:blipFill>
                    <a:blip r:embed="rId65"/>
                    <a:stretch>
                      <a:fillRect/>
                    </a:stretch>
                  </pic:blipFill>
                  <pic:spPr>
                    <a:xfrm>
                      <a:off x="0" y="0"/>
                      <a:ext cx="5806440" cy="6221186"/>
                    </a:xfrm>
                    <a:prstGeom prst="rect">
                      <a:avLst/>
                    </a:prstGeom>
                  </pic:spPr>
                </pic:pic>
              </a:graphicData>
            </a:graphic>
          </wp:inline>
        </w:drawing>
      </w:r>
    </w:p>
    <w:p w14:paraId="6BD03B06">
      <w:pPr>
        <w:jc w:val="center"/>
      </w:pPr>
      <w:r>
        <w:rPr>
          <w:rFonts w:ascii="宋体" w:hAnsi="宋体" w:eastAsia="宋体"/>
          <w:b w:val="0"/>
          <w:sz w:val="20"/>
        </w:rPr>
        <w:t>图9-3  首页概览运行截图</w:t>
      </w:r>
    </w:p>
    <w:p w14:paraId="59E94343">
      <w:pPr>
        <w:pStyle w:val="Heading2"/>
        <w:jc w:val="left"/>
      </w:pPr>
      <w:r>
        <w:rPr>
          <w:rFonts w:ascii="黑体" w:hAnsi="黑体" w:eastAsia="黑体"/>
          <w:b/>
          <w:sz w:val="24"/>
        </w:rPr>
        <w:t>9.4 商品管理</w:t>
      </w:r>
    </w:p>
    <w:p w14:paraId="783E4E56">
      <w:pPr>
        <w:spacing w:after="120" w:line="360" w:lineRule="auto"/>
        <w:ind w:firstLine="440"/>
      </w:pPr>
      <w:r>
        <w:rPr>
          <w:rFonts w:ascii="宋体" w:hAnsi="宋体" w:eastAsia="宋体"/>
          <w:b w:val="0"/>
          <w:sz w:val="22"/>
        </w:rPr>
        <w:t>商品管理页面用于维护商品编码、名称、分类、价格、条码、状态和库存阈值。页面同时支撑新增、编辑、上下架、删除和批量导入，是商品主数据的核心入口。</w:t>
      </w:r>
    </w:p>
    <w:p w14:paraId="3F0102C9">
      <w:pPr>
        <w:jc w:val="center"/>
      </w:pPr>
      <w:r>
        <w:drawing>
          <wp:inline distT="0" distB="0" distL="114300" distR="114300">
            <wp:extent cx="5806440" cy="6221095"/>
            <wp:effectExtent l="0" t="0" r="3810" b="8255"/>
            <wp:docPr id="1260220718" name="Picture 12602207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220718" name="Picture 1260220718"/>
                    <pic:cNvPicPr>
                      <a:picLocks noChangeAspect="1"/>
                    </pic:cNvPicPr>
                  </pic:nvPicPr>
                  <pic:blipFill>
                    <a:blip r:embed="rId66"/>
                    <a:stretch>
                      <a:fillRect/>
                    </a:stretch>
                  </pic:blipFill>
                  <pic:spPr>
                    <a:xfrm>
                      <a:off x="0" y="0"/>
                      <a:ext cx="5806440" cy="6221186"/>
                    </a:xfrm>
                    <a:prstGeom prst="rect">
                      <a:avLst/>
                    </a:prstGeom>
                  </pic:spPr>
                </pic:pic>
              </a:graphicData>
            </a:graphic>
          </wp:inline>
        </w:drawing>
      </w:r>
    </w:p>
    <w:p w14:paraId="5E993E41">
      <w:pPr>
        <w:jc w:val="center"/>
      </w:pPr>
      <w:r>
        <w:rPr>
          <w:rFonts w:ascii="宋体" w:hAnsi="宋体" w:eastAsia="宋体"/>
          <w:b w:val="0"/>
          <w:sz w:val="20"/>
        </w:rPr>
        <w:t>图9-4  商品管理运行截图</w:t>
      </w:r>
    </w:p>
    <w:p w14:paraId="006FA599">
      <w:pPr>
        <w:pStyle w:val="Heading2"/>
        <w:jc w:val="left"/>
      </w:pPr>
      <w:r>
        <w:rPr>
          <w:rFonts w:ascii="黑体" w:hAnsi="黑体" w:eastAsia="黑体"/>
          <w:b/>
          <w:sz w:val="24"/>
        </w:rPr>
        <w:t>9.5 库存管理</w:t>
      </w:r>
    </w:p>
    <w:p w14:paraId="6ACF192E">
      <w:pPr>
        <w:spacing w:after="120" w:line="360" w:lineRule="auto"/>
        <w:ind w:firstLine="440"/>
      </w:pPr>
      <w:r>
        <w:rPr>
          <w:rFonts w:ascii="宋体" w:hAnsi="宋体" w:eastAsia="宋体"/>
          <w:b w:val="0"/>
          <w:sz w:val="22"/>
        </w:rPr>
        <w:t>库存管理页面用于查看当前库存、库存流水和低库存预警。系统通过库存数量、预警阈值和流水记录说明商品库存变化来源。</w:t>
      </w:r>
    </w:p>
    <w:p w14:paraId="3B0B3753">
      <w:pPr>
        <w:jc w:val="center"/>
      </w:pPr>
      <w:r>
        <w:drawing>
          <wp:inline distT="0" distB="0" distL="114300" distR="114300">
            <wp:extent cx="5806440" cy="6221095"/>
            <wp:effectExtent l="0" t="0" r="3810" b="8255"/>
            <wp:docPr id="1260220719" name="Picture 12602207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220719" name="Picture 1260220719"/>
                    <pic:cNvPicPr>
                      <a:picLocks noChangeAspect="1"/>
                    </pic:cNvPicPr>
                  </pic:nvPicPr>
                  <pic:blipFill>
                    <a:blip r:embed="rId67"/>
                    <a:stretch>
                      <a:fillRect/>
                    </a:stretch>
                  </pic:blipFill>
                  <pic:spPr>
                    <a:xfrm>
                      <a:off x="0" y="0"/>
                      <a:ext cx="5806440" cy="6221186"/>
                    </a:xfrm>
                    <a:prstGeom prst="rect">
                      <a:avLst/>
                    </a:prstGeom>
                  </pic:spPr>
                </pic:pic>
              </a:graphicData>
            </a:graphic>
          </wp:inline>
        </w:drawing>
      </w:r>
    </w:p>
    <w:p w14:paraId="4A8D5933">
      <w:pPr>
        <w:jc w:val="center"/>
      </w:pPr>
      <w:r>
        <w:rPr>
          <w:rFonts w:ascii="宋体" w:hAnsi="宋体" w:eastAsia="宋体"/>
          <w:b w:val="0"/>
          <w:sz w:val="20"/>
        </w:rPr>
        <w:t>图9-5  库存管理运行截图</w:t>
      </w:r>
    </w:p>
    <w:p w14:paraId="08B81006">
      <w:pPr>
        <w:pStyle w:val="Heading2"/>
        <w:jc w:val="left"/>
      </w:pPr>
      <w:r>
        <w:rPr>
          <w:rFonts w:ascii="黑体" w:hAnsi="黑体" w:eastAsia="黑体"/>
          <w:b/>
          <w:sz w:val="24"/>
        </w:rPr>
        <w:t>9.6 销售管理</w:t>
      </w:r>
    </w:p>
    <w:p w14:paraId="7377DAC5">
      <w:pPr>
        <w:spacing w:after="120" w:line="360" w:lineRule="auto"/>
        <w:ind w:firstLine="440"/>
      </w:pPr>
      <w:r>
        <w:rPr>
          <w:rFonts w:ascii="宋体" w:hAnsi="宋体" w:eastAsia="宋体"/>
          <w:b w:val="0"/>
          <w:sz w:val="22"/>
        </w:rPr>
        <w:t>销售管理页面用于查询销售订单、筛选交易记录并查看销售明细。它承接收银结算结果，是销售数据进入财务和经营分析之前的明细层。</w:t>
      </w:r>
    </w:p>
    <w:p w14:paraId="50C2E7E7">
      <w:pPr>
        <w:jc w:val="center"/>
      </w:pPr>
      <w:r>
        <w:drawing>
          <wp:inline distT="0" distB="0" distL="114300" distR="114300">
            <wp:extent cx="5806440" cy="6221095"/>
            <wp:effectExtent l="0" t="0" r="3810" b="8255"/>
            <wp:docPr id="1260220720" name="Picture 12602207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220720" name="Picture 1260220720"/>
                    <pic:cNvPicPr>
                      <a:picLocks noChangeAspect="1"/>
                    </pic:cNvPicPr>
                  </pic:nvPicPr>
                  <pic:blipFill>
                    <a:blip r:embed="rId68"/>
                    <a:stretch>
                      <a:fillRect/>
                    </a:stretch>
                  </pic:blipFill>
                  <pic:spPr>
                    <a:xfrm>
                      <a:off x="0" y="0"/>
                      <a:ext cx="5806440" cy="6221186"/>
                    </a:xfrm>
                    <a:prstGeom prst="rect">
                      <a:avLst/>
                    </a:prstGeom>
                  </pic:spPr>
                </pic:pic>
              </a:graphicData>
            </a:graphic>
          </wp:inline>
        </w:drawing>
      </w:r>
    </w:p>
    <w:p w14:paraId="424E0058">
      <w:pPr>
        <w:jc w:val="center"/>
      </w:pPr>
      <w:r>
        <w:rPr>
          <w:rFonts w:ascii="宋体" w:hAnsi="宋体" w:eastAsia="宋体"/>
          <w:b w:val="0"/>
          <w:sz w:val="20"/>
        </w:rPr>
        <w:t>图9-6  销售管理运行截图</w:t>
      </w:r>
    </w:p>
    <w:p w14:paraId="591FBEC0">
      <w:pPr>
        <w:pStyle w:val="Heading2"/>
        <w:jc w:val="left"/>
      </w:pPr>
      <w:r>
        <w:rPr>
          <w:rFonts w:ascii="黑体" w:hAnsi="黑体" w:eastAsia="黑体"/>
          <w:b/>
          <w:sz w:val="24"/>
        </w:rPr>
        <w:t>9.7 会员管理</w:t>
      </w:r>
    </w:p>
    <w:p w14:paraId="2A76C70C">
      <w:pPr>
        <w:spacing w:after="120" w:line="360" w:lineRule="auto"/>
        <w:ind w:firstLine="440"/>
      </w:pPr>
      <w:r>
        <w:rPr>
          <w:rFonts w:ascii="宋体" w:hAnsi="宋体" w:eastAsia="宋体"/>
          <w:b w:val="0"/>
          <w:sz w:val="22"/>
        </w:rPr>
        <w:t>会员管理页面属于二期主数据模块，用于维护会员档案、等级、积分和状态。积分调整和启停状态使会员资料能够参与后续经营分析。</w:t>
      </w:r>
    </w:p>
    <w:p w14:paraId="76AF55EC">
      <w:pPr>
        <w:jc w:val="center"/>
      </w:pPr>
      <w:r>
        <w:drawing>
          <wp:inline distT="0" distB="0" distL="114300" distR="114300">
            <wp:extent cx="5806440" cy="6221095"/>
            <wp:effectExtent l="0" t="0" r="3810" b="8255"/>
            <wp:docPr id="1260220721" name="Picture 12602207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220721" name="Picture 1260220721"/>
                    <pic:cNvPicPr>
                      <a:picLocks noChangeAspect="1"/>
                    </pic:cNvPicPr>
                  </pic:nvPicPr>
                  <pic:blipFill>
                    <a:blip r:embed="rId69"/>
                    <a:stretch>
                      <a:fillRect/>
                    </a:stretch>
                  </pic:blipFill>
                  <pic:spPr>
                    <a:xfrm>
                      <a:off x="0" y="0"/>
                      <a:ext cx="5806440" cy="6221186"/>
                    </a:xfrm>
                    <a:prstGeom prst="rect">
                      <a:avLst/>
                    </a:prstGeom>
                  </pic:spPr>
                </pic:pic>
              </a:graphicData>
            </a:graphic>
          </wp:inline>
        </w:drawing>
      </w:r>
    </w:p>
    <w:p w14:paraId="1D2DECFD">
      <w:pPr>
        <w:jc w:val="center"/>
      </w:pPr>
      <w:r>
        <w:rPr>
          <w:rFonts w:ascii="宋体" w:hAnsi="宋体" w:eastAsia="宋体"/>
          <w:b w:val="0"/>
          <w:sz w:val="20"/>
        </w:rPr>
        <w:t>图9-7  会员管理运行截图</w:t>
      </w:r>
    </w:p>
    <w:p w14:paraId="4FFCBB72">
      <w:pPr>
        <w:pStyle w:val="Heading2"/>
        <w:jc w:val="left"/>
      </w:pPr>
      <w:r>
        <w:rPr>
          <w:rFonts w:ascii="黑体" w:hAnsi="黑体" w:eastAsia="黑体"/>
          <w:b/>
          <w:sz w:val="24"/>
        </w:rPr>
        <w:t>9.8 员工管理</w:t>
      </w:r>
    </w:p>
    <w:p w14:paraId="4C550B60">
      <w:pPr>
        <w:spacing w:after="120" w:line="360" w:lineRule="auto"/>
        <w:ind w:firstLine="440"/>
      </w:pPr>
      <w:r>
        <w:rPr>
          <w:rFonts w:ascii="宋体" w:hAnsi="宋体" w:eastAsia="宋体"/>
          <w:b w:val="0"/>
          <w:sz w:val="22"/>
        </w:rPr>
        <w:t>员工管理页面用于维护工号、姓名、岗位、班次和状态，支撑门店人员资料管理。该模块与账号权限一起构成员工侧管理基础。</w:t>
      </w:r>
    </w:p>
    <w:p w14:paraId="18EDC303">
      <w:pPr>
        <w:jc w:val="center"/>
      </w:pPr>
      <w:r>
        <w:drawing>
          <wp:inline distT="0" distB="0" distL="114300" distR="114300">
            <wp:extent cx="5806440" cy="6221095"/>
            <wp:effectExtent l="0" t="0" r="3810" b="8255"/>
            <wp:docPr id="1260220722" name="Picture 12602207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220722" name="Picture 1260220722"/>
                    <pic:cNvPicPr>
                      <a:picLocks noChangeAspect="1"/>
                    </pic:cNvPicPr>
                  </pic:nvPicPr>
                  <pic:blipFill>
                    <a:blip r:embed="rId70"/>
                    <a:stretch>
                      <a:fillRect/>
                    </a:stretch>
                  </pic:blipFill>
                  <pic:spPr>
                    <a:xfrm>
                      <a:off x="0" y="0"/>
                      <a:ext cx="5806440" cy="6221186"/>
                    </a:xfrm>
                    <a:prstGeom prst="rect">
                      <a:avLst/>
                    </a:prstGeom>
                  </pic:spPr>
                </pic:pic>
              </a:graphicData>
            </a:graphic>
          </wp:inline>
        </w:drawing>
      </w:r>
    </w:p>
    <w:p w14:paraId="73663876">
      <w:pPr>
        <w:jc w:val="center"/>
      </w:pPr>
      <w:r>
        <w:rPr>
          <w:rFonts w:ascii="宋体" w:hAnsi="宋体" w:eastAsia="宋体"/>
          <w:b w:val="0"/>
          <w:sz w:val="20"/>
        </w:rPr>
        <w:t>图9-8  员工管理运行截图</w:t>
      </w:r>
    </w:p>
    <w:p w14:paraId="5AA54512">
      <w:pPr>
        <w:pStyle w:val="Heading2"/>
        <w:jc w:val="left"/>
      </w:pPr>
      <w:r>
        <w:rPr>
          <w:rFonts w:ascii="黑体" w:hAnsi="黑体" w:eastAsia="黑体"/>
          <w:b/>
          <w:sz w:val="24"/>
        </w:rPr>
        <w:t>9.9 供应商管理</w:t>
      </w:r>
    </w:p>
    <w:p w14:paraId="7529474E">
      <w:pPr>
        <w:spacing w:after="120" w:line="360" w:lineRule="auto"/>
        <w:ind w:firstLine="440"/>
      </w:pPr>
      <w:r>
        <w:rPr>
          <w:rFonts w:ascii="宋体" w:hAnsi="宋体" w:eastAsia="宋体"/>
          <w:b w:val="0"/>
          <w:sz w:val="22"/>
        </w:rPr>
        <w:t>供应商管理页面用于维护供应商编码、联系人、电话、结算周期和启停状态。供应商资料为采购、入库和应付账款管理提供基础数据。</w:t>
      </w:r>
    </w:p>
    <w:p w14:paraId="1FC98583">
      <w:pPr>
        <w:jc w:val="center"/>
      </w:pPr>
      <w:r>
        <w:drawing>
          <wp:inline distT="0" distB="0" distL="114300" distR="114300">
            <wp:extent cx="5806440" cy="6221095"/>
            <wp:effectExtent l="0" t="0" r="3810" b="8255"/>
            <wp:docPr id="1260220723" name="Picture 12602207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220723" name="Picture 1260220723"/>
                    <pic:cNvPicPr>
                      <a:picLocks noChangeAspect="1"/>
                    </pic:cNvPicPr>
                  </pic:nvPicPr>
                  <pic:blipFill>
                    <a:blip r:embed="rId71"/>
                    <a:stretch>
                      <a:fillRect/>
                    </a:stretch>
                  </pic:blipFill>
                  <pic:spPr>
                    <a:xfrm>
                      <a:off x="0" y="0"/>
                      <a:ext cx="5806440" cy="6221186"/>
                    </a:xfrm>
                    <a:prstGeom prst="rect">
                      <a:avLst/>
                    </a:prstGeom>
                  </pic:spPr>
                </pic:pic>
              </a:graphicData>
            </a:graphic>
          </wp:inline>
        </w:drawing>
      </w:r>
    </w:p>
    <w:p w14:paraId="5B919EB0">
      <w:pPr>
        <w:jc w:val="center"/>
      </w:pPr>
      <w:r>
        <w:rPr>
          <w:rFonts w:ascii="宋体" w:hAnsi="宋体" w:eastAsia="宋体"/>
          <w:b w:val="0"/>
          <w:sz w:val="20"/>
        </w:rPr>
        <w:t>图9-9  供应商管理运行截图</w:t>
      </w:r>
    </w:p>
    <w:p w14:paraId="050206F2">
      <w:pPr>
        <w:pStyle w:val="Heading2"/>
        <w:jc w:val="left"/>
      </w:pPr>
      <w:r>
        <w:rPr>
          <w:rFonts w:ascii="黑体" w:hAnsi="黑体" w:eastAsia="黑体"/>
          <w:b/>
          <w:sz w:val="24"/>
        </w:rPr>
        <w:t>9.10 财务管理</w:t>
      </w:r>
    </w:p>
    <w:p w14:paraId="2EF5EBDD">
      <w:pPr>
        <w:spacing w:after="120" w:line="360" w:lineRule="auto"/>
        <w:ind w:firstLine="440"/>
      </w:pPr>
      <w:r>
        <w:rPr>
          <w:rFonts w:ascii="宋体" w:hAnsi="宋体" w:eastAsia="宋体"/>
          <w:b w:val="0"/>
          <w:sz w:val="22"/>
        </w:rPr>
        <w:t>财务管理页面覆盖财务概览、收支流水、日结对账、供应商应付和月结快照。页面体现销售数据向财务核算转换的过程。</w:t>
      </w:r>
    </w:p>
    <w:p w14:paraId="398F6F15">
      <w:pPr>
        <w:jc w:val="center"/>
      </w:pPr>
      <w:r>
        <w:drawing>
          <wp:inline distT="0" distB="0" distL="114300" distR="114300">
            <wp:extent cx="5806440" cy="6221095"/>
            <wp:effectExtent l="0" t="0" r="3810" b="8255"/>
            <wp:docPr id="1260220724" name="Picture 12602207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220724" name="Picture 1260220724"/>
                    <pic:cNvPicPr>
                      <a:picLocks noChangeAspect="1"/>
                    </pic:cNvPicPr>
                  </pic:nvPicPr>
                  <pic:blipFill>
                    <a:blip r:embed="rId72"/>
                    <a:stretch>
                      <a:fillRect/>
                    </a:stretch>
                  </pic:blipFill>
                  <pic:spPr>
                    <a:xfrm>
                      <a:off x="0" y="0"/>
                      <a:ext cx="5806440" cy="6221186"/>
                    </a:xfrm>
                    <a:prstGeom prst="rect">
                      <a:avLst/>
                    </a:prstGeom>
                  </pic:spPr>
                </pic:pic>
              </a:graphicData>
            </a:graphic>
          </wp:inline>
        </w:drawing>
      </w:r>
    </w:p>
    <w:p w14:paraId="4BBD317D">
      <w:pPr>
        <w:jc w:val="center"/>
      </w:pPr>
      <w:r>
        <w:rPr>
          <w:rFonts w:ascii="宋体" w:hAnsi="宋体" w:eastAsia="宋体"/>
          <w:b w:val="0"/>
          <w:sz w:val="20"/>
        </w:rPr>
        <w:t>图9-10  财务管理运行截图</w:t>
      </w:r>
    </w:p>
    <w:p w14:paraId="78549A99">
      <w:pPr>
        <w:pStyle w:val="Heading2"/>
        <w:jc w:val="left"/>
      </w:pPr>
      <w:r>
        <w:rPr>
          <w:rFonts w:ascii="黑体" w:hAnsi="黑体" w:eastAsia="黑体"/>
          <w:b/>
          <w:sz w:val="24"/>
        </w:rPr>
        <w:t>9.11 经营分析</w:t>
      </w:r>
    </w:p>
    <w:p w14:paraId="35DBC44C">
      <w:pPr>
        <w:spacing w:after="120" w:line="360" w:lineRule="auto"/>
        <w:ind w:firstLine="440"/>
      </w:pPr>
      <w:r>
        <w:rPr>
          <w:rFonts w:ascii="宋体" w:hAnsi="宋体" w:eastAsia="宋体"/>
          <w:b w:val="0"/>
          <w:sz w:val="22"/>
        </w:rPr>
        <w:t>经营分析页面通过销售概览、趋势图、热销商品和分类分布展示门店经营情况。该模块把销售明细转化为管理层可阅读的统计信息。</w:t>
      </w:r>
    </w:p>
    <w:p w14:paraId="0C1D3A09">
      <w:pPr>
        <w:jc w:val="center"/>
      </w:pPr>
      <w:r>
        <w:drawing>
          <wp:inline distT="0" distB="0" distL="114300" distR="114300">
            <wp:extent cx="5806440" cy="6221095"/>
            <wp:effectExtent l="0" t="0" r="3810" b="8255"/>
            <wp:docPr id="1260220725" name="Picture 12602207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220725" name="Picture 1260220725"/>
                    <pic:cNvPicPr>
                      <a:picLocks noChangeAspect="1"/>
                    </pic:cNvPicPr>
                  </pic:nvPicPr>
                  <pic:blipFill>
                    <a:blip r:embed="rId73"/>
                    <a:stretch>
                      <a:fillRect/>
                    </a:stretch>
                  </pic:blipFill>
                  <pic:spPr>
                    <a:xfrm>
                      <a:off x="0" y="0"/>
                      <a:ext cx="5806440" cy="6221186"/>
                    </a:xfrm>
                    <a:prstGeom prst="rect">
                      <a:avLst/>
                    </a:prstGeom>
                  </pic:spPr>
                </pic:pic>
              </a:graphicData>
            </a:graphic>
          </wp:inline>
        </w:drawing>
      </w:r>
    </w:p>
    <w:p w14:paraId="056EF49C">
      <w:pPr>
        <w:jc w:val="center"/>
      </w:pPr>
      <w:r>
        <w:rPr>
          <w:rFonts w:ascii="宋体" w:hAnsi="宋体" w:eastAsia="宋体"/>
          <w:b w:val="0"/>
          <w:sz w:val="20"/>
        </w:rPr>
        <w:t>图9-11  经营分析运行截图</w:t>
      </w:r>
    </w:p>
    <w:p w14:paraId="4B390C54">
      <w:pPr>
        <w:pStyle w:val="Heading2"/>
        <w:jc w:val="left"/>
      </w:pPr>
      <w:r>
        <w:rPr>
          <w:rFonts w:ascii="黑体" w:hAnsi="黑体" w:eastAsia="黑体"/>
          <w:b/>
          <w:sz w:val="24"/>
        </w:rPr>
        <w:t>9.12 智能助手</w:t>
      </w:r>
    </w:p>
    <w:p w14:paraId="36FD9827">
      <w:pPr>
        <w:spacing w:after="120" w:line="360" w:lineRule="auto"/>
        <w:ind w:firstLine="440"/>
      </w:pPr>
      <w:r>
        <w:rPr>
          <w:rFonts w:ascii="宋体" w:hAnsi="宋体" w:eastAsia="宋体"/>
          <w:b w:val="0"/>
          <w:sz w:val="22"/>
        </w:rPr>
        <w:t>智能助手页面提供聊天窗口、快捷问题、推荐问题和字数统计。后端接口会先匹配 FAQ，再按库存、销售、商品和帮助类规则生成回答，并可在配置后调用外部大模型。</w:t>
      </w:r>
    </w:p>
    <w:p w14:paraId="7DC11941">
      <w:pPr>
        <w:jc w:val="center"/>
      </w:pPr>
      <w:r>
        <w:drawing>
          <wp:inline distT="0" distB="0" distL="114300" distR="114300">
            <wp:extent cx="5806440" cy="6221095"/>
            <wp:effectExtent l="0" t="0" r="3810" b="8255"/>
            <wp:docPr id="1260220726" name="Picture 12602207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220726" name="Picture 1260220726"/>
                    <pic:cNvPicPr>
                      <a:picLocks noChangeAspect="1"/>
                    </pic:cNvPicPr>
                  </pic:nvPicPr>
                  <pic:blipFill>
                    <a:blip r:embed="rId74"/>
                    <a:stretch>
                      <a:fillRect/>
                    </a:stretch>
                  </pic:blipFill>
                  <pic:spPr>
                    <a:xfrm>
                      <a:off x="0" y="0"/>
                      <a:ext cx="5806440" cy="6221186"/>
                    </a:xfrm>
                    <a:prstGeom prst="rect">
                      <a:avLst/>
                    </a:prstGeom>
                  </pic:spPr>
                </pic:pic>
              </a:graphicData>
            </a:graphic>
          </wp:inline>
        </w:drawing>
      </w:r>
    </w:p>
    <w:p w14:paraId="326EF539">
      <w:pPr>
        <w:jc w:val="center"/>
      </w:pPr>
      <w:r>
        <w:rPr>
          <w:rFonts w:ascii="宋体" w:hAnsi="宋体" w:eastAsia="宋体"/>
          <w:b w:val="0"/>
          <w:sz w:val="20"/>
        </w:rPr>
        <w:t>图9-12  智能助手运行截图</w:t>
      </w:r>
    </w:p>
    <w:p w14:paraId="7941846A">
      <w:pPr>
        <w:pStyle w:val="Heading2"/>
        <w:jc w:val="left"/>
      </w:pPr>
      <w:r>
        <w:rPr>
          <w:rFonts w:ascii="黑体" w:hAnsi="黑体" w:eastAsia="黑体"/>
          <w:b/>
          <w:sz w:val="24"/>
        </w:rPr>
        <w:t>9.13 公告管理</w:t>
      </w:r>
    </w:p>
    <w:p w14:paraId="06657395">
      <w:pPr>
        <w:spacing w:after="120" w:line="360" w:lineRule="auto"/>
        <w:ind w:firstLine="440"/>
      </w:pPr>
      <w:r>
        <w:rPr>
          <w:rFonts w:ascii="宋体" w:hAnsi="宋体" w:eastAsia="宋体"/>
          <w:b w:val="0"/>
          <w:sz w:val="22"/>
        </w:rPr>
        <w:t>公告管理页面用于发布公告、设置公告级别、目标角色和发布状态。公告阅读状态通过 announcement_reads 记录，支持未读统计和已读标记。</w:t>
      </w:r>
    </w:p>
    <w:p w14:paraId="48CD159C">
      <w:pPr>
        <w:jc w:val="center"/>
      </w:pPr>
      <w:r>
        <w:drawing>
          <wp:inline distT="0" distB="0" distL="114300" distR="114300">
            <wp:extent cx="5806440" cy="6221095"/>
            <wp:effectExtent l="0" t="0" r="3810" b="8255"/>
            <wp:docPr id="1260220727" name="Picture 12602207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220727" name="Picture 1260220727"/>
                    <pic:cNvPicPr>
                      <a:picLocks noChangeAspect="1"/>
                    </pic:cNvPicPr>
                  </pic:nvPicPr>
                  <pic:blipFill>
                    <a:blip r:embed="rId75"/>
                    <a:stretch>
                      <a:fillRect/>
                    </a:stretch>
                  </pic:blipFill>
                  <pic:spPr>
                    <a:xfrm>
                      <a:off x="0" y="0"/>
                      <a:ext cx="5806440" cy="6221186"/>
                    </a:xfrm>
                    <a:prstGeom prst="rect">
                      <a:avLst/>
                    </a:prstGeom>
                  </pic:spPr>
                </pic:pic>
              </a:graphicData>
            </a:graphic>
          </wp:inline>
        </w:drawing>
      </w:r>
    </w:p>
    <w:p w14:paraId="42C5556B">
      <w:pPr>
        <w:jc w:val="center"/>
      </w:pPr>
      <w:r>
        <w:rPr>
          <w:rFonts w:ascii="宋体" w:hAnsi="宋体" w:eastAsia="宋体"/>
          <w:b w:val="0"/>
          <w:sz w:val="20"/>
        </w:rPr>
        <w:t>图9-13  公告管理运行截图</w:t>
      </w:r>
    </w:p>
    <w:p w14:paraId="1F04B34C">
      <w:pPr>
        <w:pStyle w:val="Heading2"/>
        <w:jc w:val="left"/>
      </w:pPr>
      <w:r>
        <w:rPr>
          <w:rFonts w:ascii="黑体" w:hAnsi="黑体" w:eastAsia="黑体"/>
          <w:b/>
          <w:sz w:val="24"/>
        </w:rPr>
        <w:t>9.14 管理员审核</w:t>
      </w:r>
    </w:p>
    <w:p w14:paraId="3E666D2A">
      <w:pPr>
        <w:spacing w:after="120" w:line="360" w:lineRule="auto"/>
        <w:ind w:firstLine="440"/>
      </w:pPr>
      <w:r>
        <w:rPr>
          <w:rFonts w:ascii="宋体" w:hAnsi="宋体" w:eastAsia="宋体"/>
          <w:b w:val="0"/>
          <w:sz w:val="22"/>
        </w:rPr>
        <w:t>管理员审核页面用于处理管理员注册申请。该功能避免高权限账号直接生效，使账号管理具备申请、审核和拒绝路径。</w:t>
      </w:r>
    </w:p>
    <w:p w14:paraId="594B50AF">
      <w:pPr>
        <w:jc w:val="center"/>
      </w:pPr>
      <w:r>
        <w:drawing>
          <wp:inline distT="0" distB="0" distL="114300" distR="114300">
            <wp:extent cx="5806440" cy="6221095"/>
            <wp:effectExtent l="0" t="0" r="3810" b="8255"/>
            <wp:docPr id="1260220728" name="Picture 12602207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220728" name="Picture 1260220728"/>
                    <pic:cNvPicPr>
                      <a:picLocks noChangeAspect="1"/>
                    </pic:cNvPicPr>
                  </pic:nvPicPr>
                  <pic:blipFill>
                    <a:blip r:embed="rId76"/>
                    <a:stretch>
                      <a:fillRect/>
                    </a:stretch>
                  </pic:blipFill>
                  <pic:spPr>
                    <a:xfrm>
                      <a:off x="0" y="0"/>
                      <a:ext cx="5806440" cy="6221186"/>
                    </a:xfrm>
                    <a:prstGeom prst="rect">
                      <a:avLst/>
                    </a:prstGeom>
                  </pic:spPr>
                </pic:pic>
              </a:graphicData>
            </a:graphic>
          </wp:inline>
        </w:drawing>
      </w:r>
    </w:p>
    <w:p w14:paraId="13A357A9">
      <w:pPr>
        <w:jc w:val="center"/>
      </w:pPr>
      <w:r>
        <w:rPr>
          <w:rFonts w:ascii="宋体" w:hAnsi="宋体" w:eastAsia="宋体"/>
          <w:b w:val="0"/>
          <w:sz w:val="20"/>
        </w:rPr>
        <w:t>图9-14  管理员审核运行截图</w:t>
      </w:r>
    </w:p>
    <w:p w14:paraId="0025F09D">
      <w:pPr>
        <w:pStyle w:val="Heading2"/>
        <w:jc w:val="left"/>
      </w:pPr>
      <w:r>
        <w:rPr>
          <w:rFonts w:ascii="黑体" w:hAnsi="黑体" w:eastAsia="黑体"/>
          <w:b/>
          <w:sz w:val="24"/>
        </w:rPr>
        <w:t>9.15 系统参数</w:t>
      </w:r>
    </w:p>
    <w:p w14:paraId="532874D9">
      <w:pPr>
        <w:spacing w:after="120" w:line="360" w:lineRule="auto"/>
        <w:ind w:firstLine="440"/>
      </w:pPr>
      <w:r>
        <w:rPr>
          <w:rFonts w:ascii="宋体" w:hAnsi="宋体" w:eastAsia="宋体"/>
          <w:b w:val="0"/>
          <w:sz w:val="22"/>
        </w:rPr>
        <w:t>系统参数页面使用键值结构维护门店名称、库存预警、小票页脚等配置。键值结构适合保存数量不多但需要灵活调整的系统级参数。</w:t>
      </w:r>
    </w:p>
    <w:p w14:paraId="09E6B589">
      <w:pPr>
        <w:jc w:val="center"/>
      </w:pPr>
      <w:r>
        <w:drawing>
          <wp:inline distT="0" distB="0" distL="114300" distR="114300">
            <wp:extent cx="5806440" cy="6221095"/>
            <wp:effectExtent l="0" t="0" r="3810" b="8255"/>
            <wp:docPr id="1260220729" name="Picture 12602207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220729" name="Picture 1260220729"/>
                    <pic:cNvPicPr>
                      <a:picLocks noChangeAspect="1"/>
                    </pic:cNvPicPr>
                  </pic:nvPicPr>
                  <pic:blipFill>
                    <a:blip r:embed="rId77"/>
                    <a:stretch>
                      <a:fillRect/>
                    </a:stretch>
                  </pic:blipFill>
                  <pic:spPr>
                    <a:xfrm>
                      <a:off x="0" y="0"/>
                      <a:ext cx="5806440" cy="6221186"/>
                    </a:xfrm>
                    <a:prstGeom prst="rect">
                      <a:avLst/>
                    </a:prstGeom>
                  </pic:spPr>
                </pic:pic>
              </a:graphicData>
            </a:graphic>
          </wp:inline>
        </w:drawing>
      </w:r>
    </w:p>
    <w:p w14:paraId="126B5652">
      <w:pPr>
        <w:jc w:val="center"/>
      </w:pPr>
      <w:r>
        <w:rPr>
          <w:rFonts w:ascii="宋体" w:hAnsi="宋体" w:eastAsia="宋体"/>
          <w:b w:val="0"/>
          <w:sz w:val="20"/>
        </w:rPr>
        <w:t>图9-15  系统参数运行截图</w:t>
      </w:r>
    </w:p>
    <w:p w14:paraId="54FD12BB">
      <w:pPr>
        <w:pStyle w:val="Heading2"/>
        <w:jc w:val="left"/>
      </w:pPr>
      <w:r>
        <w:rPr>
          <w:rFonts w:ascii="黑体" w:hAnsi="黑体" w:eastAsia="黑体"/>
          <w:b/>
          <w:sz w:val="24"/>
        </w:rPr>
        <w:t>9.16 收银台</w:t>
      </w:r>
    </w:p>
    <w:p w14:paraId="4AFE69E1">
      <w:pPr>
        <w:spacing w:after="120" w:line="360" w:lineRule="auto"/>
        <w:ind w:firstLine="440"/>
      </w:pPr>
      <w:r>
        <w:rPr>
          <w:rFonts w:ascii="宋体" w:hAnsi="宋体" w:eastAsia="宋体"/>
          <w:b w:val="0"/>
          <w:sz w:val="22"/>
        </w:rPr>
        <w:t>收银台页面用于商品检索、购物车维护、支付方式选择和订单结算。结算成功后系统生成销售单与销售明细，并同步扣减库存。</w:t>
      </w:r>
    </w:p>
    <w:p w14:paraId="5C053DD1">
      <w:pPr>
        <w:jc w:val="center"/>
      </w:pPr>
      <w:r>
        <w:drawing>
          <wp:inline distT="0" distB="0" distL="114300" distR="114300">
            <wp:extent cx="5806440" cy="6221095"/>
            <wp:effectExtent l="0" t="0" r="3810" b="8255"/>
            <wp:docPr id="1260220730" name="Picture 12602207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220730" name="Picture 1260220730"/>
                    <pic:cNvPicPr>
                      <a:picLocks noChangeAspect="1"/>
                    </pic:cNvPicPr>
                  </pic:nvPicPr>
                  <pic:blipFill>
                    <a:blip r:embed="rId78"/>
                    <a:stretch>
                      <a:fillRect/>
                    </a:stretch>
                  </pic:blipFill>
                  <pic:spPr>
                    <a:xfrm>
                      <a:off x="0" y="0"/>
                      <a:ext cx="5806440" cy="6221186"/>
                    </a:xfrm>
                    <a:prstGeom prst="rect">
                      <a:avLst/>
                    </a:prstGeom>
                  </pic:spPr>
                </pic:pic>
              </a:graphicData>
            </a:graphic>
          </wp:inline>
        </w:drawing>
      </w:r>
    </w:p>
    <w:p w14:paraId="0A99B55A">
      <w:pPr>
        <w:jc w:val="center"/>
      </w:pPr>
      <w:r>
        <w:rPr>
          <w:rFonts w:ascii="宋体" w:hAnsi="宋体" w:eastAsia="宋体"/>
          <w:b w:val="0"/>
          <w:sz w:val="20"/>
        </w:rPr>
        <w:t>图9-16  收银台运行截图</w:t>
      </w:r>
    </w:p>
    <w:p w14:paraId="24FEDEFA">
      <w:bookmarkStart w:id="0" w:name="_GoBack"/>
      <w:bookmarkEnd w:id="0"/>
      <w:r>
        <w:drawing>
          <wp:inline distT="0" distB="0" distL="114300" distR="114300">
            <wp:extent cx="5674995" cy="902970"/>
            <wp:effectExtent l="0" t="0" r="1905" b="11430"/>
            <wp:docPr id="1260220731" name="Picture 12602207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220731" name="Picture 1260220731"/>
                    <pic:cNvPicPr>
                      <a:picLocks noChangeAspect="1"/>
                    </pic:cNvPicPr>
                  </pic:nvPicPr>
                  <pic:blipFill>
                    <a:blip r:embed="rId79"/>
                    <a:srcRect t="7881" r="2461" b="1433"/>
                    <a:stretch>
                      <a:fillRect/>
                    </a:stretch>
                  </pic:blipFill>
                  <pic:spPr>
                    <a:xfrm>
                      <a:off x="0" y="0"/>
                      <a:ext cx="5674995" cy="902970"/>
                    </a:xfrm>
                    <a:prstGeom prst="rect">
                      <a:avLst/>
                    </a:prstGeom>
                  </pic:spPr>
                </pic:pic>
              </a:graphicData>
            </a:graphic>
          </wp:inline>
        </w:drawing>
      </w:r>
    </w:p>
    <w:p>
      <w:r>
        <w:br w:type="page"/>
      </w:r>
    </w:p>
    <w:p>
      <w:pPr>
        <w:pStyle w:val="Heading1"/>
        <w:spacing w:before="240" w:after="200"/>
      </w:pPr>
      <w:r>
        <w:rPr>
          <w:rFonts w:ascii="黑体" w:hAnsi="黑体" w:eastAsia="黑体"/>
          <w:b/>
        </w:rPr>
        <w:t>十．参考文献</w:t>
      </w:r>
    </w:p>
    <w:p>
      <w:r>
        <w:rPr>
          <w:b w:val="0"/>
        </w:rPr>
        <w:t>[1] Flask Documentation. Flask Web Development Framework.</w:t>
      </w:r>
    </w:p>
    <w:p>
      <w:r>
        <w:rPr>
          <w:b w:val="0"/>
        </w:rPr>
        <w:t>[2] SQLAlchemy Documentation. SQL Toolkit and Object Relational Mapper.</w:t>
      </w:r>
    </w:p>
    <w:p>
      <w:r>
        <w:rPr>
          <w:b w:val="0"/>
        </w:rPr>
        <w:t>[3] pytest Documentation. Python Testing Framework.</w:t>
      </w:r>
    </w:p>
    <w:p>
      <w:r>
        <w:rPr>
          <w:b w:val="0"/>
        </w:rPr>
        <w:t>[4] coverage.py Documentation. Code Coverage Measurement for Python.</w:t>
      </w:r>
    </w:p>
    <w:p>
      <w:r>
        <w:rPr>
          <w:b w:val="0"/>
        </w:rPr>
        <w:t>[5] SQLite Documentation. SQLite Database Engine.</w:t>
      </w:r>
    </w:p>
    <w:p>
      <w:r>
        <w:rPr>
          <w:b w:val="0"/>
        </w:rPr>
        <w:t>[6] Bootstrap Documentation. Front-end Component and Layout Guidelines.</w:t>
      </w:r>
    </w:p>
    <w:p>
      <w:r>
        <w:rPr>
          <w:b w:val="0"/>
        </w:rPr>
        <w:t>[7] 《软件工程：实践者的研究方法》相关软件过程、需求分析、设计与测试方法。</w:t>
      </w:r>
    </w:p>
    <w:p>
      <w:r>
        <w:rPr>
          <w:b w:val="0"/>
        </w:rPr>
        <w:t>[8] 《系统分析与设计》课程实验任务书与课程设计要求。</w:t>
      </w:r>
    </w:p>
    <w:sectPr>
      <w:pgSz w:w="11906" w:h="16838"/>
      <w:pgMar w:top="1361" w:right="1417" w:bottom="1247" w:left="1417"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C528C"/>
    <w:rsid w:val="002C5F8F"/>
    <w:rsid w:val="0087115F"/>
    <w:rsid w:val="008C528C"/>
    <w:rsid w:val="009E58B5"/>
    <w:rsid w:val="00A92A69"/>
    <w:rsid w:val="00B1422C"/>
    <w:rsid w:val="00B219A8"/>
    <w:rsid w:val="00DC07FD"/>
    <w:rsid w:val="00DF0673"/>
    <w:rsid w:val="00E3487A"/>
    <w:rsid w:val="00E50AF9"/>
    <w:rsid w:val="00E51085"/>
    <w:rsid w:val="00E73CAA"/>
    <w:rsid w:val="00F56BA8"/>
    <w:rsid w:val="02252039"/>
    <w:rsid w:val="0546225A"/>
    <w:rsid w:val="59F22DC9"/>
    <w:rsid w:val="7B9917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after="80"/>
      <w:jc w:val="both"/>
    </w:pPr>
    <w:rPr>
      <w:rFonts w:asciiTheme="minorHAnsi" w:hAnsiTheme="minorHAnsi" w:eastAsiaTheme="minorEastAsia" w:cstheme="minorBidi" w:ascii="宋体" w:hAnsi="宋体" w:eastAsia="宋体"/>
      <w:kern w:val="2"/>
      <w:sz w:val="22"/>
      <w:szCs w:val="22"/>
      <w:lang w:val="en-US" w:eastAsia="zh-CN" w:bidi="ar-SA"/>
    </w:rPr>
  </w:style>
  <w:style w:type="character" w:default="1" w:styleId="3">
    <w:name w:val="Default Paragraph Font"/>
    <w:semiHidden/>
    <w:unhideWhenUsed/>
    <w:uiPriority w:val="1"/>
  </w:style>
  <w:style w:type="table" w:default="1" w:styleId="2">
    <w:name w:val="Normal Table"/>
    <w:semiHidden/>
    <w:unhideWhenUsed/>
    <w:uiPriority w:val="99"/>
    <w:tblPr>
      <w:tblCellMar>
        <w:top w:w="0" w:type="dxa"/>
        <w:left w:w="108" w:type="dxa"/>
        <w:bottom w:w="0" w:type="dxa"/>
        <w:right w:w="108" w:type="dxa"/>
      </w:tblCellMar>
    </w:tblPr>
  </w:style>
  <w:style w:type="character" w:styleId="4">
    <w:name w:val="Hyperlink"/>
    <w:basedOn w:val="3"/>
    <w:unhideWhenUsed/>
    <w:uiPriority w:val="99"/>
    <w:rPr>
      <w:color w:val="0563C1" w:themeColor="hyperlink"/>
      <w:u w:val="single"/>
      <w14:textFill>
        <w14:solidFill>
          <w14:schemeClr w14:val="hlink"/>
        </w14:solidFill>
      </w14:textFill>
    </w:rPr>
  </w:style>
  <w:style w:type="paragraph" w:styleId="5">
    <w:name w:val="List Paragraph"/>
    <w:basedOn w:val="1"/>
    <w:qFormat/>
    <w:uiPriority w:val="34"/>
    <w:pPr>
      <w:ind w:firstLine="420" w:firstLineChars="200"/>
    </w:pPr>
  </w:style>
  <w:style w:type="character" w:customStyle="1" w:styleId="6">
    <w:name w:val="Unresolved Mention"/>
    <w:basedOn w:val="3"/>
    <w:semiHidden/>
    <w:unhideWhenUsed/>
    <w:qFormat/>
    <w:uiPriority w:val="99"/>
    <w:rPr>
      <w:color w:val="605E5C"/>
      <w:shd w:val="clear" w:color="auto" w:fill="E1DFDD"/>
    </w:rPr>
  </w:style>
  <w:style w:type="paragraph" w:customStyle="1" w:styleId="Heading1">
    <w:name w:val="heading 1"/>
    <w:rPr>
      <w:rFonts w:ascii="黑体" w:hAnsi="黑体" w:eastAsia="黑体"/>
      <w:b/>
      <w:color w:val="000000"/>
      <w:sz w:val="32"/>
    </w:rPr>
  </w:style>
  <w:style w:type="paragraph" w:customStyle="1" w:styleId="Heading2">
    <w:name w:val="heading 2"/>
    <w:rPr>
      <w:rFonts w:ascii="黑体" w:hAnsi="黑体" w:eastAsia="黑体"/>
      <w:b/>
      <w:color w:val="000000"/>
      <w:sz w:val="28"/>
    </w:rPr>
  </w:style>
  <w:style w:type="paragraph" w:customStyle="1" w:styleId="Heading3">
    <w:name w:val="heading 3"/>
    <w:rPr>
      <w:rFonts w:ascii="黑体" w:hAnsi="黑体" w:eastAsia="黑体"/>
      <w:b/>
      <w:color w:val="000000"/>
      <w:sz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0" Type="http://schemas.openxmlformats.org/officeDocument/2006/relationships/fontTable" Target="fontTable.xml"/><Relationship Id="rId8" Type="http://schemas.openxmlformats.org/officeDocument/2006/relationships/image" Target="media/image5.png"/><Relationship Id="rId79" Type="http://schemas.openxmlformats.org/officeDocument/2006/relationships/image" Target="media/image76.jpeg"/><Relationship Id="rId78" Type="http://schemas.openxmlformats.org/officeDocument/2006/relationships/image" Target="media/image75.png"/><Relationship Id="rId77" Type="http://schemas.openxmlformats.org/officeDocument/2006/relationships/image" Target="media/image74.png"/><Relationship Id="rId76" Type="http://schemas.openxmlformats.org/officeDocument/2006/relationships/image" Target="media/image73.png"/><Relationship Id="rId75" Type="http://schemas.openxmlformats.org/officeDocument/2006/relationships/image" Target="media/image72.png"/><Relationship Id="rId74" Type="http://schemas.openxmlformats.org/officeDocument/2006/relationships/image" Target="media/image71.png"/><Relationship Id="rId73" Type="http://schemas.openxmlformats.org/officeDocument/2006/relationships/image" Target="media/image70.png"/><Relationship Id="rId72" Type="http://schemas.openxmlformats.org/officeDocument/2006/relationships/image" Target="media/image69.png"/><Relationship Id="rId71" Type="http://schemas.openxmlformats.org/officeDocument/2006/relationships/image" Target="media/image68.png"/><Relationship Id="rId70" Type="http://schemas.openxmlformats.org/officeDocument/2006/relationships/image" Target="media/image67.png"/><Relationship Id="rId7" Type="http://schemas.openxmlformats.org/officeDocument/2006/relationships/image" Target="media/image4.png"/><Relationship Id="rId69" Type="http://schemas.openxmlformats.org/officeDocument/2006/relationships/image" Target="media/image66.png"/><Relationship Id="rId68" Type="http://schemas.openxmlformats.org/officeDocument/2006/relationships/image" Target="media/image65.png"/><Relationship Id="rId67" Type="http://schemas.openxmlformats.org/officeDocument/2006/relationships/image" Target="media/image64.png"/><Relationship Id="rId66" Type="http://schemas.openxmlformats.org/officeDocument/2006/relationships/image" Target="media/image63.png"/><Relationship Id="rId65" Type="http://schemas.openxmlformats.org/officeDocument/2006/relationships/image" Target="media/image62.png"/><Relationship Id="rId64" Type="http://schemas.openxmlformats.org/officeDocument/2006/relationships/image" Target="media/image61.png"/><Relationship Id="rId63" Type="http://schemas.openxmlformats.org/officeDocument/2006/relationships/image" Target="media/image60.png"/><Relationship Id="rId62" Type="http://schemas.openxmlformats.org/officeDocument/2006/relationships/image" Target="media/image59.png"/><Relationship Id="rId61" Type="http://schemas.openxmlformats.org/officeDocument/2006/relationships/image" Target="media/image58.png"/><Relationship Id="rId60" Type="http://schemas.openxmlformats.org/officeDocument/2006/relationships/image" Target="media/image57.png"/><Relationship Id="rId6" Type="http://schemas.openxmlformats.org/officeDocument/2006/relationships/image" Target="media/image3.png"/><Relationship Id="rId59" Type="http://schemas.openxmlformats.org/officeDocument/2006/relationships/image" Target="media/image56.png"/><Relationship Id="rId58" Type="http://schemas.openxmlformats.org/officeDocument/2006/relationships/image" Target="media/image55.png"/><Relationship Id="rId57" Type="http://schemas.openxmlformats.org/officeDocument/2006/relationships/image" Target="media/image54.png"/><Relationship Id="rId56" Type="http://schemas.openxmlformats.org/officeDocument/2006/relationships/image" Target="media/image53.png"/><Relationship Id="rId55" Type="http://schemas.openxmlformats.org/officeDocument/2006/relationships/image" Target="media/image52.png"/><Relationship Id="rId54" Type="http://schemas.openxmlformats.org/officeDocument/2006/relationships/image" Target="media/image51.png"/><Relationship Id="rId53" Type="http://schemas.openxmlformats.org/officeDocument/2006/relationships/image" Target="media/image50.png"/><Relationship Id="rId52" Type="http://schemas.openxmlformats.org/officeDocument/2006/relationships/image" Target="media/image49.png"/><Relationship Id="rId51" Type="http://schemas.openxmlformats.org/officeDocument/2006/relationships/image" Target="media/image48.png"/><Relationship Id="rId50" Type="http://schemas.openxmlformats.org/officeDocument/2006/relationships/image" Target="media/image47.png"/><Relationship Id="rId5" Type="http://schemas.openxmlformats.org/officeDocument/2006/relationships/image" Target="media/image2.svg"/><Relationship Id="rId49" Type="http://schemas.openxmlformats.org/officeDocument/2006/relationships/image" Target="media/image46.png"/><Relationship Id="rId48" Type="http://schemas.openxmlformats.org/officeDocument/2006/relationships/image" Target="media/image45.png"/><Relationship Id="rId47" Type="http://schemas.openxmlformats.org/officeDocument/2006/relationships/image" Target="media/image44.png"/><Relationship Id="rId46" Type="http://schemas.openxmlformats.org/officeDocument/2006/relationships/image" Target="media/image43.png"/><Relationship Id="rId45" Type="http://schemas.openxmlformats.org/officeDocument/2006/relationships/image" Target="media/image42.png"/><Relationship Id="rId44" Type="http://schemas.openxmlformats.org/officeDocument/2006/relationships/image" Target="media/image41.png"/><Relationship Id="rId43" Type="http://schemas.openxmlformats.org/officeDocument/2006/relationships/image" Target="media/image40.png"/><Relationship Id="rId42" Type="http://schemas.openxmlformats.org/officeDocument/2006/relationships/image" Target="media/image39.png"/><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90</Pages>
  <Words>9818</Words>
  <Characters>11678</Characters>
  <Lines>3</Lines>
  <Paragraphs>1</Paragraphs>
  <TotalTime>85</TotalTime>
  <ScaleCrop>false</ScaleCrop>
  <LinksUpToDate>false</LinksUpToDate>
  <CharactersWithSpaces>12129</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2023-04-02T16:40:00Z</dcterms:created>
  <dc:creator>錦行 劉</dc:creator>
  <cp:lastModifiedBy>漠北浮嵐</cp:lastModifiedBy>
  <dcterms:modified xsi:type="dcterms:W3CDTF">2026-06-14T14:17:44Z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eyJoZGlkIjoiYzU3ZTliMjJjNjY5Njc4MWNkYTY5ZGUzMGFlN2U4MDMiLCJ1c2VySWQiOiI5NDIzMDE3OTIifQ==</vt:lpwstr>
  </property>
  <property fmtid="{D5CDD505-2E9C-101B-9397-08002B2CF9AE}" pid="3" name="KSOProductBuildVer">
    <vt:lpwstr>2052-12.1.0.26895</vt:lpwstr>
  </property>
  <property fmtid="{D5CDD505-2E9C-101B-9397-08002B2CF9AE}" pid="4" name="ICV">
    <vt:lpwstr>08BCAD026E5343178034F19427AD9543_12</vt:lpwstr>
  </property>
</Properties>
</file>