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BCED">
      <w:pPr>
        <w:jc w:val="both"/>
        <w:rPr>
          <w:rFonts w:hint="eastAsia" w:ascii="微软雅黑" w:hAnsi="微软雅黑" w:eastAsia="微软雅黑" w:cs="微软雅黑"/>
          <w:i w:val="0"/>
          <w:iCs w:val="0"/>
        </w:rPr>
      </w:pPr>
    </w:p>
    <w:p w14:paraId="0EA8E9F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0" distR="0">
            <wp:extent cx="1905000" cy="1905000"/>
            <wp:effectExtent l="0" t="0" r="0" b="0"/>
            <wp:docPr id="12602207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2" name="图形 1"/>
                    <pic:cNvPicPr>
                      <a:picLocks noChangeAspect="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905000" cy="1905000"/>
                    </a:xfrm>
                    <a:prstGeom prst="rect">
                      <a:avLst/>
                    </a:prstGeom>
                  </pic:spPr>
                </pic:pic>
              </a:graphicData>
            </a:graphic>
          </wp:inline>
        </w:drawing>
      </w:r>
    </w:p>
    <w:p w14:paraId="53048AB5">
      <w:pPr>
        <w:jc w:val="center"/>
        <w:rPr>
          <w:rFonts w:hint="eastAsia" w:ascii="微软雅黑" w:hAnsi="微软雅黑" w:eastAsia="微软雅黑" w:cs="微软雅黑"/>
          <w:b/>
          <w:bCs/>
          <w:i w:val="0"/>
          <w:iCs w:val="0"/>
          <w:sz w:val="72"/>
          <w:szCs w:val="72"/>
        </w:rPr>
      </w:pPr>
      <w:r>
        <w:rPr>
          <w:rFonts w:hint="eastAsia" w:ascii="微软雅黑" w:hAnsi="微软雅黑" w:eastAsia="微软雅黑" w:cs="微软雅黑"/>
          <w:b/>
          <w:bCs/>
          <w:i w:val="0"/>
          <w:iCs w:val="0"/>
          <w:sz w:val="72"/>
          <w:szCs w:val="72"/>
        </w:rPr>
        <w:t>《云计算与大数据处理》</w:t>
      </w:r>
    </w:p>
    <w:p w14:paraId="1CBE672C">
      <w:pPr>
        <w:jc w:val="center"/>
        <w:rPr>
          <w:rFonts w:hint="eastAsia" w:ascii="微软雅黑" w:hAnsi="微软雅黑" w:eastAsia="微软雅黑" w:cs="微软雅黑"/>
          <w:i w:val="0"/>
          <w:iCs w:val="0"/>
        </w:rPr>
      </w:pPr>
      <w:r>
        <w:rPr>
          <w:rFonts w:hint="eastAsia" w:ascii="微软雅黑" w:hAnsi="微软雅黑" w:eastAsia="微软雅黑" w:cs="微软雅黑"/>
          <w:b/>
          <w:bCs/>
          <w:i w:val="0"/>
          <w:iCs w:val="0"/>
          <w:sz w:val="72"/>
          <w:szCs w:val="72"/>
        </w:rPr>
        <w:t>实验报告</w:t>
      </w:r>
    </w:p>
    <w:tbl>
      <w:tblPr>
        <w:tblStyle w:val="32"/>
        <w:tblW w:w="97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812"/>
      </w:tblGrid>
      <w:tr w14:paraId="02E8C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364F48EA">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实验名称</w:t>
            </w:r>
          </w:p>
        </w:tc>
        <w:tc>
          <w:tcPr>
            <w:tcW w:w="7812" w:type="dxa"/>
          </w:tcPr>
          <w:p w14:paraId="71131F39">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rPr>
              <w:t>实时短视频流智能审核与发布综合实验报告</w:t>
            </w:r>
          </w:p>
        </w:tc>
      </w:tr>
      <w:tr w14:paraId="5E00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7B28D434">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实验日期</w:t>
            </w:r>
          </w:p>
        </w:tc>
        <w:tc>
          <w:tcPr>
            <w:tcW w:w="7812" w:type="dxa"/>
          </w:tcPr>
          <w:p w14:paraId="69B05A95">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rPr>
              <w:t>2026年5月</w:t>
            </w:r>
            <w:r>
              <w:rPr>
                <w:rFonts w:hint="eastAsia" w:cs="微软雅黑"/>
                <w:i w:val="0"/>
                <w:iCs w:val="0"/>
                <w:lang w:val="en-US" w:eastAsia="zh-CN"/>
              </w:rPr>
              <w:t>2</w:t>
            </w:r>
            <w:bookmarkStart w:id="0" w:name="_GoBack"/>
            <w:bookmarkEnd w:id="0"/>
            <w:r>
              <w:rPr>
                <w:rFonts w:hint="eastAsia" w:ascii="微软雅黑" w:hAnsi="微软雅黑" w:eastAsia="微软雅黑" w:cs="微软雅黑"/>
                <w:i w:val="0"/>
                <w:iCs w:val="0"/>
              </w:rPr>
              <w:t>4日</w:t>
            </w:r>
          </w:p>
        </w:tc>
      </w:tr>
      <w:tr w14:paraId="6646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5A934980">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专业</w:t>
            </w:r>
          </w:p>
        </w:tc>
        <w:tc>
          <w:tcPr>
            <w:tcW w:w="7812" w:type="dxa"/>
          </w:tcPr>
          <w:p w14:paraId="73E7016C">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lang w:val="en-US" w:eastAsia="zh-CN"/>
              </w:rPr>
              <w:t>计算机科学与技术</w:t>
            </w:r>
          </w:p>
        </w:tc>
      </w:tr>
      <w:tr w14:paraId="7041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5F69BF0D">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班级</w:t>
            </w:r>
          </w:p>
        </w:tc>
        <w:tc>
          <w:tcPr>
            <w:tcW w:w="7812" w:type="dxa"/>
          </w:tcPr>
          <w:p w14:paraId="7F0E5BA8">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lang w:val="en-US" w:eastAsia="zh-CN"/>
              </w:rPr>
              <w:t>计算师资1班</w:t>
            </w:r>
          </w:p>
        </w:tc>
      </w:tr>
      <w:tr w14:paraId="1FFF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6D516640">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学号</w:t>
            </w:r>
          </w:p>
        </w:tc>
        <w:tc>
          <w:tcPr>
            <w:tcW w:w="7812" w:type="dxa"/>
          </w:tcPr>
          <w:p w14:paraId="32801032">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rPr>
              <w:t>2311311120</w:t>
            </w:r>
          </w:p>
        </w:tc>
      </w:tr>
      <w:tr w14:paraId="50D3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0DF2EEB8">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姓名</w:t>
            </w:r>
          </w:p>
        </w:tc>
        <w:tc>
          <w:tcPr>
            <w:tcW w:w="7812" w:type="dxa"/>
          </w:tcPr>
          <w:p w14:paraId="05DCB9B7">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rPr>
              <w:t>余博涵</w:t>
            </w:r>
          </w:p>
        </w:tc>
      </w:tr>
      <w:tr w14:paraId="691C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80" w:type="dxa"/>
          </w:tcPr>
          <w:p w14:paraId="2BF46FFA">
            <w:pPr>
              <w:snapToGrid w:val="0"/>
              <w:jc w:val="center"/>
              <w:rPr>
                <w:rFonts w:hint="eastAsia" w:ascii="微软雅黑" w:hAnsi="微软雅黑" w:eastAsia="微软雅黑" w:cs="微软雅黑"/>
                <w:b/>
                <w:bCs/>
                <w:i w:val="0"/>
                <w:iCs w:val="0"/>
                <w:sz w:val="32"/>
                <w:szCs w:val="32"/>
              </w:rPr>
            </w:pPr>
            <w:r>
              <w:rPr>
                <w:rFonts w:hint="eastAsia" w:ascii="微软雅黑" w:hAnsi="微软雅黑" w:eastAsia="微软雅黑" w:cs="微软雅黑"/>
                <w:b/>
                <w:bCs/>
                <w:i w:val="0"/>
                <w:iCs w:val="0"/>
                <w:sz w:val="32"/>
                <w:szCs w:val="32"/>
              </w:rPr>
              <w:t>指导教师</w:t>
            </w:r>
          </w:p>
        </w:tc>
        <w:tc>
          <w:tcPr>
            <w:tcW w:w="7812" w:type="dxa"/>
          </w:tcPr>
          <w:p w14:paraId="393B80F3">
            <w:pPr>
              <w:snapToGrid w:val="0"/>
              <w:rPr>
                <w:rFonts w:hint="eastAsia" w:ascii="微软雅黑" w:hAnsi="微软雅黑" w:eastAsia="微软雅黑" w:cs="微软雅黑"/>
                <w:i w:val="0"/>
                <w:iCs w:val="0"/>
              </w:rPr>
            </w:pPr>
            <w:r>
              <w:rPr>
                <w:rFonts w:hint="eastAsia" w:ascii="微软雅黑" w:hAnsi="微软雅黑" w:eastAsia="微软雅黑" w:cs="微软雅黑"/>
                <w:i w:val="0"/>
                <w:iCs w:val="0"/>
                <w:lang w:val="en-US" w:eastAsia="zh-CN"/>
              </w:rPr>
              <w:t>刘锦行</w:t>
            </w:r>
          </w:p>
        </w:tc>
      </w:tr>
    </w:tbl>
    <w:p w14:paraId="25DDD934">
      <w:pPr>
        <w:widowControl/>
        <w:jc w:val="left"/>
        <w:rPr>
          <w:rFonts w:hint="eastAsia" w:ascii="微软雅黑" w:hAnsi="微软雅黑" w:eastAsia="微软雅黑" w:cs="微软雅黑"/>
          <w:i w:val="0"/>
          <w:iCs w:val="0"/>
        </w:rPr>
      </w:pPr>
      <w:r>
        <w:rPr>
          <w:rFonts w:hint="eastAsia" w:ascii="微软雅黑" w:hAnsi="微软雅黑" w:eastAsia="微软雅黑" w:cs="微软雅黑"/>
          <w:i w:val="0"/>
          <w:iCs w:val="0"/>
        </w:rPr>
        <w:br w:type="page"/>
      </w:r>
    </w:p>
    <w:p w14:paraId="2EFC5572">
      <w:pPr>
        <w:spacing w:before="160" w:after="120"/>
        <w:rPr>
          <w:rFonts w:hint="eastAsia" w:ascii="微软雅黑" w:hAnsi="微软雅黑" w:eastAsia="微软雅黑" w:cs="微软雅黑"/>
          <w:b/>
          <w:i w:val="0"/>
          <w:iCs w:val="0"/>
          <w:sz w:val="28"/>
          <w:lang w:val="en-US" w:eastAsia="zh-CN"/>
        </w:rPr>
      </w:pPr>
      <w:r>
        <w:rPr>
          <w:rFonts w:hint="eastAsia" w:ascii="微软雅黑" w:hAnsi="微软雅黑" w:eastAsia="微软雅黑" w:cs="微软雅黑"/>
          <w:b/>
          <w:i w:val="0"/>
          <w:iCs w:val="0"/>
          <w:sz w:val="28"/>
          <w:lang w:val="en-US" w:eastAsia="zh-CN"/>
        </w:rPr>
        <w:t>实验4的实验及其截图均已完成并提交至个人仓库：</w:t>
      </w:r>
    </w:p>
    <w:p w14:paraId="02C552C6">
      <w:pPr>
        <w:spacing w:before="160" w:after="120"/>
        <w:rPr>
          <w:rFonts w:hint="eastAsia" w:ascii="微软雅黑" w:hAnsi="微软雅黑" w:eastAsia="微软雅黑" w:cs="微软雅黑"/>
          <w:b/>
          <w:i w:val="0"/>
          <w:iCs w:val="0"/>
          <w:sz w:val="28"/>
          <w:lang w:val="en-US" w:eastAsia="zh-CN"/>
        </w:rPr>
      </w:pPr>
      <w:r>
        <w:rPr>
          <w:rFonts w:hint="eastAsia" w:ascii="微软雅黑" w:hAnsi="微软雅黑" w:eastAsia="微软雅黑" w:cs="微软雅黑"/>
          <w:b/>
          <w:i w:val="0"/>
          <w:iCs w:val="0"/>
          <w:sz w:val="28"/>
          <w:lang w:val="en-US" w:eastAsia="zh-CN"/>
        </w:rPr>
        <w:t>https://github.com/yubohann/stream-batch-lakehouse-ai-portfolio</w:t>
      </w:r>
    </w:p>
    <w:p w14:paraId="09B5CF5F">
      <w:pPr>
        <w:pStyle w:val="3"/>
        <w:rPr>
          <w:rFonts w:hint="eastAsia" w:ascii="微软雅黑" w:hAnsi="微软雅黑" w:eastAsia="微软雅黑" w:cs="微软雅黑"/>
          <w:i w:val="0"/>
          <w:iCs w:val="0"/>
        </w:rPr>
      </w:pPr>
      <w:r>
        <w:rPr>
          <w:rFonts w:hint="eastAsia" w:ascii="微软雅黑" w:hAnsi="微软雅黑" w:eastAsia="微软雅黑" w:cs="微软雅黑"/>
          <w:i w:val="0"/>
          <w:iCs w:val="0"/>
          <w:sz w:val="36"/>
        </w:rPr>
        <w:br w:type="textWrapping"/>
      </w:r>
      <w:r>
        <w:rPr>
          <w:rFonts w:hint="eastAsia" w:ascii="微软雅黑" w:hAnsi="微软雅黑" w:eastAsia="微软雅黑" w:cs="微软雅黑"/>
          <w:i w:val="0"/>
          <w:iCs w:val="0"/>
          <w:sz w:val="36"/>
        </w:rPr>
        <w:t>实时短视频流智能审核与发布综合实验报告</w:t>
      </w:r>
    </w:p>
    <w:p w14:paraId="3AAD620F">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一、实验目的</w:t>
      </w:r>
    </w:p>
    <w:p w14:paraId="590892EC">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本综合实验围绕实时短视频流的智能审核与发布展开，目标是构建一个能够完成视频上传、异步入队、关键帧抽样、多模态理解、风险审核、标签生成、发布展示和事件追踪的完整闭环。实验口径与前三个实验保持一致：用可运行系统、命令行日志、网页截图和事件链路共同证明结果，而不是只给出静态说明。</w:t>
      </w:r>
    </w:p>
    <w:p w14:paraId="66EF9E8D">
      <w:pPr>
        <w:spacing w:line="300" w:lineRule="auto"/>
        <w:ind w:firstLine="400"/>
      </w:pPr>
      <w:r>
        <w:rPr>
          <w:rFonts w:ascii="微软雅黑" w:hAnsi="微软雅黑" w:eastAsia="微软雅黑"/>
          <w:sz w:val="20"/>
        </w:rPr>
        <w:t>从业务角度看，短视频审核的难点不是单纯上传文件，而是在用户体验、审核准确性和系统吞吐之间取得平衡。如果上传接口同步等待多模态模型推理，用户会长时间卡在请求中；如果完全放弃模型理解，又无法解释画面主题、风险线索和标签来源。因此，本实验采用“上传立即可见、后台异步审核、事件全程可追踪”的方案，把用户交互链路与模型推理链路解耦。</w:t>
      </w:r>
    </w:p>
    <w:p w14:paraId="69277D14">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掌握 FastAPI 上传接口与前端 processing 即时可见的异步交互方式。</w:t>
      </w:r>
    </w:p>
    <w:p w14:paraId="79C20A41">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掌握 OpenCV/FFmpeg 对短视频元数据、亮度、运动、闪烁和关键帧的处理方法。</w:t>
      </w:r>
    </w:p>
    <w:p w14:paraId="2A3E2A98">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使用本地 Ollama 多模态视觉模型完成摘要、标签和风险线索识别。</w:t>
      </w:r>
    </w:p>
    <w:p w14:paraId="63F86571">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使用 SQLite jobs/events 模拟工业消息队列和可观测日志，使用 Kafka topic 完成加分流式扩展。</w:t>
      </w:r>
    </w:p>
    <w:p w14:paraId="56319269">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通过截图、API 输出和日志形成带学号 2311311120 的完整实验追踪证据链。</w:t>
      </w:r>
    </w:p>
    <w:p w14:paraId="69D92B3F">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二、实验环境与公开素材</w:t>
      </w:r>
    </w:p>
    <w:p w14:paraId="21A7572F">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实验运行环境为 Windows PowerShell，本机 GPU 为 NVIDIA GeForce RTX 4090。项目不依赖全局 Python 或全局 FFmpeg，而是使用项目内虚拟环境和便携 FFmpeg，以避免 Windows 中文路径、PATH 冲突和 OpenCV 写图失败等问题。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01B5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96" w:type="dxa"/>
          </w:tcPr>
          <w:p w14:paraId="3325F59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项目</w:t>
            </w:r>
          </w:p>
        </w:tc>
        <w:tc>
          <w:tcPr>
            <w:tcW w:w="4896" w:type="dxa"/>
          </w:tcPr>
          <w:p w14:paraId="09D653A4">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取值</w:t>
            </w:r>
          </w:p>
        </w:tc>
      </w:tr>
      <w:tr w14:paraId="2E59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F8E53BB">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姓名 / 学号</w:t>
            </w:r>
          </w:p>
        </w:tc>
        <w:tc>
          <w:tcPr>
            <w:tcW w:w="4896" w:type="dxa"/>
          </w:tcPr>
          <w:p w14:paraId="5EE46F3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余博涵 / 2311311120</w:t>
            </w:r>
          </w:p>
        </w:tc>
      </w:tr>
      <w:tr w14:paraId="184B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6C08E43">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班级</w:t>
            </w:r>
          </w:p>
        </w:tc>
        <w:tc>
          <w:tcPr>
            <w:tcW w:w="4896" w:type="dxa"/>
          </w:tcPr>
          <w:p w14:paraId="633B08F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23计算师资1班</w:t>
            </w:r>
          </w:p>
        </w:tc>
      </w:tr>
      <w:tr w14:paraId="22B8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4DB6B414">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运行终端</w:t>
            </w:r>
          </w:p>
        </w:tc>
        <w:tc>
          <w:tcPr>
            <w:tcW w:w="4896" w:type="dxa"/>
          </w:tcPr>
          <w:p w14:paraId="0912B56D">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Windows PowerShell</w:t>
            </w:r>
          </w:p>
        </w:tc>
      </w:tr>
      <w:tr w14:paraId="6B06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E47317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GPU</w:t>
            </w:r>
          </w:p>
        </w:tc>
        <w:tc>
          <w:tcPr>
            <w:tcW w:w="4896" w:type="dxa"/>
          </w:tcPr>
          <w:p w14:paraId="66496EFD">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NVIDIA GeForce RTX 4090</w:t>
            </w:r>
          </w:p>
        </w:tc>
      </w:tr>
      <w:tr w14:paraId="7A66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A594E6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项目目录</w:t>
            </w:r>
          </w:p>
        </w:tc>
        <w:tc>
          <w:tcPr>
            <w:tcW w:w="4896" w:type="dxa"/>
          </w:tcPr>
          <w:p w14:paraId="74E466D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code/short-video-stream-lab</w:t>
            </w:r>
          </w:p>
        </w:tc>
      </w:tr>
      <w:tr w14:paraId="69C5A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2D469C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截图目录</w:t>
            </w:r>
          </w:p>
        </w:tc>
        <w:tc>
          <w:tcPr>
            <w:tcW w:w="4896" w:type="dxa"/>
          </w:tcPr>
          <w:p w14:paraId="7F3724D6">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screenshots_2311311120</w:t>
            </w:r>
          </w:p>
        </w:tc>
      </w:tr>
      <w:tr w14:paraId="6769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426274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日志目录</w:t>
            </w:r>
          </w:p>
        </w:tc>
        <w:tc>
          <w:tcPr>
            <w:tcW w:w="4896" w:type="dxa"/>
          </w:tcPr>
          <w:p w14:paraId="2BF8CB33">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logs_2311311120</w:t>
            </w:r>
          </w:p>
        </w:tc>
      </w:tr>
    </w:tbl>
    <w:p w14:paraId="64A712C7">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本实验自选素材来自 Pexels 公开视频，报告中保留视频 URL 和 License URL。Pexels 公开视频可免费使用，署名不是必需项，但本报告仍保留来源链接作为可追溯证据。</w:t>
      </w:r>
    </w:p>
    <w:p w14:paraId="7DAB5773">
      <w:pPr>
        <w:spacing w:line="300" w:lineRule="auto"/>
        <w:ind w:firstLine="400"/>
      </w:pPr>
      <w:r>
        <w:rPr>
          <w:rFonts w:ascii="微软雅黑" w:hAnsi="微软雅黑" w:eastAsia="微软雅黑"/>
          <w:sz w:val="20"/>
        </w:rPr>
        <w:t>选择公开视频而不是随意上传网络视频，是为了同时满足版权合规、内容安全和结果可复现。无人机航拍用于主业务场景，夜间低照度和舞台灯光闪烁用于验证复核规则，运动场跑步用于证明正常真实视频可自动发布。这些素材分工使报告中的 published/review 结论具有场景区分度，而不是只在单一正常视频上得到全 0 风险分。</w:t>
      </w:r>
    </w:p>
    <w:p w14:paraId="3BA18F51">
      <w:pPr>
        <w:shd w:val="clear" w:fill="F3F4F6"/>
        <w:rPr>
          <w:rFonts w:hint="eastAsia" w:ascii="微软雅黑" w:hAnsi="微软雅黑" w:eastAsia="微软雅黑" w:cs="微软雅黑"/>
          <w:i w:val="0"/>
          <w:iCs w:val="0"/>
        </w:rPr>
      </w:pPr>
      <w:r>
        <w:rPr>
          <w:rFonts w:hint="eastAsia" w:ascii="微软雅黑" w:hAnsi="微软雅黑" w:eastAsia="微软雅黑" w:cs="微软雅黑"/>
          <w:i w:val="0"/>
          <w:iCs w:val="0"/>
          <w:sz w:val="18"/>
        </w:rPr>
        <w:t>Pexels public video</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https://videos.pexels.com/video-files/7457249/7457249-uhd_3840_2160_25fps.mp4</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License: https://www.pexels.com/license/</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实验压缩版: data/incoming/upload_2311311120_yubohan_drone_review.mp4</w:t>
      </w:r>
    </w:p>
    <w:p w14:paraId="3EA1A067">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683385"/>
            <wp:effectExtent l="0" t="0" r="381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49240" cy="1683503"/>
                    </a:xfrm>
                    <a:prstGeom prst="rect">
                      <a:avLst/>
                    </a:prstGeom>
                  </pic:spPr>
                </pic:pic>
              </a:graphicData>
            </a:graphic>
          </wp:inline>
        </w:drawing>
      </w:r>
    </w:p>
    <w:p w14:paraId="03F7627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 Pexels 公开视频来源与 License 证据。</w:t>
      </w:r>
    </w:p>
    <w:p w14:paraId="7C76F850">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919605"/>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49240" cy="1919864"/>
                    </a:xfrm>
                    <a:prstGeom prst="rect">
                      <a:avLst/>
                    </a:prstGeom>
                  </pic:spPr>
                </pic:pic>
              </a:graphicData>
            </a:graphic>
          </wp:inline>
        </w:drawing>
      </w:r>
    </w:p>
    <w:p w14:paraId="4988165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4-2 Python、FFmpeg、FFprobe、Ollama 环境验证。</w:t>
      </w:r>
    </w:p>
    <w:p w14:paraId="21E57172">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2178685"/>
            <wp:effectExtent l="0" t="0" r="381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49240" cy="2179137"/>
                    </a:xfrm>
                    <a:prstGeom prst="rect">
                      <a:avLst/>
                    </a:prstGeom>
                  </pic:spPr>
                </pic:pic>
              </a:graphicData>
            </a:graphic>
          </wp:inline>
        </w:drawing>
      </w:r>
    </w:p>
    <w:p w14:paraId="23AE657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4-3 Python 虚拟环境依赖安装与导入验证。</w:t>
      </w:r>
    </w:p>
    <w:p w14:paraId="46FD87A0">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三、系统总体架构</w:t>
      </w:r>
    </w:p>
    <w:p w14:paraId="47F6E097">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系统由前端页面、FastAPI API 服务、本地媒体目录、SQLite jobs/events、后台 worker、OpenCV/FFmpeg 预处理模块和 Ollama VLM 模型服务组成。上传请求只负责保存视频、写入 processing 记录和创建后台任务；耗时的视频理解与审核由 worker 异步完成。</w:t>
      </w:r>
    </w:p>
    <w:p w14:paraId="1A188A57">
      <w:pPr>
        <w:spacing w:line="300" w:lineRule="auto"/>
        <w:ind w:firstLine="400"/>
      </w:pPr>
      <w:r>
        <w:rPr>
          <w:rFonts w:ascii="微软雅黑" w:hAnsi="微软雅黑" w:eastAsia="微软雅黑"/>
          <w:sz w:val="20"/>
        </w:rPr>
        <w:t>该架构对应真实短视频平台的常见分层：入口服务负责接收视频并生成初始状态，队列负责削峰和异步调度，媒体存储保存原始视频和关键帧，模型服务负责视觉语义理解，审核规则再把模型输出和可解释指标转成 published、review 或 rejected。本实验虽然是单机实现，但接口边界与工业系统一致，后续可以替换为 Kafka、MinIO、PostgreSQL/ClickHouse 和分布式模型服务。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70AB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8DE4832">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模块</w:t>
            </w:r>
          </w:p>
        </w:tc>
        <w:tc>
          <w:tcPr>
            <w:tcW w:w="3264" w:type="dxa"/>
          </w:tcPr>
          <w:p w14:paraId="3E41FE86">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职责</w:t>
            </w:r>
          </w:p>
        </w:tc>
        <w:tc>
          <w:tcPr>
            <w:tcW w:w="3264" w:type="dxa"/>
          </w:tcPr>
          <w:p w14:paraId="2D997BE9">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工业化映射</w:t>
            </w:r>
          </w:p>
        </w:tc>
      </w:tr>
      <w:tr w14:paraId="1759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3BCBBF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FastAPI</w:t>
            </w:r>
          </w:p>
        </w:tc>
        <w:tc>
          <w:tcPr>
            <w:tcW w:w="3264" w:type="dxa"/>
          </w:tcPr>
          <w:p w14:paraId="45AA475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上传、查询、模型选择、静态媒体服务</w:t>
            </w:r>
          </w:p>
        </w:tc>
        <w:tc>
          <w:tcPr>
            <w:tcW w:w="3264" w:type="dxa"/>
          </w:tcPr>
          <w:p w14:paraId="100457C0">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API Gateway / Backend Service</w:t>
            </w:r>
          </w:p>
        </w:tc>
      </w:tr>
      <w:tr w14:paraId="2B65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2A97FA6">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SQLite jobs/events</w:t>
            </w:r>
          </w:p>
        </w:tc>
        <w:tc>
          <w:tcPr>
            <w:tcW w:w="3264" w:type="dxa"/>
          </w:tcPr>
          <w:p w14:paraId="1DF3DFAB">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本地队列、任务状态和事件追踪</w:t>
            </w:r>
          </w:p>
        </w:tc>
        <w:tc>
          <w:tcPr>
            <w:tcW w:w="3264" w:type="dxa"/>
          </w:tcPr>
          <w:p w14:paraId="4B14613E">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Kafka / Pulsar / PostgreSQL</w:t>
            </w:r>
          </w:p>
        </w:tc>
      </w:tr>
      <w:tr w14:paraId="61F69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F12FAB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data/media</w:t>
            </w:r>
          </w:p>
        </w:tc>
        <w:tc>
          <w:tcPr>
            <w:tcW w:w="3264" w:type="dxa"/>
          </w:tcPr>
          <w:p w14:paraId="3115264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保存上传视频、转码文件、缩略图和关键帧</w:t>
            </w:r>
          </w:p>
        </w:tc>
        <w:tc>
          <w:tcPr>
            <w:tcW w:w="3264" w:type="dxa"/>
          </w:tcPr>
          <w:p w14:paraId="6EC93A58">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MinIO / S3 / OSS</w:t>
            </w:r>
          </w:p>
        </w:tc>
      </w:tr>
      <w:tr w14:paraId="193D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F8D997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OpenCV/FFmpeg</w:t>
            </w:r>
          </w:p>
        </w:tc>
        <w:tc>
          <w:tcPr>
            <w:tcW w:w="3264" w:type="dxa"/>
          </w:tcPr>
          <w:p w14:paraId="2C164841">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抽帧、亮度、运动、闪烁和视频元数据</w:t>
            </w:r>
          </w:p>
        </w:tc>
        <w:tc>
          <w:tcPr>
            <w:tcW w:w="3264" w:type="dxa"/>
          </w:tcPr>
          <w:p w14:paraId="1C7FD58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视频预处理服务</w:t>
            </w:r>
          </w:p>
        </w:tc>
      </w:tr>
      <w:tr w14:paraId="4DEF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35727E6">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Ollama VLM</w:t>
            </w:r>
          </w:p>
        </w:tc>
        <w:tc>
          <w:tcPr>
            <w:tcW w:w="3264" w:type="dxa"/>
          </w:tcPr>
          <w:p w14:paraId="68235DA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多模态理解、摘要、标签和风险线索识别</w:t>
            </w:r>
          </w:p>
        </w:tc>
        <w:tc>
          <w:tcPr>
            <w:tcW w:w="3264" w:type="dxa"/>
          </w:tcPr>
          <w:p w14:paraId="0687932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vLLM / SGLang / 模型服务集群</w:t>
            </w:r>
          </w:p>
        </w:tc>
      </w:tr>
    </w:tbl>
    <w:p w14:paraId="0A89C323">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四、本地多模态模型与基线对照</w:t>
      </w:r>
    </w:p>
    <w:p w14:paraId="2C087236">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主模型选择本机已安装并验证具备 vision capability 的 ministral-3:8b，项目内部 ID 为 ministral-3-8b-ollama。为体现模型对照工作量，同时避免硬盘继续拉取大型模型，本实验新增并部署 qwen3-vl:4b 与 gemma3:4b 两个主流 4B 视觉基线，并保留 OpenCV Local Baseline 作为无模型权重规则兜底。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0B3C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8" w:type="dxa"/>
          </w:tcPr>
          <w:p w14:paraId="714A3908">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角色</w:t>
            </w:r>
          </w:p>
        </w:tc>
        <w:tc>
          <w:tcPr>
            <w:tcW w:w="2448" w:type="dxa"/>
          </w:tcPr>
          <w:p w14:paraId="06B3359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项目模型 ID</w:t>
            </w:r>
          </w:p>
        </w:tc>
        <w:tc>
          <w:tcPr>
            <w:tcW w:w="2448" w:type="dxa"/>
          </w:tcPr>
          <w:p w14:paraId="45744BE6">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Ollama 标签</w:t>
            </w:r>
          </w:p>
        </w:tc>
        <w:tc>
          <w:tcPr>
            <w:tcW w:w="2448" w:type="dxa"/>
          </w:tcPr>
          <w:p w14:paraId="4CC54A54">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b/>
                <w:i w:val="0"/>
                <w:iCs w:val="0"/>
                <w:sz w:val="18"/>
              </w:rPr>
              <w:t>用途</w:t>
            </w:r>
          </w:p>
        </w:tc>
      </w:tr>
      <w:tr w14:paraId="709F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4512A3B">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主模型</w:t>
            </w:r>
          </w:p>
        </w:tc>
        <w:tc>
          <w:tcPr>
            <w:tcW w:w="2448" w:type="dxa"/>
          </w:tcPr>
          <w:p w14:paraId="1DFF0B5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ministral-3-8b-ollama</w:t>
            </w:r>
          </w:p>
        </w:tc>
        <w:tc>
          <w:tcPr>
            <w:tcW w:w="2448" w:type="dxa"/>
          </w:tcPr>
          <w:p w14:paraId="555BCB4E">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ministral-3:8b</w:t>
            </w:r>
          </w:p>
        </w:tc>
        <w:tc>
          <w:tcPr>
            <w:tcW w:w="2448" w:type="dxa"/>
          </w:tcPr>
          <w:p w14:paraId="3E3A07C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最高分主链路证据</w:t>
            </w:r>
          </w:p>
        </w:tc>
      </w:tr>
      <w:tr w14:paraId="4BCC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132E05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视觉基线 1</w:t>
            </w:r>
          </w:p>
        </w:tc>
        <w:tc>
          <w:tcPr>
            <w:tcW w:w="2448" w:type="dxa"/>
          </w:tcPr>
          <w:p w14:paraId="74E1F6B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qwen3-vl-4b-ollama</w:t>
            </w:r>
          </w:p>
        </w:tc>
        <w:tc>
          <w:tcPr>
            <w:tcW w:w="2448" w:type="dxa"/>
          </w:tcPr>
          <w:p w14:paraId="1C3B9E65">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qwen3-vl:4b</w:t>
            </w:r>
          </w:p>
        </w:tc>
        <w:tc>
          <w:tcPr>
            <w:tcW w:w="2448" w:type="dxa"/>
          </w:tcPr>
          <w:p w14:paraId="61A70D0A">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Qwen 系列主流视觉基线</w:t>
            </w:r>
          </w:p>
        </w:tc>
      </w:tr>
      <w:tr w14:paraId="1910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15AB982">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视觉基线 2</w:t>
            </w:r>
          </w:p>
        </w:tc>
        <w:tc>
          <w:tcPr>
            <w:tcW w:w="2448" w:type="dxa"/>
          </w:tcPr>
          <w:p w14:paraId="482AE9C2">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gemma3-4b-ollama</w:t>
            </w:r>
          </w:p>
        </w:tc>
        <w:tc>
          <w:tcPr>
            <w:tcW w:w="2448" w:type="dxa"/>
          </w:tcPr>
          <w:p w14:paraId="5B4BE8E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gemma3:4b</w:t>
            </w:r>
          </w:p>
        </w:tc>
        <w:tc>
          <w:tcPr>
            <w:tcW w:w="2448" w:type="dxa"/>
          </w:tcPr>
          <w:p w14:paraId="19BCE9F3">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Gemma 系列主流视觉基线</w:t>
            </w:r>
          </w:p>
        </w:tc>
      </w:tr>
      <w:tr w14:paraId="5160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DD1878B">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规则基线</w:t>
            </w:r>
          </w:p>
        </w:tc>
        <w:tc>
          <w:tcPr>
            <w:tcW w:w="2448" w:type="dxa"/>
          </w:tcPr>
          <w:p w14:paraId="17C29280">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local-baseline</w:t>
            </w:r>
          </w:p>
        </w:tc>
        <w:tc>
          <w:tcPr>
            <w:tcW w:w="2448" w:type="dxa"/>
          </w:tcPr>
          <w:p w14:paraId="165300DD">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no-weight</w:t>
            </w:r>
          </w:p>
        </w:tc>
        <w:tc>
          <w:tcPr>
            <w:tcW w:w="2448" w:type="dxa"/>
          </w:tcPr>
          <w:p w14:paraId="6A411CBC">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OpenCV 亮度/运动/闪烁规则兜底</w:t>
            </w:r>
          </w:p>
        </w:tc>
      </w:tr>
      <w:tr w14:paraId="19CD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2161682">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轻量备用</w:t>
            </w:r>
          </w:p>
        </w:tc>
        <w:tc>
          <w:tcPr>
            <w:tcW w:w="2448" w:type="dxa"/>
          </w:tcPr>
          <w:p w14:paraId="70BAC194">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ministral-3-3b-ollama</w:t>
            </w:r>
          </w:p>
        </w:tc>
        <w:tc>
          <w:tcPr>
            <w:tcW w:w="2448" w:type="dxa"/>
          </w:tcPr>
          <w:p w14:paraId="4EC360A7">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ministral-3:3b</w:t>
            </w:r>
          </w:p>
        </w:tc>
        <w:tc>
          <w:tcPr>
            <w:tcW w:w="2448" w:type="dxa"/>
          </w:tcPr>
          <w:p w14:paraId="54E47361">
            <w:pPr>
              <w:spacing w:after="0" w:line="240" w:lineRule="auto"/>
              <w:rPr>
                <w:rFonts w:hint="eastAsia" w:ascii="微软雅黑" w:hAnsi="微软雅黑" w:eastAsia="微软雅黑" w:cs="微软雅黑"/>
                <w:i w:val="0"/>
                <w:iCs w:val="0"/>
              </w:rPr>
            </w:pPr>
            <w:r>
              <w:rPr>
                <w:rFonts w:hint="eastAsia" w:ascii="微软雅黑" w:hAnsi="微软雅黑" w:eastAsia="微软雅黑" w:cs="微软雅黑"/>
                <w:i w:val="0"/>
                <w:iCs w:val="0"/>
                <w:sz w:val="18"/>
              </w:rPr>
              <w:t>已安装轻量备用模型</w:t>
            </w:r>
          </w:p>
        </w:tc>
      </w:tr>
    </w:tbl>
    <w:p w14:paraId="09EBF1E0">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对照脚本覆盖正常无人机航拍、Pexels 真实夜间低照度街景和 Pexels 真实舞台灯光闪烁片段三个场景，因此能够看到 published/review 以及 0.0、42.0、48.0 三档风险分数的区分。</w:t>
      </w:r>
    </w:p>
    <w:p w14:paraId="6695240F">
      <w:pPr>
        <w:spacing w:line="300" w:lineRule="auto"/>
        <w:ind w:firstLine="400"/>
      </w:pPr>
      <w:r>
        <w:rPr>
          <w:rFonts w:ascii="微软雅黑" w:hAnsi="微软雅黑" w:eastAsia="微软雅黑"/>
          <w:sz w:val="20"/>
        </w:rPr>
        <w:t>模型对照的重点不只是速度比较，还包括语义能力比较。OpenCV baseline 能稳定计算亮度、运动和闪烁，适合作为兜底；但它无法真正理解“无人机巡检、居民区、夜间街景、舞台灯光”等语义。Qwen3-VL 4B 与 Gemma 3 4B 证明系统具备横向替换模型的能力，Ministral 3 8B 则作为主链路模型提供更完整的视觉理解结果。</w:t>
      </w:r>
    </w:p>
    <w:p w14:paraId="0708CEAA">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3474720"/>
            <wp:effectExtent l="0" t="0" r="38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49240" cy="3474783"/>
                    </a:xfrm>
                    <a:prstGeom prst="rect">
                      <a:avLst/>
                    </a:prstGeom>
                  </pic:spPr>
                </pic:pic>
              </a:graphicData>
            </a:graphic>
          </wp:inline>
        </w:drawing>
      </w:r>
    </w:p>
    <w:p w14:paraId="236E043A">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4-4 Ollama 模型列表与本地 8B Vision 主模型验证。</w:t>
      </w:r>
    </w:p>
    <w:p w14:paraId="64C506A8">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2605405"/>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49240" cy="2605534"/>
                    </a:xfrm>
                    <a:prstGeom prst="rect">
                      <a:avLst/>
                    </a:prstGeom>
                  </pic:spPr>
                </pic:pic>
              </a:graphicData>
            </a:graphic>
          </wp:inline>
        </w:drawing>
      </w:r>
    </w:p>
    <w:p w14:paraId="583E5DD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4-5 Qwen3-VL 4B 与 Gemma 3 4B 两个视觉基线验证。</w:t>
      </w:r>
    </w:p>
    <w:p w14:paraId="6A99400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4235450"/>
            <wp:effectExtent l="0" t="0" r="381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49240" cy="4235625"/>
                    </a:xfrm>
                    <a:prstGeom prst="rect">
                      <a:avLst/>
                    </a:prstGeom>
                  </pic:spPr>
                </pic:pic>
              </a:graphicData>
            </a:graphic>
          </wp:inline>
        </w:drawing>
      </w:r>
    </w:p>
    <w:p w14:paraId="46D43A74">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4-6 本机主模型、两个 4B 基线与 OpenCV 规则基线对照结果。</w:t>
      </w:r>
    </w:p>
    <w:p w14:paraId="0695AA9E">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3170555"/>
            <wp:effectExtent l="0" t="0" r="381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49240" cy="3171106"/>
                    </a:xfrm>
                    <a:prstGeom prst="rect">
                      <a:avLst/>
                    </a:prstGeom>
                  </pic:spPr>
                </pic:pic>
              </a:graphicData>
            </a:graphic>
          </wp:inline>
        </w:drawing>
      </w:r>
    </w:p>
    <w:p w14:paraId="6D28F645">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4-15 网页模型选择区展示主模型、两个主流视觉基线、规则基线与备用模型。</w:t>
      </w:r>
    </w:p>
    <w:p w14:paraId="64305E3E">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2704465"/>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49240" cy="2704504"/>
                    </a:xfrm>
                    <a:prstGeom prst="rect">
                      <a:avLst/>
                    </a:prstGeom>
                  </pic:spPr>
                </pic:pic>
              </a:graphicData>
            </a:graphic>
          </wp:inline>
        </w:drawing>
      </w:r>
    </w:p>
    <w:p w14:paraId="4D15CA94">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4-16 命令行模型清单展示 downloaded、active、backend 与 memory_tier。</w:t>
      </w:r>
    </w:p>
    <w:p w14:paraId="08F13441">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五、端到端运行与网页证据</w:t>
      </w:r>
    </w:p>
    <w:p w14:paraId="177E0253">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严格验收时设置 ALLOW_LOCAL_MODEL_FALLBACK=0，表示如果本地多模态模型不可用，脚本必须失败，不能悄悄降级到规则 baseline。verify_demo.py 运行三段真实公开视频样例，最终得到 1 个 published、2 个 review、0 个 rejected，证明主链路能够稳定运行。</w:t>
      </w:r>
    </w:p>
    <w:p w14:paraId="7BDCE37F">
      <w:pPr>
        <w:shd w:val="clear" w:fill="F3F4F6"/>
        <w:rPr>
          <w:rFonts w:hint="eastAsia" w:ascii="微软雅黑" w:hAnsi="微软雅黑" w:eastAsia="微软雅黑" w:cs="微软雅黑"/>
          <w:i w:val="0"/>
          <w:iCs w:val="0"/>
        </w:rPr>
      </w:pPr>
      <w:r>
        <w:rPr>
          <w:rFonts w:hint="eastAsia" w:ascii="微软雅黑" w:hAnsi="微软雅黑" w:eastAsia="微软雅黑" w:cs="微软雅黑"/>
          <w:i w:val="0"/>
          <w:iCs w:val="0"/>
          <w:sz w:val="18"/>
        </w:rPr>
        <w:t>$env:STUDENT_ID = "2311311120"</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$env:ALLOW_LOCAL_MODEL_FALLBACK = "0"</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.\.venv\Scripts\python.exe scripts\verify_demo.py</w:t>
      </w:r>
    </w:p>
    <w:p w14:paraId="56E202C8">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随后启动 FastAPI 服务并访问 http://127.0.0.1:5050。上传自选无人机视频后，页面立即出现 processing 卡片；后台 worker 完成抽帧和模型理解后，页面再更新为最终审核结果。</w:t>
      </w:r>
    </w:p>
    <w:p w14:paraId="68EC433D">
      <w:pPr>
        <w:spacing w:line="300" w:lineRule="auto"/>
        <w:ind w:firstLine="400"/>
      </w:pPr>
      <w:r>
        <w:rPr>
          <w:rFonts w:ascii="微软雅黑" w:hAnsi="微软雅黑" w:eastAsia="微软雅黑"/>
          <w:sz w:val="20"/>
        </w:rPr>
        <w:t>网页 processing 截图的意义是证明上传请求没有等待模型完成。视频先进入页面和本地队列，摘要、标签和风险分数由 worker 异步补齐。这种设计更接近真实平台：用户侧关注上传是否成功，平台侧通过后台审核逐步补充理解结果和发布状态。</w:t>
      </w:r>
    </w:p>
    <w:p w14:paraId="503632D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74180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49240" cy="1742071"/>
                    </a:xfrm>
                    <a:prstGeom prst="rect">
                      <a:avLst/>
                    </a:prstGeom>
                  </pic:spPr>
                </pic:pic>
              </a:graphicData>
            </a:graphic>
          </wp:inline>
        </w:drawing>
      </w:r>
    </w:p>
    <w:p w14:paraId="2E3A5764">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4-7 严格模式 verify_demo.py 端到端验收通过。</w:t>
      </w:r>
    </w:p>
    <w:p w14:paraId="25DAF1A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064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49240" cy="1064918"/>
                    </a:xfrm>
                    <a:prstGeom prst="rect">
                      <a:avLst/>
                    </a:prstGeom>
                  </pic:spPr>
                </pic:pic>
              </a:graphicData>
            </a:graphic>
          </wp:inline>
        </w:drawing>
      </w:r>
    </w:p>
    <w:p w14:paraId="655C351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4-8 FastAPI 服务启动并监听 127.0.0.1:5050。</w:t>
      </w:r>
    </w:p>
    <w:p w14:paraId="017F9A4E">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4257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49240" cy="4257995"/>
                    </a:xfrm>
                    <a:prstGeom prst="rect">
                      <a:avLst/>
                    </a:prstGeom>
                  </pic:spPr>
                </pic:pic>
              </a:graphicData>
            </a:graphic>
          </wp:inline>
        </w:drawing>
      </w:r>
    </w:p>
    <w:p w14:paraId="49D522E9">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4-9 自选无人机视频上传后立即显示 processing 卡片。</w:t>
      </w:r>
    </w:p>
    <w:p w14:paraId="0FF1E876">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2118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49240" cy="2118400"/>
                    </a:xfrm>
                    <a:prstGeom prst="rect">
                      <a:avLst/>
                    </a:prstGeom>
                  </pic:spPr>
                </pic:pic>
              </a:graphicData>
            </a:graphic>
          </wp:inline>
        </w:drawing>
      </w:r>
    </w:p>
    <w:p w14:paraId="5A1409F7">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4-10 /api/videos 展示视频状态、标签、风险分和模型后端。</w:t>
      </w:r>
    </w:p>
    <w:p w14:paraId="38A9B25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129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49240" cy="1129532"/>
                    </a:xfrm>
                    <a:prstGeom prst="rect">
                      <a:avLst/>
                    </a:prstGeom>
                  </pic:spPr>
                </pic:pic>
              </a:graphicData>
            </a:graphic>
          </wp:inline>
        </w:drawing>
      </w:r>
    </w:p>
    <w:p w14:paraId="239EBE2B">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4-11 /api/health 展示 worker、jobs 与 active_model 状态。</w:t>
      </w:r>
    </w:p>
    <w:p w14:paraId="61E97F08">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2072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49240" cy="2073110"/>
                    </a:xfrm>
                    <a:prstGeom prst="rect">
                      <a:avLst/>
                    </a:prstGeom>
                  </pic:spPr>
                </pic:pic>
              </a:graphicData>
            </a:graphic>
          </wp:inline>
        </w:drawing>
      </w:r>
    </w:p>
    <w:p w14:paraId="15106F76">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4-12 /api/events 展示 ingest、queued、worker、frame_sample、vlm_understanding 等事件链路。</w:t>
      </w:r>
    </w:p>
    <w:p w14:paraId="7B64E191">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3929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349240" cy="3929511"/>
                    </a:xfrm>
                    <a:prstGeom prst="rect">
                      <a:avLst/>
                    </a:prstGeom>
                  </pic:spPr>
                </pic:pic>
              </a:graphicData>
            </a:graphic>
          </wp:inline>
        </w:drawing>
      </w:r>
    </w:p>
    <w:p w14:paraId="2454B6DE">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4-13 网页最终审核结果：摘要、标签、风险分和模型信息。</w:t>
      </w:r>
    </w:p>
    <w:p w14:paraId="7EB454EB">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70923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349240" cy="7092915"/>
                    </a:xfrm>
                    <a:prstGeom prst="rect">
                      <a:avLst/>
                    </a:prstGeom>
                  </pic:spPr>
                </pic:pic>
              </a:graphicData>
            </a:graphic>
          </wp:inline>
        </w:drawing>
      </w:r>
    </w:p>
    <w:p w14:paraId="5321BE75">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4-14 网页最终结果补充视图。</w:t>
      </w:r>
    </w:p>
    <w:p w14:paraId="352654D1">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六、API 与事件链路分析</w:t>
      </w:r>
    </w:p>
    <w:p w14:paraId="378F336E">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/api/videos 展示视频标题、状态、标签、风险分、模型 selected_id 和 backend；/api/health 展示 jobs queued/running/done、worker 与 active_model；/api/events 展示 ingest、stream、queued、worker、frame_sample、preprocess、vlm_understanding、moderation、publish 等阶段。</w:t>
      </w:r>
    </w:p>
    <w:p w14:paraId="5CE96F48">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最终无人机视频被判定为 published，risk_score 为 0.0。模型摘要识别到居民区鸟瞰、道路、房屋、绿化带等内容，未命中本实验策略中的高风险信号。虽然本次自动发布，但无人机画面仍然天然适合审核：它可能暴露地理位置、住宅、车牌、人脸、厂区、学校、交通节点或安防区域，因此需要多模态理解与规则审核。</w:t>
      </w:r>
    </w:p>
    <w:p w14:paraId="0B5C6256">
      <w:pPr>
        <w:spacing w:line="300" w:lineRule="auto"/>
        <w:ind w:firstLine="400"/>
      </w:pPr>
      <w:r>
        <w:rPr>
          <w:rFonts w:ascii="微软雅黑" w:hAnsi="微软雅黑" w:eastAsia="微软雅黑"/>
          <w:sz w:val="20"/>
        </w:rPr>
        <w:t>无人机视频最终自动发布，并不代表无人机素材不需要审核。相反，无人机画面具有高视角和广覆盖特征，容易同时拍到道路、住宅、车辆、基础设施和园区边界。本次素材未命中高风险规则，因此 risk_score 为 0.0；但系统仍保留关键帧理解、审核原因和事件日志，保证后续可解释和可追溯。</w:t>
      </w:r>
    </w:p>
    <w:p w14:paraId="134378D2">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七、Kafka 加分项</w:t>
      </w:r>
    </w:p>
    <w:p w14:paraId="6816AADF">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在主链路完成后，本实验继续验证 Kafka 扩展路径。Windows 侧通过 WSL Docker 中的 bigdata-kafka 容器连接 localhost:9092，创建带学号的 short_video_ingest_2311311120 和 short_video_result_2311311120 两个 topic。</w:t>
      </w:r>
    </w:p>
    <w:p w14:paraId="489B7574">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Kafka producer 发送一条无人机短视频进入事件，kafka_ai_consumer 调用同一套本地多模态审核链路处理后，把包含 status、risk_score 和 tags 的结果写入 result topic。其他低照度、舞台闪烁和运动场视频已在 FastAPI/SQLite 主链路与 baseline 对照中验证，Kafka 部分用于证明流式扩展能力。</w:t>
      </w:r>
    </w:p>
    <w:p w14:paraId="1259EF2B">
      <w:pPr>
        <w:spacing w:line="300" w:lineRule="auto"/>
        <w:ind w:firstLine="400"/>
      </w:pPr>
      <w:r>
        <w:rPr>
          <w:rFonts w:ascii="微软雅黑" w:hAnsi="微软雅黑" w:eastAsia="微软雅黑"/>
          <w:sz w:val="20"/>
        </w:rPr>
        <w:t>Kafka 加分项只发送一条无人机视频事件，是为了突出“视频进入事件 -&gt; AI 审核消费者 -&gt; result topic 输出”的链路验证。低照度、舞台闪烁和运动场视频已经在 FastAPI/SQLite 主链路和 baseline 对照中验证；Kafka 部分用于证明该审核逻辑可以从单机队列迁移到课程前三个实验使用的流处理思想。</w:t>
      </w:r>
    </w:p>
    <w:p w14:paraId="3D53BAF6">
      <w:pPr>
        <w:shd w:val="clear" w:fill="F3F4F6"/>
        <w:rPr>
          <w:rFonts w:hint="eastAsia" w:ascii="微软雅黑" w:hAnsi="微软雅黑" w:eastAsia="微软雅黑" w:cs="微软雅黑"/>
          <w:i w:val="0"/>
          <w:iCs w:val="0"/>
        </w:rPr>
      </w:pPr>
      <w:r>
        <w:rPr>
          <w:rFonts w:hint="eastAsia" w:ascii="微软雅黑" w:hAnsi="微软雅黑" w:eastAsia="微软雅黑" w:cs="微软雅黑"/>
          <w:i w:val="0"/>
          <w:iCs w:val="0"/>
          <w:sz w:val="18"/>
        </w:rPr>
        <w:t>short_video_ingest_2311311120</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short_video_result_2311311120</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2311311120_余博涵_Kafka_无人机巡检短视频</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status: published</w:t>
      </w:r>
      <w:r>
        <w:rPr>
          <w:rFonts w:hint="eastAsia" w:ascii="微软雅黑" w:hAnsi="微软雅黑" w:eastAsia="微软雅黑" w:cs="微软雅黑"/>
          <w:i w:val="0"/>
          <w:iCs w:val="0"/>
          <w:sz w:val="18"/>
        </w:rPr>
        <w:br w:type="textWrapping"/>
      </w:r>
      <w:r>
        <w:rPr>
          <w:rFonts w:hint="eastAsia" w:ascii="微软雅黑" w:hAnsi="微软雅黑" w:eastAsia="微软雅黑" w:cs="微软雅黑"/>
          <w:i w:val="0"/>
          <w:iCs w:val="0"/>
          <w:sz w:val="18"/>
        </w:rPr>
        <w:t>risk_score: 0.0</w:t>
      </w:r>
    </w:p>
    <w:p w14:paraId="37C5DF1D">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944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349240" cy="944852"/>
                    </a:xfrm>
                    <a:prstGeom prst="rect">
                      <a:avLst/>
                    </a:prstGeom>
                  </pic:spPr>
                </pic:pic>
              </a:graphicData>
            </a:graphic>
          </wp:inline>
        </w:drawing>
      </w:r>
    </w:p>
    <w:p w14:paraId="39FCB97A">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4-17 Kafka 学号 topic 创建结果。</w:t>
      </w:r>
    </w:p>
    <w:p w14:paraId="591A0036">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rPr>
        <w:drawing>
          <wp:inline distT="0" distB="0" distL="114300" distR="114300">
            <wp:extent cx="5349240" cy="10337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349240" cy="1034383"/>
                    </a:xfrm>
                    <a:prstGeom prst="rect">
                      <a:avLst/>
                    </a:prstGeom>
                  </pic:spPr>
                </pic:pic>
              </a:graphicData>
            </a:graphic>
          </wp:inline>
        </w:drawing>
      </w:r>
    </w:p>
    <w:p w14:paraId="10629F6F">
      <w:pPr>
        <w:jc w:val="center"/>
        <w:rPr>
          <w:rFonts w:hint="eastAsia" w:ascii="微软雅黑" w:hAnsi="微软雅黑" w:eastAsia="微软雅黑" w:cs="微软雅黑"/>
          <w:i w:val="0"/>
          <w:iCs w:val="0"/>
        </w:rPr>
      </w:pPr>
      <w:r>
        <w:rPr>
          <w:rFonts w:hint="eastAsia" w:ascii="微软雅黑" w:hAnsi="微软雅黑" w:eastAsia="微软雅黑" w:cs="微软雅黑"/>
          <w:i w:val="0"/>
          <w:iCs w:val="0"/>
          <w:sz w:val="18"/>
        </w:rPr>
        <w:t>图 4-18 Kafka producer 发送视频进入事件并从 result topic 获得审核结果。</w:t>
      </w:r>
    </w:p>
    <w:p w14:paraId="6CF59FCB">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八、综合分析</w:t>
      </w:r>
    </w:p>
    <w:p w14:paraId="1F9B8088">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本实验的关键价值在于把短视频审核拆成可观测的异步链路：上传接口不等待模型完成，页面先展示 processing；后台 worker 负责关键帧抽样、多模态理解、风险评分和状态更新；events 日志解释每个视频为什么通过、复核或拒绝。</w:t>
      </w:r>
    </w:p>
    <w:p w14:paraId="6DFC44F5">
      <w:pPr>
        <w:spacing w:line="300" w:lineRule="auto"/>
        <w:ind w:firstLine="400"/>
      </w:pPr>
      <w:r>
        <w:rPr>
          <w:rFonts w:ascii="微软雅黑" w:hAnsi="微软雅黑" w:eastAsia="微软雅黑"/>
          <w:sz w:val="20"/>
        </w:rPr>
        <w:t>与前三个实验相比，本实验把 Kafka/Flink/Paimon 中的流式处理、状态观测和数据治理思想扩展到了非结构化媒体场景。视频不再只是普通文件，而是带有事件、队列状态、模型理解结果和审核决策的流式对象。这体现了云计算与大数据处理课程从结构化数据流到多模态智能应用的延伸。</w:t>
      </w:r>
    </w:p>
    <w:p w14:paraId="71700E0A">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Ministral 3 8B Vision 能够输出贴近业务的无人机巡检、居民区、基础设施检查等语义标签。</w:t>
      </w:r>
    </w:p>
    <w:p w14:paraId="4741451C">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Qwen3-VL 4B 与 Gemma 3 4B 作为主流视觉基线，证明系统并非只绑定一个模型，具备横向对照能力。</w:t>
      </w:r>
    </w:p>
    <w:p w14:paraId="23CDE22C">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OpenCV Local Baseline 运行最快，但只能给出亮度、运动、横竖屏等低层信号，适合作为兜底而不是主模型。</w:t>
      </w:r>
    </w:p>
    <w:p w14:paraId="0848FA85">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低照度真实街景进入 review，risk_score=42.0；强闪烁真实舞台片段进入 review，risk_score=48.0；正常无人机视频自动发布，risk_score=0.0。</w:t>
      </w:r>
    </w:p>
    <w:p w14:paraId="6A076C75">
      <w:pPr>
        <w:pStyle w:val="16"/>
        <w:rPr>
          <w:rFonts w:hint="eastAsia" w:ascii="微软雅黑" w:hAnsi="微软雅黑" w:eastAsia="微软雅黑" w:cs="微软雅黑"/>
          <w:i w:val="0"/>
          <w:iCs w:val="0"/>
        </w:rPr>
      </w:pPr>
      <w:r>
        <w:rPr>
          <w:rFonts w:hint="eastAsia" w:ascii="微软雅黑" w:hAnsi="微软雅黑" w:eastAsia="微软雅黑" w:cs="微软雅黑"/>
          <w:i w:val="0"/>
          <w:iCs w:val="0"/>
          <w:sz w:val="20"/>
        </w:rPr>
        <w:t>Kafka topic 与 producer/consumer/result 证据说明该系统可以从单机 SQLite 队列扩展到课程前三个实验中的流式处理链路。</w:t>
      </w:r>
    </w:p>
    <w:p w14:paraId="62D4BB4C">
      <w:pPr>
        <w:pStyle w:val="4"/>
        <w:rPr>
          <w:rFonts w:hint="eastAsia" w:ascii="微软雅黑" w:hAnsi="微软雅黑" w:eastAsia="微软雅黑" w:cs="微软雅黑"/>
          <w:i w:val="0"/>
          <w:iCs w:val="0"/>
        </w:rPr>
      </w:pPr>
      <w:r>
        <w:rPr>
          <w:rFonts w:hint="eastAsia" w:ascii="微软雅黑" w:hAnsi="微软雅黑" w:eastAsia="微软雅黑" w:cs="微软雅黑"/>
          <w:b/>
          <w:i w:val="0"/>
          <w:iCs w:val="0"/>
          <w:sz w:val="32"/>
        </w:rPr>
        <w:t>九、实验结论</w:t>
      </w:r>
    </w:p>
    <w:p w14:paraId="64B18FED">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本次综合实验完成了实时短视频上传、异步队列、多模态理解、风险审核、自动标签、发布展示、API 查询、事件追踪和 Kafka 扩展。所有核心证据均带有学号 2311311120，素材来源、模型部署、网页效果、API 输出、日志和 Kafka topic 之间口径一致。</w:t>
      </w:r>
    </w:p>
    <w:p w14:paraId="7876805B">
      <w:pPr>
        <w:spacing w:line="300" w:lineRule="auto"/>
        <w:ind w:firstLine="400"/>
      </w:pPr>
      <w:r>
        <w:rPr>
          <w:rFonts w:ascii="微软雅黑" w:hAnsi="微软雅黑" w:eastAsia="微软雅黑"/>
          <w:sz w:val="20"/>
        </w:rPr>
        <w:t>本实验仍存在局限：关键帧抽样可能漏掉极短暂的人脸、车牌或敏感标识；VLM 对远距离小目标和地理位置判断能力有限；教学版规则分数也不能直接等同生产策略。生产环境还应接入 OCR、人脸/车牌检测、地理围栏、人工复核队列、模型评测集和灰度发布机制，以降低误判和漏判风险。</w:t>
      </w:r>
    </w:p>
    <w:p w14:paraId="30DF3585">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若部署到真实平台，本实验中的本地 data/media 应替换为 MinIO/S3，SQLite jobs/events 应替换为 Kafka/Pulsar 和 PostgreSQL/ClickHouse，Ollama 应替换为可扩缩容的 vLLM/SGLang 模型服务，同时接入 OCR、人脸/车牌检测、地理围栏和人工复核系统，以降低无人机视频中的隐私、安全和合规风险。</w:t>
      </w:r>
    </w:p>
    <w:p w14:paraId="74418605">
      <w:pPr>
        <w:spacing w:line="300" w:lineRule="auto"/>
        <w:ind w:firstLine="400"/>
        <w:rPr>
          <w:rFonts w:hint="eastAsia" w:ascii="微软雅黑" w:hAnsi="微软雅黑" w:eastAsia="微软雅黑" w:cs="微软雅黑"/>
          <w:i w:val="0"/>
          <w:iCs w:val="0"/>
        </w:rPr>
      </w:pPr>
      <w:r>
        <w:rPr>
          <w:rFonts w:hint="eastAsia" w:ascii="微软雅黑" w:hAnsi="微软雅黑" w:eastAsia="微软雅黑" w:cs="微软雅黑"/>
          <w:i w:val="0"/>
          <w:iCs w:val="0"/>
          <w:sz w:val="20"/>
        </w:rPr>
        <w:t>本次实验追踪学号：2311311120。</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CF3AC7"/>
    <w:rsid w:val="417630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3634</Words>
  <Characters>6011</Characters>
  <Lines>0</Lines>
  <Paragraphs>0</Paragraphs>
  <TotalTime>0</TotalTime>
  <ScaleCrop>false</ScaleCrop>
  <LinksUpToDate>false</LinksUpToDate>
  <CharactersWithSpaces>6369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漠北浮嵐</cp:lastModifiedBy>
  <dcterms:modified xsi:type="dcterms:W3CDTF">2026-05-24T05:26:27Z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eyJoZGlkIjoiYzU3ZTliMjJjNjY5Njc4MWNkYTY5ZGUzMGFlN2U4MDMiLCJ1c2VySWQiOiI5NDIzMDE3OTIifQ==</vt:lpwstr>
  </property>
  <property fmtid="{D5CDD505-2E9C-101B-9397-08002B2CF9AE}" pid="3" name="KSOProductBuildVer">
    <vt:lpwstr>2052-12.1.0.26375</vt:lpwstr>
  </property>
  <property fmtid="{D5CDD505-2E9C-101B-9397-08002B2CF9AE}" pid="4" name="ICV">
    <vt:lpwstr>7CEAEA2697524F9B8EEB0D6C7F20FC0A_12</vt:lpwstr>
  </property>
</Properties>
</file>