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CB44" w14:textId="77777777" w:rsidR="00A30613" w:rsidRPr="00161C2B" w:rsidRDefault="00000000">
      <w:pPr>
        <w:spacing w:after="120"/>
        <w:jc w:val="center"/>
        <w:rPr>
          <w:color w:val="000000" w:themeColor="text1"/>
        </w:rPr>
      </w:pPr>
      <w:r w:rsidRPr="00161C2B">
        <w:rPr>
          <w:b/>
          <w:bCs/>
          <w:color w:val="000000" w:themeColor="text1"/>
          <w:sz w:val="36"/>
          <w:szCs w:val="36"/>
        </w:rPr>
        <w:t>E-Cigarette Diffusion Through Peer Networks</w:t>
      </w:r>
    </w:p>
    <w:p w14:paraId="73EEBA41" w14:textId="77777777" w:rsidR="00A30613" w:rsidRPr="00161C2B" w:rsidRDefault="00000000">
      <w:pPr>
        <w:spacing w:after="80"/>
        <w:jc w:val="center"/>
        <w:rPr>
          <w:color w:val="000000" w:themeColor="text1"/>
        </w:rPr>
      </w:pPr>
      <w:r w:rsidRPr="00161C2B">
        <w:rPr>
          <w:color w:val="000000" w:themeColor="text1"/>
          <w:sz w:val="22"/>
          <w:szCs w:val="22"/>
        </w:rPr>
        <w:t xml:space="preserve">USC ADVANCE Study — </w:t>
      </w:r>
      <w:proofErr w:type="spellStart"/>
      <w:r w:rsidRPr="00161C2B">
        <w:rPr>
          <w:color w:val="000000" w:themeColor="text1"/>
          <w:sz w:val="22"/>
          <w:szCs w:val="22"/>
        </w:rPr>
        <w:t>netdiffuseR</w:t>
      </w:r>
      <w:proofErr w:type="spellEnd"/>
      <w:r w:rsidRPr="00161C2B">
        <w:rPr>
          <w:color w:val="000000" w:themeColor="text1"/>
          <w:sz w:val="22"/>
          <w:szCs w:val="22"/>
        </w:rPr>
        <w:t xml:space="preserve"> Analysis Report</w:t>
      </w:r>
    </w:p>
    <w:p w14:paraId="286C458D" w14:textId="77777777" w:rsidR="00A30613" w:rsidRPr="00161C2B" w:rsidRDefault="00000000">
      <w:pPr>
        <w:spacing w:after="400"/>
        <w:jc w:val="center"/>
        <w:rPr>
          <w:color w:val="000000" w:themeColor="text1"/>
        </w:rPr>
      </w:pPr>
      <w:r w:rsidRPr="00161C2B">
        <w:rPr>
          <w:color w:val="000000" w:themeColor="text1"/>
        </w:rPr>
        <w:t>Cohorts 1 &amp; 2 | Grades 10–12 | Past-6-Month Use Outcome</w:t>
      </w:r>
    </w:p>
    <w:p w14:paraId="5CB50850" w14:textId="77777777" w:rsidR="00A30613" w:rsidRPr="00161C2B" w:rsidRDefault="00A30613">
      <w:pPr>
        <w:pBdr>
          <w:bottom w:val="single" w:sz="4" w:space="1" w:color="CCDDEE"/>
        </w:pBdr>
        <w:spacing w:before="160" w:after="160"/>
        <w:rPr>
          <w:color w:val="000000" w:themeColor="text1"/>
        </w:rPr>
      </w:pPr>
    </w:p>
    <w:p w14:paraId="280CD9F4" w14:textId="77777777" w:rsidR="00A30613" w:rsidRPr="00161C2B" w:rsidRDefault="00000000">
      <w:pPr>
        <w:pStyle w:val="Heading1"/>
        <w:rPr>
          <w:color w:val="000000" w:themeColor="text1"/>
        </w:rPr>
      </w:pPr>
      <w:r w:rsidRPr="00161C2B">
        <w:rPr>
          <w:color w:val="000000" w:themeColor="text1"/>
        </w:rPr>
        <w:t>1. Overview</w:t>
      </w:r>
    </w:p>
    <w:p w14:paraId="101226E8" w14:textId="77777777" w:rsidR="00A30613" w:rsidRPr="00161C2B" w:rsidRDefault="00000000">
      <w:pPr>
        <w:spacing w:before="80" w:after="80"/>
        <w:rPr>
          <w:color w:val="000000" w:themeColor="text1"/>
        </w:rPr>
      </w:pPr>
      <w:r w:rsidRPr="00161C2B">
        <w:rPr>
          <w:color w:val="000000" w:themeColor="text1"/>
        </w:rPr>
        <w:t xml:space="preserve">This report summarizes the </w:t>
      </w:r>
      <w:proofErr w:type="spellStart"/>
      <w:r w:rsidRPr="00161C2B">
        <w:rPr>
          <w:color w:val="000000" w:themeColor="text1"/>
        </w:rPr>
        <w:t>netdiffuseR</w:t>
      </w:r>
      <w:proofErr w:type="spellEnd"/>
      <w:r w:rsidRPr="00161C2B">
        <w:rPr>
          <w:color w:val="000000" w:themeColor="text1"/>
        </w:rPr>
        <w:t xml:space="preserve"> diffusion analysis examining how past-6-month e-cigarette use spread through peer friendship networks among high school students (Grades 10–12) in the USC ADVANCE study. Two cohorts across 13 schools were analyzed using 6 grade periods (10th Fall through 12th Spring).</w:t>
      </w:r>
    </w:p>
    <w:p w14:paraId="236B4DC7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6693874F" w14:textId="77777777" w:rsidR="00A30613" w:rsidRPr="00161C2B" w:rsidRDefault="00000000">
      <w:pPr>
        <w:pStyle w:val="Heading1"/>
        <w:rPr>
          <w:color w:val="000000" w:themeColor="text1"/>
        </w:rPr>
      </w:pPr>
      <w:r w:rsidRPr="00161C2B">
        <w:rPr>
          <w:color w:val="000000" w:themeColor="text1"/>
        </w:rPr>
        <w:t>2. Sample: School-Level Summary</w:t>
      </w:r>
    </w:p>
    <w:p w14:paraId="44BACE7F" w14:textId="77777777" w:rsidR="00A30613" w:rsidRPr="00161C2B" w:rsidRDefault="00000000">
      <w:pPr>
        <w:spacing w:before="80" w:after="80"/>
        <w:rPr>
          <w:color w:val="000000" w:themeColor="text1"/>
        </w:rPr>
      </w:pPr>
      <w:r w:rsidRPr="00161C2B">
        <w:rPr>
          <w:color w:val="000000" w:themeColor="text1"/>
        </w:rPr>
        <w:t>Table 1 presents the number of students, adopters, and final prevalence for each school.</w:t>
      </w:r>
    </w:p>
    <w:p w14:paraId="4D90AE16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42735490" w14:textId="77777777" w:rsidR="00A30613" w:rsidRPr="00161C2B" w:rsidRDefault="00000000">
      <w:pPr>
        <w:spacing w:before="120" w:after="80"/>
        <w:jc w:val="center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>Table 1. School-Level Diffusion Summary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6"/>
        <w:gridCol w:w="830"/>
        <w:gridCol w:w="2128"/>
        <w:gridCol w:w="1189"/>
        <w:gridCol w:w="1284"/>
        <w:gridCol w:w="1173"/>
      </w:tblGrid>
      <w:tr w:rsidR="00161C2B" w:rsidRPr="00161C2B" w14:paraId="7D4CEB5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FF898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School</w:t>
            </w:r>
          </w:p>
        </w:tc>
        <w:tc>
          <w:tcPr>
            <w:tcW w:w="7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0C8B9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Cohort</w:t>
            </w:r>
          </w:p>
        </w:tc>
        <w:tc>
          <w:tcPr>
            <w:tcW w:w="22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10B18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35FC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N Students</w:t>
            </w:r>
          </w:p>
        </w:tc>
        <w:tc>
          <w:tcPr>
            <w:tcW w:w="13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0B46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N Adopters</w:t>
            </w:r>
          </w:p>
        </w:tc>
        <w:tc>
          <w:tcPr>
            <w:tcW w:w="12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4111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Final Prev.</w:t>
            </w:r>
          </w:p>
        </w:tc>
      </w:tr>
      <w:tr w:rsidR="00161C2B" w:rsidRPr="00161C2B" w14:paraId="63D635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2AFF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101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72991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26A9C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Other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885C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257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1946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262D4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17.9%</w:t>
            </w:r>
          </w:p>
        </w:tc>
      </w:tr>
      <w:tr w:rsidR="00161C2B" w:rsidRPr="00161C2B" w14:paraId="326EF9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D61D4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102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EC767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4758A" w14:textId="77777777" w:rsidR="00A30613" w:rsidRPr="00161C2B" w:rsidRDefault="00000000">
            <w:pPr>
              <w:rPr>
                <w:color w:val="000000" w:themeColor="text1"/>
              </w:rPr>
            </w:pPr>
            <w:proofErr w:type="gramStart"/>
            <w:r w:rsidRPr="00161C2B">
              <w:rPr>
                <w:color w:val="000000" w:themeColor="text1"/>
                <w:sz w:val="18"/>
                <w:szCs w:val="18"/>
              </w:rPr>
              <w:t>Hispanic-majority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EEAD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245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1785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3DC2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13.1%</w:t>
            </w:r>
          </w:p>
        </w:tc>
      </w:tr>
      <w:tr w:rsidR="00161C2B" w:rsidRPr="00161C2B" w14:paraId="0FDF66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8677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103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7A5E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3AA5" w14:textId="77777777" w:rsidR="00A30613" w:rsidRPr="00161C2B" w:rsidRDefault="00000000">
            <w:pPr>
              <w:rPr>
                <w:color w:val="000000" w:themeColor="text1"/>
              </w:rPr>
            </w:pPr>
            <w:proofErr w:type="gramStart"/>
            <w:r w:rsidRPr="00161C2B">
              <w:rPr>
                <w:color w:val="000000" w:themeColor="text1"/>
                <w:sz w:val="18"/>
                <w:szCs w:val="18"/>
              </w:rPr>
              <w:t>Asian-majority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A541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190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69C3B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79BF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9.5%</w:t>
            </w:r>
          </w:p>
        </w:tc>
      </w:tr>
      <w:tr w:rsidR="00161C2B" w:rsidRPr="00161C2B" w14:paraId="105798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DA54A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104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ACB04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B4F12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Other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0742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364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3EC6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93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91CEE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25.5%</w:t>
            </w:r>
          </w:p>
        </w:tc>
      </w:tr>
      <w:tr w:rsidR="00161C2B" w:rsidRPr="00161C2B" w14:paraId="181F8B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F484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105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F1CE1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D509" w14:textId="77777777" w:rsidR="00A30613" w:rsidRPr="00161C2B" w:rsidRDefault="00000000">
            <w:pPr>
              <w:rPr>
                <w:color w:val="000000" w:themeColor="text1"/>
              </w:rPr>
            </w:pPr>
            <w:proofErr w:type="gramStart"/>
            <w:r w:rsidRPr="00161C2B">
              <w:rPr>
                <w:color w:val="000000" w:themeColor="text1"/>
                <w:sz w:val="18"/>
                <w:szCs w:val="18"/>
              </w:rPr>
              <w:t>Asian-majority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05FF5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184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E21DB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32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5B5E3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17.4%</w:t>
            </w:r>
          </w:p>
        </w:tc>
      </w:tr>
      <w:tr w:rsidR="00161C2B" w:rsidRPr="00161C2B" w14:paraId="087750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8748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106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9A17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4265" w14:textId="77777777" w:rsidR="00A30613" w:rsidRPr="00161C2B" w:rsidRDefault="00000000">
            <w:pPr>
              <w:rPr>
                <w:color w:val="000000" w:themeColor="text1"/>
              </w:rPr>
            </w:pPr>
            <w:proofErr w:type="gramStart"/>
            <w:r w:rsidRPr="00161C2B">
              <w:rPr>
                <w:color w:val="000000" w:themeColor="text1"/>
                <w:sz w:val="18"/>
                <w:szCs w:val="18"/>
              </w:rPr>
              <w:t>Hispanic-majority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ECE99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218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7603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41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40DEF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18.8%</w:t>
            </w:r>
          </w:p>
        </w:tc>
      </w:tr>
      <w:tr w:rsidR="00161C2B" w:rsidRPr="00161C2B" w14:paraId="369130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BE40D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107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C3C7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8934" w14:textId="77777777" w:rsidR="00A30613" w:rsidRPr="00161C2B" w:rsidRDefault="00000000">
            <w:pPr>
              <w:rPr>
                <w:color w:val="000000" w:themeColor="text1"/>
              </w:rPr>
            </w:pPr>
            <w:proofErr w:type="gramStart"/>
            <w:r w:rsidRPr="00161C2B">
              <w:rPr>
                <w:color w:val="000000" w:themeColor="text1"/>
                <w:sz w:val="18"/>
                <w:szCs w:val="18"/>
              </w:rPr>
              <w:t>Hispanic-majority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568D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262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1DB7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71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BBB0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27.1%</w:t>
            </w:r>
          </w:p>
        </w:tc>
      </w:tr>
      <w:tr w:rsidR="00161C2B" w:rsidRPr="00161C2B" w14:paraId="7F1D27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87EE6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4314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F23F8" w14:textId="77777777" w:rsidR="00A30613" w:rsidRPr="00161C2B" w:rsidRDefault="00000000">
            <w:pPr>
              <w:rPr>
                <w:color w:val="000000" w:themeColor="text1"/>
              </w:rPr>
            </w:pPr>
            <w:proofErr w:type="gramStart"/>
            <w:r w:rsidRPr="00161C2B">
              <w:rPr>
                <w:color w:val="000000" w:themeColor="text1"/>
                <w:sz w:val="18"/>
                <w:szCs w:val="18"/>
              </w:rPr>
              <w:t>Asian-majority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3A26E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333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3EC9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72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48348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21.6%</w:t>
            </w:r>
          </w:p>
        </w:tc>
      </w:tr>
      <w:tr w:rsidR="00161C2B" w:rsidRPr="00161C2B" w14:paraId="17C38C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2FB29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11DC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0713" w14:textId="77777777" w:rsidR="00A30613" w:rsidRPr="00161C2B" w:rsidRDefault="00000000">
            <w:pPr>
              <w:rPr>
                <w:color w:val="000000" w:themeColor="text1"/>
              </w:rPr>
            </w:pPr>
            <w:proofErr w:type="gramStart"/>
            <w:r w:rsidRPr="00161C2B">
              <w:rPr>
                <w:color w:val="000000" w:themeColor="text1"/>
                <w:sz w:val="18"/>
                <w:szCs w:val="18"/>
              </w:rPr>
              <w:t>Asian-majority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6228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371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74EC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60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33CA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16.2%</w:t>
            </w:r>
          </w:p>
        </w:tc>
      </w:tr>
      <w:tr w:rsidR="00161C2B" w:rsidRPr="00161C2B" w14:paraId="283D271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565A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C81CE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7DC5" w14:textId="77777777" w:rsidR="00A30613" w:rsidRPr="00161C2B" w:rsidRDefault="00000000">
            <w:pPr>
              <w:rPr>
                <w:color w:val="000000" w:themeColor="text1"/>
              </w:rPr>
            </w:pPr>
            <w:proofErr w:type="gramStart"/>
            <w:r w:rsidRPr="00161C2B">
              <w:rPr>
                <w:color w:val="000000" w:themeColor="text1"/>
                <w:sz w:val="18"/>
                <w:szCs w:val="18"/>
              </w:rPr>
              <w:t>Hispanic-majority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E8C7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362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D7A8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D3F2B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34.8%</w:t>
            </w:r>
          </w:p>
        </w:tc>
      </w:tr>
      <w:tr w:rsidR="00161C2B" w:rsidRPr="00161C2B" w14:paraId="5B919E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28336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201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09C3C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6A008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Other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44E0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199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D037D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C280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13.6%</w:t>
            </w:r>
          </w:p>
        </w:tc>
      </w:tr>
      <w:tr w:rsidR="00161C2B" w:rsidRPr="00161C2B" w14:paraId="243F8A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E4A6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212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2A513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38B9E" w14:textId="77777777" w:rsidR="00A30613" w:rsidRPr="00161C2B" w:rsidRDefault="00000000">
            <w:pPr>
              <w:rPr>
                <w:color w:val="000000" w:themeColor="text1"/>
              </w:rPr>
            </w:pPr>
            <w:proofErr w:type="gramStart"/>
            <w:r w:rsidRPr="00161C2B">
              <w:rPr>
                <w:color w:val="000000" w:themeColor="text1"/>
                <w:sz w:val="18"/>
                <w:szCs w:val="18"/>
              </w:rPr>
              <w:t>Asian-majority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EB57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314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43242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8FD06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14.6%</w:t>
            </w:r>
          </w:p>
        </w:tc>
      </w:tr>
      <w:tr w:rsidR="00161C2B" w:rsidRPr="00161C2B" w14:paraId="52BE59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EC08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213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4B411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CBCC0" w14:textId="77777777" w:rsidR="00A30613" w:rsidRPr="00161C2B" w:rsidRDefault="00000000">
            <w:pPr>
              <w:rPr>
                <w:color w:val="000000" w:themeColor="text1"/>
              </w:rPr>
            </w:pPr>
            <w:proofErr w:type="gramStart"/>
            <w:r w:rsidRPr="00161C2B">
              <w:rPr>
                <w:color w:val="000000" w:themeColor="text1"/>
                <w:sz w:val="18"/>
                <w:szCs w:val="18"/>
              </w:rPr>
              <w:t>Asian-majority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0404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357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0E771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41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BB9A9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11.5%</w:t>
            </w:r>
          </w:p>
        </w:tc>
      </w:tr>
      <w:tr w:rsidR="00161C2B" w:rsidRPr="00161C2B" w14:paraId="21653C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DF878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214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1FEAA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C2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AF53" w14:textId="77777777" w:rsidR="00A30613" w:rsidRPr="00161C2B" w:rsidRDefault="00000000">
            <w:pPr>
              <w:rPr>
                <w:color w:val="000000" w:themeColor="text1"/>
              </w:rPr>
            </w:pPr>
            <w:proofErr w:type="gramStart"/>
            <w:r w:rsidRPr="00161C2B">
              <w:rPr>
                <w:color w:val="000000" w:themeColor="text1"/>
                <w:sz w:val="18"/>
                <w:szCs w:val="18"/>
              </w:rPr>
              <w:t>Hispanic-majority</w:t>
            </w:r>
            <w:proofErr w:type="gram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EEC0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296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0F4B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76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C9E65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25.7%</w:t>
            </w:r>
          </w:p>
        </w:tc>
      </w:tr>
    </w:tbl>
    <w:p w14:paraId="43D34E84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1C7804FB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Hispanic-majority schools (102, 106, 107, 114, 214) show the widest range of final prevalence: 13.1% to 34.8%</w:t>
      </w:r>
    </w:p>
    <w:p w14:paraId="4363E1A8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Asian-majority schools (103, 105, 112, 113, 212, 213) cluster at lower prevalence: 9.5% to 21.6%</w:t>
      </w:r>
    </w:p>
    <w:p w14:paraId="69D4C704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lastRenderedPageBreak/>
        <w:t>School 114 (C1, Hispanic-majority) has the highest final prevalence at 34.8%; School 103 (C1, Asian-majority) the lowest at 9.5%</w:t>
      </w:r>
    </w:p>
    <w:p w14:paraId="22E3CE41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186C5960" w14:textId="77777777" w:rsidR="00A30613" w:rsidRPr="00161C2B" w:rsidRDefault="00A30613">
      <w:pPr>
        <w:pBdr>
          <w:bottom w:val="single" w:sz="4" w:space="1" w:color="CCDDEE"/>
        </w:pBdr>
        <w:spacing w:before="160" w:after="160"/>
        <w:rPr>
          <w:color w:val="000000" w:themeColor="text1"/>
        </w:rPr>
      </w:pPr>
    </w:p>
    <w:p w14:paraId="0FAD6F7A" w14:textId="77777777" w:rsidR="00A30613" w:rsidRPr="00161C2B" w:rsidRDefault="00000000">
      <w:pPr>
        <w:pStyle w:val="Heading1"/>
        <w:rPr>
          <w:color w:val="000000" w:themeColor="text1"/>
        </w:rPr>
      </w:pPr>
      <w:r w:rsidRPr="00161C2B">
        <w:rPr>
          <w:color w:val="000000" w:themeColor="text1"/>
        </w:rPr>
        <w:t>3. Diffusion Patterns</w:t>
      </w:r>
    </w:p>
    <w:p w14:paraId="0B9A4642" w14:textId="77777777" w:rsidR="00A30613" w:rsidRPr="00161C2B" w:rsidRDefault="00000000">
      <w:pPr>
        <w:pStyle w:val="Heading2"/>
        <w:rPr>
          <w:color w:val="000000" w:themeColor="text1"/>
        </w:rPr>
      </w:pPr>
      <w:r w:rsidRPr="00161C2B">
        <w:rPr>
          <w:color w:val="000000" w:themeColor="text1"/>
        </w:rPr>
        <w:t>Figure 1. Cumulative Adoption by Grade Period</w:t>
      </w:r>
    </w:p>
    <w:p w14:paraId="38860886" w14:textId="77777777" w:rsidR="00A30613" w:rsidRPr="00161C2B" w:rsidRDefault="00000000">
      <w:pPr>
        <w:spacing w:before="160" w:after="80"/>
        <w:jc w:val="center"/>
        <w:rPr>
          <w:color w:val="000000" w:themeColor="text1"/>
        </w:rPr>
      </w:pPr>
      <w:r w:rsidRPr="00161C2B">
        <w:rPr>
          <w:noProof/>
          <w:color w:val="000000" w:themeColor="text1"/>
        </w:rPr>
        <w:drawing>
          <wp:inline distT="0" distB="0" distL="0" distR="0" wp14:anchorId="51F30E5C" wp14:editId="747AC506">
            <wp:extent cx="4762500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DF84" w14:textId="77777777" w:rsidR="00A30613" w:rsidRPr="00161C2B" w:rsidRDefault="00000000">
      <w:pPr>
        <w:spacing w:before="80" w:after="200"/>
        <w:jc w:val="center"/>
        <w:rPr>
          <w:color w:val="000000" w:themeColor="text1"/>
        </w:rPr>
      </w:pPr>
      <w:r w:rsidRPr="00161C2B">
        <w:rPr>
          <w:color w:val="000000" w:themeColor="text1"/>
          <w:sz w:val="18"/>
          <w:szCs w:val="18"/>
        </w:rPr>
        <w:t>Figure 1. Cumulative proportion of students who adopted past-6-month e-cigarette use across grade periods (Cohorts 1 &amp; 2 combined). Gray band = adopters at each period; line = cumulative.</w:t>
      </w:r>
    </w:p>
    <w:p w14:paraId="27E86E79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Adoption accelerates rapidly between Grade 10 Fall and 11th Spring</w:t>
      </w:r>
    </w:p>
    <w:p w14:paraId="1AE2CF2F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By 12th Spring, cumulative adoption approaches ~20–25% across cohorts</w:t>
      </w:r>
    </w:p>
    <w:p w14:paraId="0A32EC89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The S-curve shape confirms classic diffusion dynamics in these networks</w:t>
      </w:r>
    </w:p>
    <w:p w14:paraId="5EA8E88F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10EE96E9" w14:textId="77777777" w:rsidR="00A30613" w:rsidRPr="00161C2B" w:rsidRDefault="00000000">
      <w:pPr>
        <w:pStyle w:val="Heading2"/>
        <w:rPr>
          <w:color w:val="000000" w:themeColor="text1"/>
        </w:rPr>
      </w:pPr>
      <w:r w:rsidRPr="00161C2B">
        <w:rPr>
          <w:color w:val="000000" w:themeColor="text1"/>
        </w:rPr>
        <w:t>Figure 2. Hazard Rate by Grade Period</w:t>
      </w:r>
    </w:p>
    <w:p w14:paraId="2C201DC5" w14:textId="77777777" w:rsidR="00A30613" w:rsidRPr="00161C2B" w:rsidRDefault="00000000">
      <w:pPr>
        <w:spacing w:before="160" w:after="80"/>
        <w:jc w:val="center"/>
        <w:rPr>
          <w:color w:val="000000" w:themeColor="text1"/>
        </w:rPr>
      </w:pPr>
      <w:r w:rsidRPr="00161C2B">
        <w:rPr>
          <w:noProof/>
          <w:color w:val="000000" w:themeColor="text1"/>
        </w:rPr>
        <w:lastRenderedPageBreak/>
        <w:drawing>
          <wp:inline distT="0" distB="0" distL="0" distR="0" wp14:anchorId="24E55CB6" wp14:editId="0E226A64">
            <wp:extent cx="4762500" cy="2647950"/>
            <wp:effectExtent l="0" t="0" r="0" b="0"/>
            <wp:docPr id="77486217" name="Picture 77486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2E016" w14:textId="77777777" w:rsidR="00A30613" w:rsidRPr="00161C2B" w:rsidRDefault="00000000">
      <w:pPr>
        <w:spacing w:before="80" w:after="200"/>
        <w:jc w:val="center"/>
        <w:rPr>
          <w:color w:val="000000" w:themeColor="text1"/>
        </w:rPr>
      </w:pPr>
      <w:r w:rsidRPr="00161C2B">
        <w:rPr>
          <w:color w:val="000000" w:themeColor="text1"/>
          <w:sz w:val="18"/>
          <w:szCs w:val="18"/>
        </w:rPr>
        <w:t>Figure 2. Hazard rate (probability of new adoption at each grade period) among students not yet using.</w:t>
      </w:r>
    </w:p>
    <w:p w14:paraId="3FFB9DCF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Peak hazard occurs at Grade 10 Fall (GP3) — earliest period in analysis — suggesting many initiations happen at the start of 10th grade</w:t>
      </w:r>
    </w:p>
    <w:p w14:paraId="32E1E4AB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Hazard declines in later grade periods as the pool of susceptible non-adopters shrinks</w:t>
      </w:r>
    </w:p>
    <w:p w14:paraId="1F0E3F20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009881A6" w14:textId="77777777" w:rsidR="00A30613" w:rsidRPr="00161C2B" w:rsidRDefault="00000000">
      <w:pPr>
        <w:pStyle w:val="Heading2"/>
        <w:rPr>
          <w:color w:val="000000" w:themeColor="text1"/>
        </w:rPr>
      </w:pPr>
      <w:r w:rsidRPr="00161C2B">
        <w:rPr>
          <w:color w:val="000000" w:themeColor="text1"/>
        </w:rPr>
        <w:t>Figure 3. Cumulative Adoption by School</w:t>
      </w:r>
    </w:p>
    <w:p w14:paraId="75B27AAB" w14:textId="77777777" w:rsidR="00A30613" w:rsidRPr="00161C2B" w:rsidRDefault="00000000">
      <w:pPr>
        <w:spacing w:before="160" w:after="80"/>
        <w:jc w:val="center"/>
        <w:rPr>
          <w:color w:val="000000" w:themeColor="text1"/>
        </w:rPr>
      </w:pPr>
      <w:r w:rsidRPr="00161C2B">
        <w:rPr>
          <w:noProof/>
          <w:color w:val="000000" w:themeColor="text1"/>
        </w:rPr>
        <w:drawing>
          <wp:inline distT="0" distB="0" distL="0" distR="0" wp14:anchorId="5958419D" wp14:editId="29DA0239">
            <wp:extent cx="5524500" cy="3009900"/>
            <wp:effectExtent l="0" t="0" r="0" b="0"/>
            <wp:docPr id="2063969209" name="Picture 2063969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E942" w14:textId="77777777" w:rsidR="00A30613" w:rsidRPr="00161C2B" w:rsidRDefault="00000000">
      <w:pPr>
        <w:spacing w:before="80" w:after="200"/>
        <w:jc w:val="center"/>
        <w:rPr>
          <w:color w:val="000000" w:themeColor="text1"/>
        </w:rPr>
      </w:pPr>
      <w:r w:rsidRPr="00161C2B">
        <w:rPr>
          <w:color w:val="000000" w:themeColor="text1"/>
          <w:sz w:val="18"/>
          <w:szCs w:val="18"/>
        </w:rPr>
        <w:t>Figure 3. School-level cumulative adoption curves. Solid lines = Cohort 1; dashed lines = Cohort 2. Lines are color-coded by school.</w:t>
      </w:r>
    </w:p>
    <w:p w14:paraId="65B96702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Substantial between-school variation exists throughout the study period</w:t>
      </w:r>
    </w:p>
    <w:p w14:paraId="14B1B65C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Hispanic-majority schools show higher and more variable trajectories</w:t>
      </w:r>
    </w:p>
    <w:p w14:paraId="00AD99DA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C1 and C2 schools show similar overall patterns, validating cohort alignment</w:t>
      </w:r>
    </w:p>
    <w:p w14:paraId="1EF3FD0A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113F2EFF" w14:textId="77777777" w:rsidR="00A30613" w:rsidRPr="00161C2B" w:rsidRDefault="00000000">
      <w:pPr>
        <w:pStyle w:val="Heading2"/>
        <w:rPr>
          <w:color w:val="000000" w:themeColor="text1"/>
        </w:rPr>
      </w:pPr>
      <w:r w:rsidRPr="00161C2B">
        <w:rPr>
          <w:color w:val="000000" w:themeColor="text1"/>
        </w:rPr>
        <w:t>Figure 4. Adoption Threshold by Grade Period</w:t>
      </w:r>
    </w:p>
    <w:p w14:paraId="3FFA9AC1" w14:textId="77777777" w:rsidR="00A30613" w:rsidRPr="00161C2B" w:rsidRDefault="00000000">
      <w:pPr>
        <w:spacing w:before="160" w:after="80"/>
        <w:jc w:val="center"/>
        <w:rPr>
          <w:color w:val="000000" w:themeColor="text1"/>
        </w:rPr>
      </w:pPr>
      <w:r w:rsidRPr="00161C2B">
        <w:rPr>
          <w:noProof/>
          <w:color w:val="000000" w:themeColor="text1"/>
        </w:rPr>
        <w:drawing>
          <wp:inline distT="0" distB="0" distL="0" distR="0" wp14:anchorId="2B94048C" wp14:editId="687F3F68">
            <wp:extent cx="4762500" cy="2647950"/>
            <wp:effectExtent l="0" t="0" r="0" b="0"/>
            <wp:docPr id="1178345363" name="Picture 1178345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C375" w14:textId="77777777" w:rsidR="00A30613" w:rsidRPr="00161C2B" w:rsidRDefault="00000000">
      <w:pPr>
        <w:spacing w:before="80" w:after="200"/>
        <w:jc w:val="center"/>
        <w:rPr>
          <w:color w:val="000000" w:themeColor="text1"/>
        </w:rPr>
      </w:pPr>
      <w:r w:rsidRPr="00161C2B">
        <w:rPr>
          <w:color w:val="000000" w:themeColor="text1"/>
          <w:sz w:val="18"/>
          <w:szCs w:val="18"/>
        </w:rPr>
        <w:t>Figure 4. Boxplot of adoption thresholds among adopters by grade period. Threshold = fraction of friends already using at time of adoption. Numbers below x-axis indicate n adopters per period.</w:t>
      </w:r>
    </w:p>
    <w:p w14:paraId="53CA197F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Median threshold is relatively low across all grade periods (~0.1–0.2), indicating most adopters needed fewer than 20% of friends to be using before they started</w:t>
      </w:r>
    </w:p>
    <w:p w14:paraId="0B410D9C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Thresholds are slightly higher among late adopters (12th grade), consistent with the expectation that laggards require more social proof</w:t>
      </w:r>
    </w:p>
    <w:p w14:paraId="59B3BF6F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color w:val="000000" w:themeColor="text1"/>
        </w:rPr>
        <w:t>Large variability within each grade period highlights individual heterogeneity in susceptibility to peer influence</w:t>
      </w:r>
    </w:p>
    <w:p w14:paraId="5FC3F424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7B79FBB7" w14:textId="77777777" w:rsidR="00A30613" w:rsidRPr="00161C2B" w:rsidRDefault="00A30613">
      <w:pPr>
        <w:pBdr>
          <w:bottom w:val="single" w:sz="4" w:space="1" w:color="CCDDEE"/>
        </w:pBdr>
        <w:spacing w:before="160" w:after="160"/>
        <w:rPr>
          <w:color w:val="000000" w:themeColor="text1"/>
        </w:rPr>
      </w:pPr>
    </w:p>
    <w:p w14:paraId="11BA983D" w14:textId="77777777" w:rsidR="00A30613" w:rsidRPr="00161C2B" w:rsidRDefault="00000000">
      <w:pPr>
        <w:pStyle w:val="Heading1"/>
        <w:rPr>
          <w:color w:val="000000" w:themeColor="text1"/>
        </w:rPr>
      </w:pPr>
      <w:r w:rsidRPr="00161C2B">
        <w:rPr>
          <w:color w:val="000000" w:themeColor="text1"/>
        </w:rPr>
        <w:t>4. Exposure Regression Results</w:t>
      </w:r>
    </w:p>
    <w:p w14:paraId="3E6F2045" w14:textId="77777777" w:rsidR="00A30613" w:rsidRPr="00161C2B" w:rsidRDefault="00000000">
      <w:pPr>
        <w:spacing w:before="80" w:after="80"/>
        <w:rPr>
          <w:color w:val="000000" w:themeColor="text1"/>
        </w:rPr>
      </w:pPr>
      <w:r w:rsidRPr="00161C2B">
        <w:rPr>
          <w:color w:val="000000" w:themeColor="text1"/>
        </w:rPr>
        <w:t>Logistic regression predicting adoption at the next time point among non-adopters, controlling for cohort, demographics, self-reported friend use, and mental health. Two models were run: one with MDD, one with GAD.</w:t>
      </w:r>
    </w:p>
    <w:p w14:paraId="4835D52D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543FFE95" w14:textId="77777777" w:rsidR="00A30613" w:rsidRPr="00161C2B" w:rsidRDefault="00000000">
      <w:pPr>
        <w:spacing w:before="120" w:after="80"/>
        <w:jc w:val="center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>Table 2. Exposure Regression (MDD Model)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000"/>
        <w:gridCol w:w="1000"/>
        <w:gridCol w:w="1200"/>
        <w:gridCol w:w="1000"/>
      </w:tblGrid>
      <w:tr w:rsidR="00161C2B" w:rsidRPr="00161C2B" w14:paraId="657E10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6ECC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6BB1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Estimate</w:t>
            </w:r>
          </w:p>
        </w:tc>
        <w:tc>
          <w:tcPr>
            <w:tcW w:w="10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12824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SE</w:t>
            </w:r>
          </w:p>
        </w:tc>
        <w:tc>
          <w:tcPr>
            <w:tcW w:w="10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DA174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z</w:t>
            </w:r>
          </w:p>
        </w:tc>
        <w:tc>
          <w:tcPr>
            <w:tcW w:w="12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B7B5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p</w:t>
            </w:r>
          </w:p>
        </w:tc>
        <w:tc>
          <w:tcPr>
            <w:tcW w:w="10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690E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OR</w:t>
            </w:r>
          </w:p>
        </w:tc>
      </w:tr>
      <w:tr w:rsidR="00161C2B" w:rsidRPr="00161C2B" w14:paraId="275BFB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79D0F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Exposure (network)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0358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1.0037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A17F7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0.2251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4621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4.459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D534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&lt; .001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19FCB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2.73</w:t>
            </w:r>
          </w:p>
        </w:tc>
      </w:tr>
      <w:tr w:rsidR="00161C2B" w:rsidRPr="00161C2B" w14:paraId="051D95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CB72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MDD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59453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0.2951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3208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0.0753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3CBE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3.918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04B6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&lt; .001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0A318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1.34</w:t>
            </w:r>
          </w:p>
        </w:tc>
      </w:tr>
      <w:tr w:rsidR="00161C2B" w:rsidRPr="00161C2B" w14:paraId="51D8D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2726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 xml:space="preserve">Friends </w:t>
            </w:r>
            <w:proofErr w:type="spellStart"/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ecig</w:t>
            </w:r>
            <w:proofErr w:type="spellEnd"/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 xml:space="preserve"> (self-report)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DD059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0.3487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9D42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0.0400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3A5EC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8.709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2A5F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&lt; .001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35DF8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1.42</w:t>
            </w:r>
          </w:p>
        </w:tc>
      </w:tr>
      <w:tr w:rsidR="00161C2B" w:rsidRPr="00161C2B" w14:paraId="446758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6636B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Sex minority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0A470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0.2454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128BE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0.1207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4C283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2.034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EBF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.042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81EE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1.28</w:t>
            </w:r>
          </w:p>
        </w:tc>
      </w:tr>
      <w:tr w:rsidR="00161C2B" w:rsidRPr="00161C2B" w14:paraId="4BE077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87D46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Hispanic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CEE2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0.2242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F6F84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0.1211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1CBA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1.851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FC7C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.064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B170E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1.25</w:t>
            </w:r>
          </w:p>
        </w:tc>
      </w:tr>
      <w:tr w:rsidR="00161C2B" w:rsidRPr="00161C2B" w14:paraId="380306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886F0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Asian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9009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-0.2311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B83DB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0.1498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598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-1.542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4CC4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.123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CD2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0.79</w:t>
            </w:r>
          </w:p>
        </w:tc>
      </w:tr>
      <w:tr w:rsidR="00161C2B" w:rsidRPr="00161C2B" w14:paraId="5D8DC7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382FD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Cohort C2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51786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-0.1905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453EF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0.1316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D304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-1.448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F61B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.148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1F62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0.83</w:t>
            </w:r>
          </w:p>
        </w:tc>
      </w:tr>
      <w:tr w:rsidR="00161C2B" w:rsidRPr="00161C2B" w14:paraId="0B2DE9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0522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 xml:space="preserve">GP6 (11th </w:t>
            </w:r>
            <w:proofErr w:type="spellStart"/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Sp</w:t>
            </w:r>
            <w:proofErr w:type="spellEnd"/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9BB4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-0.6178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24A0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0.1825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2FEF8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-3.385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38B3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&lt; .001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053F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0.54</w:t>
            </w:r>
          </w:p>
        </w:tc>
      </w:tr>
      <w:tr w:rsidR="00161C2B" w:rsidRPr="00161C2B" w14:paraId="500078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A56A1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GP7 (12th Fa)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54F3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-0.7699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CED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0.2231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ACEE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-3.450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40C97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&lt; .001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3C670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0.46</w:t>
            </w:r>
          </w:p>
        </w:tc>
      </w:tr>
    </w:tbl>
    <w:p w14:paraId="3D17C65C" w14:textId="77777777" w:rsidR="00A30613" w:rsidRDefault="00A30613">
      <w:pPr>
        <w:spacing w:before="100" w:after="100"/>
        <w:rPr>
          <w:color w:val="000000" w:themeColor="text1"/>
        </w:rPr>
      </w:pPr>
    </w:p>
    <w:p w14:paraId="7DB363BA" w14:textId="21B1AE6B" w:rsidR="00D9444D" w:rsidRPr="00161C2B" w:rsidRDefault="00D9444D">
      <w:pPr>
        <w:spacing w:before="100" w:after="10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87D0EBF" wp14:editId="5B493C30">
            <wp:extent cx="5943600" cy="5047615"/>
            <wp:effectExtent l="0" t="0" r="0" b="0"/>
            <wp:docPr id="187486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65802" name="Picture 18748658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8113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 xml:space="preserve">Peer network exposure (OR = 2.73, p &lt; .001) — every 10% increase in the fraction of friends currently using raises the odds of adoption 2.73x at the next </w:t>
      </w:r>
      <w:proofErr w:type="spellStart"/>
      <w:r w:rsidRPr="00161C2B">
        <w:rPr>
          <w:b/>
          <w:bCs/>
          <w:color w:val="000000" w:themeColor="text1"/>
        </w:rPr>
        <w:t>period</w:t>
      </w:r>
      <w:r w:rsidRPr="00161C2B">
        <w:rPr>
          <w:color w:val="000000" w:themeColor="text1"/>
        </w:rPr>
        <w:t>Peer</w:t>
      </w:r>
      <w:proofErr w:type="spellEnd"/>
      <w:r w:rsidRPr="00161C2B">
        <w:rPr>
          <w:color w:val="000000" w:themeColor="text1"/>
        </w:rPr>
        <w:t xml:space="preserve"> network exposure is real and strong: </w:t>
      </w:r>
    </w:p>
    <w:p w14:paraId="2461A4F3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 xml:space="preserve">MDD (OR = 1.34, p &lt; .001) is a significant predictor above and beyond peer exposure, supporting a self-medication </w:t>
      </w:r>
      <w:proofErr w:type="spellStart"/>
      <w:r w:rsidRPr="00161C2B">
        <w:rPr>
          <w:b/>
          <w:bCs/>
          <w:color w:val="000000" w:themeColor="text1"/>
        </w:rPr>
        <w:t>explanation</w:t>
      </w:r>
      <w:r w:rsidRPr="00161C2B">
        <w:rPr>
          <w:color w:val="000000" w:themeColor="text1"/>
        </w:rPr>
        <w:t>MDD</w:t>
      </w:r>
      <w:proofErr w:type="spellEnd"/>
      <w:r w:rsidRPr="00161C2B">
        <w:rPr>
          <w:color w:val="000000" w:themeColor="text1"/>
        </w:rPr>
        <w:t xml:space="preserve"> predicts adoption independently: </w:t>
      </w:r>
    </w:p>
    <w:p w14:paraId="5101B918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 xml:space="preserve">When GAD replaces MDD (separate model, OR = 1.11, p = .136), anxiety does not significantly predict adoption — depression uniquely </w:t>
      </w:r>
      <w:proofErr w:type="spellStart"/>
      <w:r w:rsidRPr="00161C2B">
        <w:rPr>
          <w:b/>
          <w:bCs/>
          <w:color w:val="000000" w:themeColor="text1"/>
        </w:rPr>
        <w:t>matters</w:t>
      </w:r>
      <w:r w:rsidRPr="00161C2B">
        <w:rPr>
          <w:color w:val="000000" w:themeColor="text1"/>
        </w:rPr>
        <w:t>GAD</w:t>
      </w:r>
      <w:proofErr w:type="spellEnd"/>
      <w:r w:rsidRPr="00161C2B">
        <w:rPr>
          <w:color w:val="000000" w:themeColor="text1"/>
        </w:rPr>
        <w:t xml:space="preserve"> is not significant: </w:t>
      </w:r>
    </w:p>
    <w:p w14:paraId="4A26BE1C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 xml:space="preserve">Self-reported friends using e-cigarettes (OR = 1.42, p &lt; .001) predicts adoption over and above network-calculated exposure, suggesting social norm perception drives behavior separately from actual network </w:t>
      </w:r>
      <w:proofErr w:type="spellStart"/>
      <w:r w:rsidRPr="00161C2B">
        <w:rPr>
          <w:b/>
          <w:bCs/>
          <w:color w:val="000000" w:themeColor="text1"/>
        </w:rPr>
        <w:t>contact</w:t>
      </w:r>
      <w:r w:rsidRPr="00161C2B">
        <w:rPr>
          <w:color w:val="000000" w:themeColor="text1"/>
        </w:rPr>
        <w:t>Subjective</w:t>
      </w:r>
      <w:proofErr w:type="spellEnd"/>
      <w:r w:rsidRPr="00161C2B">
        <w:rPr>
          <w:color w:val="000000" w:themeColor="text1"/>
        </w:rPr>
        <w:t xml:space="preserve"> peer perception adds independent signal: </w:t>
      </w:r>
    </w:p>
    <w:p w14:paraId="4B5823B2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>Sex minority students show higher odds of adoption (OR = 1.28, p = .</w:t>
      </w:r>
      <w:proofErr w:type="gramStart"/>
      <w:r w:rsidRPr="00161C2B">
        <w:rPr>
          <w:b/>
          <w:bCs/>
          <w:color w:val="000000" w:themeColor="text1"/>
        </w:rPr>
        <w:t>042)</w:t>
      </w:r>
      <w:r w:rsidRPr="00161C2B">
        <w:rPr>
          <w:color w:val="000000" w:themeColor="text1"/>
        </w:rPr>
        <w:t>Sexual</w:t>
      </w:r>
      <w:proofErr w:type="gramEnd"/>
      <w:r w:rsidRPr="00161C2B">
        <w:rPr>
          <w:color w:val="000000" w:themeColor="text1"/>
        </w:rPr>
        <w:t xml:space="preserve"> minority status is a risk factor: </w:t>
      </w:r>
    </w:p>
    <w:p w14:paraId="0F5E303E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2B6D866D" w14:textId="77777777" w:rsidR="00A30613" w:rsidRPr="00161C2B" w:rsidRDefault="00A30613">
      <w:pPr>
        <w:pBdr>
          <w:bottom w:val="single" w:sz="4" w:space="1" w:color="CCDDEE"/>
        </w:pBdr>
        <w:spacing w:before="160" w:after="160"/>
        <w:rPr>
          <w:color w:val="000000" w:themeColor="text1"/>
        </w:rPr>
      </w:pPr>
    </w:p>
    <w:p w14:paraId="23CADD83" w14:textId="77777777" w:rsidR="00A30613" w:rsidRPr="00161C2B" w:rsidRDefault="00000000">
      <w:pPr>
        <w:pStyle w:val="Heading1"/>
        <w:rPr>
          <w:color w:val="000000" w:themeColor="text1"/>
        </w:rPr>
      </w:pPr>
      <w:r w:rsidRPr="00161C2B">
        <w:rPr>
          <w:color w:val="000000" w:themeColor="text1"/>
        </w:rPr>
        <w:t>5. Threshold Regression Results</w:t>
      </w:r>
    </w:p>
    <w:p w14:paraId="38A0C33B" w14:textId="77777777" w:rsidR="00A30613" w:rsidRPr="00161C2B" w:rsidRDefault="00000000">
      <w:pPr>
        <w:spacing w:before="80" w:after="80"/>
        <w:rPr>
          <w:color w:val="000000" w:themeColor="text1"/>
        </w:rPr>
      </w:pPr>
      <w:r w:rsidRPr="00161C2B">
        <w:rPr>
          <w:color w:val="000000" w:themeColor="text1"/>
        </w:rPr>
        <w:t>Quasibinomial logistic regression predicting adoption threshold (fraction of friends already using at time of adoption) among adopters only. Threshold reflects how much peer pressure a person needed before initiating use.</w:t>
      </w:r>
    </w:p>
    <w:p w14:paraId="0A6E83B5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4CBF5EFD" w14:textId="77777777" w:rsidR="00A30613" w:rsidRPr="00161C2B" w:rsidRDefault="00000000">
      <w:pPr>
        <w:spacing w:before="120" w:after="80"/>
        <w:jc w:val="center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>Table 3. Threshold Regression (GAD Model)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000"/>
        <w:gridCol w:w="1000"/>
        <w:gridCol w:w="1200"/>
        <w:gridCol w:w="1000"/>
      </w:tblGrid>
      <w:tr w:rsidR="00161C2B" w:rsidRPr="00161C2B" w14:paraId="4CBCC6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FE81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7899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Estimate</w:t>
            </w:r>
          </w:p>
        </w:tc>
        <w:tc>
          <w:tcPr>
            <w:tcW w:w="10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26856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SE</w:t>
            </w:r>
          </w:p>
        </w:tc>
        <w:tc>
          <w:tcPr>
            <w:tcW w:w="10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99484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t</w:t>
            </w:r>
          </w:p>
        </w:tc>
        <w:tc>
          <w:tcPr>
            <w:tcW w:w="12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36DA9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p</w:t>
            </w:r>
          </w:p>
        </w:tc>
        <w:tc>
          <w:tcPr>
            <w:tcW w:w="1000" w:type="dxa"/>
            <w:tcBorders>
              <w:top w:val="single" w:sz="1" w:space="0" w:color="2E5D9E"/>
              <w:left w:val="single" w:sz="1" w:space="0" w:color="2E5D9E"/>
              <w:bottom w:val="single" w:sz="1" w:space="0" w:color="2E5D9E"/>
              <w:right w:val="single" w:sz="1" w:space="0" w:color="2E5D9E"/>
            </w:tcBorders>
            <w:shd w:val="clear" w:color="auto" w:fill="2E5D9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C0D7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OR</w:t>
            </w:r>
          </w:p>
        </w:tc>
      </w:tr>
      <w:tr w:rsidR="00161C2B" w:rsidRPr="00161C2B" w14:paraId="667CBA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2B5DC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Hispanic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6C2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0.5639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B71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0.1902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6C4CA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2.964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8552C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.003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4003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1.76</w:t>
            </w:r>
          </w:p>
        </w:tc>
      </w:tr>
      <w:tr w:rsidR="00161C2B" w:rsidRPr="00161C2B" w14:paraId="333354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6890F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 xml:space="preserve">Friends </w:t>
            </w:r>
            <w:proofErr w:type="spellStart"/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ecig</w:t>
            </w:r>
            <w:proofErr w:type="spellEnd"/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 xml:space="preserve"> (self-report)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EEB3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0.1229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6123B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0.0507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4D08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2.424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5FF74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.016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5CCEC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1.13</w:t>
            </w:r>
          </w:p>
        </w:tc>
      </w:tr>
      <w:tr w:rsidR="00161C2B" w:rsidRPr="00161C2B" w14:paraId="7ACE730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3F4C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GAD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2DA3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-0.0026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96B0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0.1068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0BAE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-0.024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FD988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.981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92287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1.00</w:t>
            </w:r>
          </w:p>
        </w:tc>
      </w:tr>
      <w:tr w:rsidR="00161C2B" w:rsidRPr="00161C2B" w14:paraId="2CDB6D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EBEA9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Sex minority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53661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0.1408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110A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0.1866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E7264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0.755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4449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.451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39C2F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1.15</w:t>
            </w:r>
          </w:p>
        </w:tc>
      </w:tr>
      <w:tr w:rsidR="00161C2B" w:rsidRPr="00161C2B" w14:paraId="708783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C2F76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Asian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ADF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0.0062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A0F3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0.2625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3C2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0.024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8981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.981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D6C8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1.01</w:t>
            </w:r>
          </w:p>
        </w:tc>
      </w:tr>
      <w:tr w:rsidR="00161C2B" w:rsidRPr="00161C2B" w14:paraId="5252AD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F1F69" w14:textId="77777777" w:rsidR="00A30613" w:rsidRPr="00161C2B" w:rsidRDefault="00000000">
            <w:pPr>
              <w:rPr>
                <w:color w:val="000000" w:themeColor="text1"/>
              </w:rPr>
            </w:pPr>
            <w:r w:rsidRPr="00161C2B">
              <w:rPr>
                <w:b/>
                <w:bCs/>
                <w:color w:val="000000" w:themeColor="text1"/>
                <w:sz w:val="18"/>
                <w:szCs w:val="18"/>
              </w:rPr>
              <w:t>Cohort C2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AFED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-0.3506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D417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0.2475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E4AA6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-1.417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A968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.157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9D239" w14:textId="77777777" w:rsidR="00A30613" w:rsidRPr="00161C2B" w:rsidRDefault="00000000">
            <w:pPr>
              <w:jc w:val="center"/>
              <w:rPr>
                <w:color w:val="000000" w:themeColor="text1"/>
              </w:rPr>
            </w:pPr>
            <w:r w:rsidRPr="00161C2B">
              <w:rPr>
                <w:color w:val="000000" w:themeColor="text1"/>
                <w:sz w:val="18"/>
                <w:szCs w:val="18"/>
              </w:rPr>
              <w:t>0.70</w:t>
            </w:r>
          </w:p>
        </w:tc>
      </w:tr>
    </w:tbl>
    <w:p w14:paraId="48D9A436" w14:textId="77777777" w:rsidR="00A30613" w:rsidRDefault="00A30613">
      <w:pPr>
        <w:spacing w:before="100" w:after="100"/>
        <w:rPr>
          <w:color w:val="000000" w:themeColor="text1"/>
        </w:rPr>
      </w:pPr>
    </w:p>
    <w:p w14:paraId="617F94AA" w14:textId="73F917C7" w:rsidR="00D9444D" w:rsidRPr="00161C2B" w:rsidRDefault="00D9444D">
      <w:pPr>
        <w:spacing w:before="100" w:after="100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361218BE" wp14:editId="504174E0">
            <wp:extent cx="5689600" cy="5181600"/>
            <wp:effectExtent l="0" t="0" r="0" b="0"/>
            <wp:docPr id="13129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897" name="Picture 131298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D9437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 xml:space="preserve">Hispanic students have significantly higher thresholds (OR = 1.76, p = .003), meaning they needed a greater proportion of friends to already be using before they </w:t>
      </w:r>
      <w:proofErr w:type="spellStart"/>
      <w:r w:rsidRPr="00161C2B">
        <w:rPr>
          <w:b/>
          <w:bCs/>
          <w:color w:val="000000" w:themeColor="text1"/>
        </w:rPr>
        <w:t>initiated</w:t>
      </w:r>
      <w:r w:rsidRPr="00161C2B">
        <w:rPr>
          <w:color w:val="000000" w:themeColor="text1"/>
        </w:rPr>
        <w:t>Hispanic</w:t>
      </w:r>
      <w:proofErr w:type="spellEnd"/>
      <w:r w:rsidRPr="00161C2B">
        <w:rPr>
          <w:color w:val="000000" w:themeColor="text1"/>
        </w:rPr>
        <w:t xml:space="preserve"> students require more peer pressure before adopting: </w:t>
      </w:r>
    </w:p>
    <w:p w14:paraId="4CABF1B3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 xml:space="preserve">Neither GAD (OR = 1.00, p = .981) nor MDD (OR = 0.87, p = .252) predicted threshold — depression influences whether you adopt, not how much peer pressure you need </w:t>
      </w:r>
      <w:proofErr w:type="spellStart"/>
      <w:r w:rsidRPr="00161C2B">
        <w:rPr>
          <w:b/>
          <w:bCs/>
          <w:color w:val="000000" w:themeColor="text1"/>
        </w:rPr>
        <w:t>first</w:t>
      </w:r>
      <w:r w:rsidRPr="00161C2B">
        <w:rPr>
          <w:color w:val="000000" w:themeColor="text1"/>
        </w:rPr>
        <w:t>Mental</w:t>
      </w:r>
      <w:proofErr w:type="spellEnd"/>
      <w:r w:rsidRPr="00161C2B">
        <w:rPr>
          <w:color w:val="000000" w:themeColor="text1"/>
        </w:rPr>
        <w:t xml:space="preserve"> health does not affect threshold: </w:t>
      </w:r>
    </w:p>
    <w:p w14:paraId="7B643332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 xml:space="preserve">Despite needing more social proof, Hispanic students end up with higher overall prevalence. This is explained by their network context — Hispanic-majority schools have higher baseline peer use, meaning the threshold is eventually reached </w:t>
      </w:r>
      <w:proofErr w:type="spellStart"/>
      <w:r w:rsidRPr="00161C2B">
        <w:rPr>
          <w:b/>
          <w:bCs/>
          <w:color w:val="000000" w:themeColor="text1"/>
        </w:rPr>
        <w:t>regardless</w:t>
      </w:r>
      <w:r w:rsidRPr="00161C2B">
        <w:rPr>
          <w:color w:val="000000" w:themeColor="text1"/>
        </w:rPr>
        <w:t>Key</w:t>
      </w:r>
      <w:proofErr w:type="spellEnd"/>
      <w:r w:rsidRPr="00161C2B">
        <w:rPr>
          <w:color w:val="000000" w:themeColor="text1"/>
        </w:rPr>
        <w:t xml:space="preserve"> paradox: </w:t>
      </w:r>
    </w:p>
    <w:p w14:paraId="4E0CF6D4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>Students who were more aware of peers using (</w:t>
      </w:r>
      <w:proofErr w:type="spellStart"/>
      <w:r w:rsidRPr="00161C2B">
        <w:rPr>
          <w:b/>
          <w:bCs/>
          <w:color w:val="000000" w:themeColor="text1"/>
        </w:rPr>
        <w:t>friends_ecig</w:t>
      </w:r>
      <w:proofErr w:type="spellEnd"/>
      <w:r w:rsidRPr="00161C2B">
        <w:rPr>
          <w:b/>
          <w:bCs/>
          <w:color w:val="000000" w:themeColor="text1"/>
        </w:rPr>
        <w:t xml:space="preserve"> OR = 1.13, p = .016) adopted at slightly higher thresholds, consistent with greater social norm </w:t>
      </w:r>
      <w:proofErr w:type="spellStart"/>
      <w:r w:rsidRPr="00161C2B">
        <w:rPr>
          <w:b/>
          <w:bCs/>
          <w:color w:val="000000" w:themeColor="text1"/>
        </w:rPr>
        <w:t>awareness</w:t>
      </w:r>
      <w:r w:rsidRPr="00161C2B">
        <w:rPr>
          <w:color w:val="000000" w:themeColor="text1"/>
        </w:rPr>
        <w:t>Self</w:t>
      </w:r>
      <w:proofErr w:type="spellEnd"/>
      <w:r w:rsidRPr="00161C2B">
        <w:rPr>
          <w:color w:val="000000" w:themeColor="text1"/>
        </w:rPr>
        <w:t xml:space="preserve">-reported friend use predicts higher threshold: </w:t>
      </w:r>
    </w:p>
    <w:p w14:paraId="626611FC" w14:textId="77777777" w:rsidR="00A30613" w:rsidRPr="00161C2B" w:rsidRDefault="00A30613">
      <w:pPr>
        <w:spacing w:before="100" w:after="100"/>
        <w:rPr>
          <w:color w:val="000000" w:themeColor="text1"/>
        </w:rPr>
      </w:pPr>
    </w:p>
    <w:p w14:paraId="00CCCAC4" w14:textId="77777777" w:rsidR="00A30613" w:rsidRPr="00161C2B" w:rsidRDefault="00A30613">
      <w:pPr>
        <w:pBdr>
          <w:bottom w:val="single" w:sz="4" w:space="1" w:color="CCDDEE"/>
        </w:pBdr>
        <w:spacing w:before="160" w:after="160"/>
        <w:rPr>
          <w:color w:val="000000" w:themeColor="text1"/>
        </w:rPr>
      </w:pPr>
    </w:p>
    <w:p w14:paraId="4B8B68FD" w14:textId="77777777" w:rsidR="00A30613" w:rsidRPr="00161C2B" w:rsidRDefault="00000000">
      <w:pPr>
        <w:pStyle w:val="Heading1"/>
        <w:rPr>
          <w:color w:val="000000" w:themeColor="text1"/>
        </w:rPr>
      </w:pPr>
      <w:r w:rsidRPr="00161C2B">
        <w:rPr>
          <w:color w:val="000000" w:themeColor="text1"/>
        </w:rPr>
        <w:t>6. Key Findings Summary</w:t>
      </w:r>
    </w:p>
    <w:p w14:paraId="3E479D0F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lastRenderedPageBreak/>
        <w:t xml:space="preserve">Network exposure OR = 2.73 — peer network structure is a strong driver of e-cigarette initiation across all schools and </w:t>
      </w:r>
      <w:proofErr w:type="spellStart"/>
      <w:r w:rsidRPr="00161C2B">
        <w:rPr>
          <w:b/>
          <w:bCs/>
          <w:color w:val="000000" w:themeColor="text1"/>
        </w:rPr>
        <w:t>cohorts</w:t>
      </w:r>
      <w:r w:rsidRPr="00161C2B">
        <w:rPr>
          <w:color w:val="000000" w:themeColor="text1"/>
        </w:rPr>
        <w:t>Peer</w:t>
      </w:r>
      <w:proofErr w:type="spellEnd"/>
      <w:r w:rsidRPr="00161C2B">
        <w:rPr>
          <w:color w:val="000000" w:themeColor="text1"/>
        </w:rPr>
        <w:t xml:space="preserve"> contagion confirmed: </w:t>
      </w:r>
    </w:p>
    <w:p w14:paraId="5C612403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>MDD predicts adoption (OR = 1.34), GAD does not. Self-medication via e-cigarettes may be depression-</w:t>
      </w:r>
      <w:proofErr w:type="spellStart"/>
      <w:r w:rsidRPr="00161C2B">
        <w:rPr>
          <w:b/>
          <w:bCs/>
          <w:color w:val="000000" w:themeColor="text1"/>
        </w:rPr>
        <w:t>specific</w:t>
      </w:r>
      <w:r w:rsidRPr="00161C2B">
        <w:rPr>
          <w:color w:val="000000" w:themeColor="text1"/>
        </w:rPr>
        <w:t>Depression</w:t>
      </w:r>
      <w:proofErr w:type="spellEnd"/>
      <w:r w:rsidRPr="00161C2B">
        <w:rPr>
          <w:color w:val="000000" w:themeColor="text1"/>
        </w:rPr>
        <w:t xml:space="preserve"> (not anxiety) is the mental health risk factor: </w:t>
      </w:r>
    </w:p>
    <w:p w14:paraId="15AF5F95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 xml:space="preserve">Network exposure (objective) and self-reported friends using (subjective) independently predict adoption — social norm perception is an independent </w:t>
      </w:r>
      <w:proofErr w:type="spellStart"/>
      <w:r w:rsidRPr="00161C2B">
        <w:rPr>
          <w:b/>
          <w:bCs/>
          <w:color w:val="000000" w:themeColor="text1"/>
        </w:rPr>
        <w:t>mechanism</w:t>
      </w:r>
      <w:r w:rsidRPr="00161C2B">
        <w:rPr>
          <w:color w:val="000000" w:themeColor="text1"/>
        </w:rPr>
        <w:t>Both</w:t>
      </w:r>
      <w:proofErr w:type="spellEnd"/>
      <w:r w:rsidRPr="00161C2B">
        <w:rPr>
          <w:color w:val="000000" w:themeColor="text1"/>
        </w:rPr>
        <w:t xml:space="preserve"> objective and perceived peer use matter: </w:t>
      </w:r>
    </w:p>
    <w:p w14:paraId="03F29E77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 xml:space="preserve">Higher threshold but higher prevalence in Hispanic-majority schools — network saturation explains this </w:t>
      </w:r>
      <w:proofErr w:type="spellStart"/>
      <w:r w:rsidRPr="00161C2B">
        <w:rPr>
          <w:b/>
          <w:bCs/>
          <w:color w:val="000000" w:themeColor="text1"/>
        </w:rPr>
        <w:t>discrepancy</w:t>
      </w:r>
      <w:r w:rsidRPr="00161C2B">
        <w:rPr>
          <w:color w:val="000000" w:themeColor="text1"/>
        </w:rPr>
        <w:t>Hispanic</w:t>
      </w:r>
      <w:proofErr w:type="spellEnd"/>
      <w:r w:rsidRPr="00161C2B">
        <w:rPr>
          <w:color w:val="000000" w:themeColor="text1"/>
        </w:rPr>
        <w:t xml:space="preserve"> paradox in threshold: </w:t>
      </w:r>
    </w:p>
    <w:p w14:paraId="0DB5EBB6" w14:textId="77777777" w:rsidR="00A30613" w:rsidRPr="00161C2B" w:rsidRDefault="00000000">
      <w:pPr>
        <w:pStyle w:val="ListParagraph"/>
        <w:numPr>
          <w:ilvl w:val="0"/>
          <w:numId w:val="2"/>
        </w:numPr>
        <w:spacing w:before="60" w:after="60"/>
        <w:rPr>
          <w:color w:val="000000" w:themeColor="text1"/>
        </w:rPr>
      </w:pPr>
      <w:r w:rsidRPr="00161C2B">
        <w:rPr>
          <w:b/>
          <w:bCs/>
          <w:color w:val="000000" w:themeColor="text1"/>
        </w:rPr>
        <w:t xml:space="preserve">The gateway to adoption is peer-driven regardless of mental health </w:t>
      </w:r>
      <w:proofErr w:type="spellStart"/>
      <w:r w:rsidRPr="00161C2B">
        <w:rPr>
          <w:b/>
          <w:bCs/>
          <w:color w:val="000000" w:themeColor="text1"/>
        </w:rPr>
        <w:t>status</w:t>
      </w:r>
      <w:r w:rsidRPr="00161C2B">
        <w:rPr>
          <w:color w:val="000000" w:themeColor="text1"/>
        </w:rPr>
        <w:t>Mental</w:t>
      </w:r>
      <w:proofErr w:type="spellEnd"/>
      <w:r w:rsidRPr="00161C2B">
        <w:rPr>
          <w:color w:val="000000" w:themeColor="text1"/>
        </w:rPr>
        <w:t xml:space="preserve"> health does not shape the adoption threshold: </w:t>
      </w:r>
    </w:p>
    <w:p w14:paraId="17206C9A" w14:textId="77777777" w:rsidR="00A30613" w:rsidRPr="00161C2B" w:rsidRDefault="00A30613">
      <w:pPr>
        <w:spacing w:before="100" w:after="100"/>
        <w:rPr>
          <w:color w:val="000000" w:themeColor="text1"/>
        </w:rPr>
      </w:pPr>
    </w:p>
    <w:sectPr w:rsidR="00A30613" w:rsidRPr="00161C2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B0A"/>
    <w:multiLevelType w:val="hybridMultilevel"/>
    <w:tmpl w:val="75920366"/>
    <w:lvl w:ilvl="0" w:tplc="BBCC09C8">
      <w:start w:val="1"/>
      <w:numFmt w:val="bullet"/>
      <w:lvlText w:val="●"/>
      <w:lvlJc w:val="left"/>
      <w:pPr>
        <w:ind w:left="720" w:hanging="360"/>
      </w:pPr>
    </w:lvl>
    <w:lvl w:ilvl="1" w:tplc="C3261500">
      <w:start w:val="1"/>
      <w:numFmt w:val="bullet"/>
      <w:lvlText w:val="○"/>
      <w:lvlJc w:val="left"/>
      <w:pPr>
        <w:ind w:left="1440" w:hanging="360"/>
      </w:pPr>
    </w:lvl>
    <w:lvl w:ilvl="2" w:tplc="0608A766">
      <w:start w:val="1"/>
      <w:numFmt w:val="bullet"/>
      <w:lvlText w:val="■"/>
      <w:lvlJc w:val="left"/>
      <w:pPr>
        <w:ind w:left="2160" w:hanging="360"/>
      </w:pPr>
    </w:lvl>
    <w:lvl w:ilvl="3" w:tplc="98A443FA">
      <w:start w:val="1"/>
      <w:numFmt w:val="bullet"/>
      <w:lvlText w:val="●"/>
      <w:lvlJc w:val="left"/>
      <w:pPr>
        <w:ind w:left="2880" w:hanging="360"/>
      </w:pPr>
    </w:lvl>
    <w:lvl w:ilvl="4" w:tplc="5EDEEF0C">
      <w:start w:val="1"/>
      <w:numFmt w:val="bullet"/>
      <w:lvlText w:val="○"/>
      <w:lvlJc w:val="left"/>
      <w:pPr>
        <w:ind w:left="3600" w:hanging="360"/>
      </w:pPr>
    </w:lvl>
    <w:lvl w:ilvl="5" w:tplc="4202DC68">
      <w:start w:val="1"/>
      <w:numFmt w:val="bullet"/>
      <w:lvlText w:val="■"/>
      <w:lvlJc w:val="left"/>
      <w:pPr>
        <w:ind w:left="4320" w:hanging="360"/>
      </w:pPr>
    </w:lvl>
    <w:lvl w:ilvl="6" w:tplc="0CF205C8">
      <w:start w:val="1"/>
      <w:numFmt w:val="bullet"/>
      <w:lvlText w:val="●"/>
      <w:lvlJc w:val="left"/>
      <w:pPr>
        <w:ind w:left="5040" w:hanging="360"/>
      </w:pPr>
    </w:lvl>
    <w:lvl w:ilvl="7" w:tplc="14F44FD6">
      <w:start w:val="1"/>
      <w:numFmt w:val="bullet"/>
      <w:lvlText w:val="●"/>
      <w:lvlJc w:val="left"/>
      <w:pPr>
        <w:ind w:left="5760" w:hanging="360"/>
      </w:pPr>
    </w:lvl>
    <w:lvl w:ilvl="8" w:tplc="25AC83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92285F"/>
    <w:multiLevelType w:val="hybridMultilevel"/>
    <w:tmpl w:val="F70C499E"/>
    <w:lvl w:ilvl="0" w:tplc="A4C004F4">
      <w:start w:val="1"/>
      <w:numFmt w:val="bullet"/>
      <w:lvlText w:val="•"/>
      <w:lvlJc w:val="left"/>
      <w:pPr>
        <w:ind w:left="720" w:hanging="360"/>
      </w:pPr>
    </w:lvl>
    <w:lvl w:ilvl="1" w:tplc="7C286C8C">
      <w:numFmt w:val="decimal"/>
      <w:lvlText w:val=""/>
      <w:lvlJc w:val="left"/>
    </w:lvl>
    <w:lvl w:ilvl="2" w:tplc="D5C22832">
      <w:numFmt w:val="decimal"/>
      <w:lvlText w:val=""/>
      <w:lvlJc w:val="left"/>
    </w:lvl>
    <w:lvl w:ilvl="3" w:tplc="93968644">
      <w:numFmt w:val="decimal"/>
      <w:lvlText w:val=""/>
      <w:lvlJc w:val="left"/>
    </w:lvl>
    <w:lvl w:ilvl="4" w:tplc="6ED45202">
      <w:numFmt w:val="decimal"/>
      <w:lvlText w:val=""/>
      <w:lvlJc w:val="left"/>
    </w:lvl>
    <w:lvl w:ilvl="5" w:tplc="9C8C220C">
      <w:numFmt w:val="decimal"/>
      <w:lvlText w:val=""/>
      <w:lvlJc w:val="left"/>
    </w:lvl>
    <w:lvl w:ilvl="6" w:tplc="A95CD9FE">
      <w:numFmt w:val="decimal"/>
      <w:lvlText w:val=""/>
      <w:lvlJc w:val="left"/>
    </w:lvl>
    <w:lvl w:ilvl="7" w:tplc="A1802708">
      <w:numFmt w:val="decimal"/>
      <w:lvlText w:val=""/>
      <w:lvlJc w:val="left"/>
    </w:lvl>
    <w:lvl w:ilvl="8" w:tplc="C6EAABCE">
      <w:numFmt w:val="decimal"/>
      <w:lvlText w:val=""/>
      <w:lvlJc w:val="left"/>
    </w:lvl>
  </w:abstractNum>
  <w:num w:numId="1" w16cid:durableId="1841656872">
    <w:abstractNumId w:val="0"/>
    <w:lvlOverride w:ilvl="0">
      <w:startOverride w:val="1"/>
    </w:lvlOverride>
  </w:num>
  <w:num w:numId="2" w16cid:durableId="19287347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613"/>
    <w:rsid w:val="00161C2B"/>
    <w:rsid w:val="008F6035"/>
    <w:rsid w:val="00A30613"/>
    <w:rsid w:val="00BA25CD"/>
    <w:rsid w:val="00D94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93BF4"/>
  <w15:docId w15:val="{846A8DA6-F393-3E4F-BFBE-326A157CE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2E5D9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3A6B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Yuchan Cao</cp:lastModifiedBy>
  <cp:revision>2</cp:revision>
  <dcterms:created xsi:type="dcterms:W3CDTF">2026-05-01T16:40:00Z</dcterms:created>
  <dcterms:modified xsi:type="dcterms:W3CDTF">2026-05-02T00:15:00Z</dcterms:modified>
</cp:coreProperties>
</file>